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四川省地方粮食储备管理办法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（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征求意见稿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）的说明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现就《四川省地方粮食储备管理办法》（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征求意见稿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，以下简称《办法》）起草情况说明如下：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一、立法的必要性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粮食储备是保障粮食安全的重要物质基础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四川作为人口大省、粮食消费大省，粮食储备保障粮食安全的作用</w:t>
      </w:r>
      <w:r>
        <w:rPr>
          <w:rFonts w:hint="eastAsia" w:cs="Times New Roman"/>
          <w:color w:val="auto"/>
          <w:sz w:val="32"/>
          <w:szCs w:val="32"/>
          <w:lang w:eastAsia="zh-CN"/>
        </w:rPr>
        <w:t>显得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尤为</w:t>
      </w:r>
      <w:r>
        <w:rPr>
          <w:rFonts w:hint="eastAsia" w:cs="Times New Roman"/>
          <w:color w:val="auto"/>
          <w:sz w:val="32"/>
          <w:szCs w:val="32"/>
          <w:lang w:eastAsia="zh-CN"/>
        </w:rPr>
        <w:t>重要。我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地方粮食储备经过近三十年的发展，已形成了省、市、县三级储备体系，在应对重大突发事件、稳定区域粮食市场、维护全省经济发展和社会稳定等方面发挥了重要作用。为切实加强地方粮食储备管理，发挥法治固根本、稳预期、利长远的保障性作用，用法规</w:t>
      </w:r>
      <w:r>
        <w:rPr>
          <w:rFonts w:hint="eastAsia" w:cs="Times New Roman"/>
          <w:color w:val="auto"/>
          <w:sz w:val="32"/>
          <w:szCs w:val="32"/>
          <w:lang w:eastAsia="zh-CN"/>
        </w:rPr>
        <w:t>规章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固化有效做法，夯实各方责任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，确保粮食储备安全</w:t>
      </w:r>
      <w:r>
        <w:rPr>
          <w:rFonts w:hint="eastAsia" w:cs="Times New Roman"/>
          <w:color w:val="auto"/>
          <w:sz w:val="32"/>
          <w:szCs w:val="32"/>
          <w:lang w:eastAsia="zh-CN"/>
        </w:rPr>
        <w:t>，是依法治粮管储的必然要求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</w:t>
      </w: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落实</w:t>
      </w: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粮食安全</w:t>
      </w: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的需要。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保障区域粮食安全是地方政府的重要职责，加强地方粮食储备管理，是确保区域粮食安全的重要举措。</w:t>
      </w:r>
      <w:r>
        <w:rPr>
          <w:rFonts w:hint="eastAsia" w:cs="Times New Roman"/>
          <w:color w:val="auto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2016年</w:t>
      </w:r>
      <w:r>
        <w:rPr>
          <w:rFonts w:hint="eastAsia" w:cs="Times New Roman"/>
          <w:color w:val="auto"/>
          <w:sz w:val="32"/>
          <w:szCs w:val="32"/>
          <w:lang w:eastAsia="zh-CN"/>
        </w:rPr>
        <w:t>开始，国家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实行粮食安全省长责任制，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逐</w:t>
      </w:r>
      <w:r>
        <w:rPr>
          <w:rFonts w:hint="eastAsia" w:cs="Times New Roman"/>
          <w:color w:val="auto"/>
          <w:sz w:val="32"/>
          <w:szCs w:val="32"/>
          <w:lang w:eastAsia="zh-CN"/>
        </w:rPr>
        <w:t>级对县级以上地方人民政府地方粮食储备情况进行考核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；2019年，</w:t>
      </w:r>
      <w:r>
        <w:rPr>
          <w:rFonts w:hint="eastAsia" w:cs="Times New Roman"/>
          <w:color w:val="auto"/>
          <w:sz w:val="32"/>
          <w:szCs w:val="32"/>
          <w:lang w:eastAsia="zh-CN"/>
        </w:rPr>
        <w:t>中央要求改革完善体制机制，加强地方粮食储备管理，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明确</w:t>
      </w:r>
      <w:r>
        <w:rPr>
          <w:rFonts w:hint="eastAsia" w:cs="Times New Roman"/>
          <w:color w:val="auto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“各省级人大、政府按职责负责制定地方粮食储备管理法规规章，推进落实情况纳入粮食安全省长责任制考核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/>
          <w:b/>
          <w:i w:val="0"/>
          <w:caps w:val="0"/>
          <w:color w:val="auto"/>
          <w:spacing w:val="0"/>
          <w:w w:val="100"/>
          <w:sz w:val="32"/>
          <w:lang w:eastAsia="zh-CN"/>
        </w:rPr>
        <w:t>（</w:t>
      </w: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二</w:t>
      </w:r>
      <w:r>
        <w:rPr>
          <w:rFonts w:hint="eastAsia" w:eastAsia="楷体_GB2312"/>
          <w:b/>
          <w:i w:val="0"/>
          <w:caps w:val="0"/>
          <w:color w:val="auto"/>
          <w:spacing w:val="0"/>
          <w:w w:val="100"/>
          <w:sz w:val="32"/>
          <w:lang w:eastAsia="zh-CN"/>
        </w:rPr>
        <w:t>）</w:t>
      </w: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构建统一高效粮食储备体系的需要。</w:t>
      </w:r>
      <w:r>
        <w:rPr>
          <w:rFonts w:hint="eastAsia" w:cs="Times New Roman"/>
          <w:color w:val="auto"/>
          <w:sz w:val="32"/>
          <w:szCs w:val="32"/>
          <w:lang w:eastAsia="zh-CN"/>
        </w:rPr>
        <w:t>为了建立统一、高效的粮食安全保障法治体系，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我省</w:t>
      </w:r>
      <w:r>
        <w:rPr>
          <w:rFonts w:hint="eastAsia" w:cs="Times New Roman"/>
          <w:color w:val="auto"/>
          <w:sz w:val="32"/>
          <w:szCs w:val="32"/>
          <w:lang w:eastAsia="zh-CN"/>
        </w:rPr>
        <w:t>今年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5月1日施行的</w:t>
      </w:r>
      <w:r>
        <w:rPr>
          <w:rFonts w:hint="eastAsia" w:cs="Times New Roman"/>
          <w:color w:val="auto"/>
          <w:sz w:val="32"/>
          <w:szCs w:val="32"/>
          <w:lang w:eastAsia="zh-CN"/>
        </w:rPr>
        <w:t>《四川省粮食安全保障》对地方粮食储备仅作了原则性规定，相应建立配套的地方粮食储备规章制度，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是健全完善地方</w:t>
      </w:r>
      <w:r>
        <w:rPr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</w:rPr>
        <w:t>粮食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储备管理体制机制的需要。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楷体_GB2312"/>
          <w:b/>
          <w:i w:val="0"/>
          <w:caps w:val="0"/>
          <w:color w:val="auto"/>
          <w:spacing w:val="0"/>
          <w:w w:val="100"/>
          <w:sz w:val="32"/>
          <w:lang w:eastAsia="zh-CN"/>
        </w:rPr>
        <w:t>（</w:t>
      </w: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三</w:t>
      </w:r>
      <w:r>
        <w:rPr>
          <w:rFonts w:hint="eastAsia" w:eastAsia="楷体_GB2312"/>
          <w:b/>
          <w:i w:val="0"/>
          <w:caps w:val="0"/>
          <w:color w:val="auto"/>
          <w:spacing w:val="0"/>
          <w:w w:val="100"/>
          <w:sz w:val="32"/>
          <w:lang w:eastAsia="zh-CN"/>
        </w:rPr>
        <w:t>）</w:t>
      </w: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适应</w:t>
      </w:r>
      <w:r>
        <w:rPr>
          <w:rFonts w:hint="eastAsia" w:eastAsia="楷体_GB2312"/>
          <w:b/>
          <w:i w:val="0"/>
          <w:caps w:val="0"/>
          <w:color w:val="auto"/>
          <w:spacing w:val="0"/>
          <w:w w:val="100"/>
          <w:sz w:val="32"/>
          <w:lang w:eastAsia="zh-CN"/>
        </w:rPr>
        <w:t>地方</w:t>
      </w: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粮食安全保障新形势的需要。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川作为经济大省、人口大省、粮食消费大省，保障粮食安全始终是我省经济发展、社会稳定的全局性战略性问题。随着居民消费结构不断升级，酿酒、饲料等转化用粮产业的不断发展，地方粮食储备保障粮食安全的“压舱石”作用更加凸显。加快地方粮食储备管理立法，是提升粮食储备服务宏观调控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和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全省粮食安全保障能力的需要。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9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9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、《办法》主要规范内容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（一）地方政府储备管理职责划分。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包括：地方储备粮由省、市、县三级组成，实行分级储备、分级管理、分级负责的管理体制。各级政府落实省人民政府下达的地方储备计划以及所需资金，负责本级储备的行政管理，建立健全管理制度并督促计划落实。明确发展改革、粮食和储备、财政和农发行等部门单位职责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（二）地方政府储备计划管理。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主要包括：地方储备规模总量的确定、品种结构要求和总体布局原则，各级储备计划的下达，明确各级储备规模落实要求。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hint="default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（三）地方政府储备储存管理。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主要包括：地方储备承储企业职责义务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、地方政府有关部门相关职责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。明确承储企业应履行执行各项政策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规定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、日常管理、质量标准等规定的职责义务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和限制性行为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明确地方政府储备的贷款和补贴管理。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sz w:val="32"/>
        </w:rPr>
        <w:t>（四）地方政府储备轮换管理。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主要包括：地方储备实行“成本不变、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实物推陈储新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、均衡轮换”的轮换制度。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明确地方政府储备轮换方式和时限，以及分品种轮换周期。确定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轮换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通过粮食交易中心及相关网上交易平台公开竞价交易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方式进行。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（五）地方政府储备动用管理。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主要内容：确定地方储备动用原则和条件。粮食明显供不应求或者市场价格异常波动的；发生重大自然灾害或者其他突发事件的；县级以上地方人民政府认为需要动用的其他情形。确定动用层级和方式。</w:t>
      </w:r>
      <w:r>
        <w:rPr>
          <w:rStyle w:val="9"/>
          <w:rFonts w:hint="eastAsia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地方粮食储备按照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县、市、省逐级动用，本级政府储备不足的可申请动用上级政府储备。</w:t>
      </w:r>
    </w:p>
    <w:p>
      <w:pPr>
        <w:snapToGrid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9"/>
          <w:rFonts w:hint="eastAsia"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9"/>
          <w:rFonts w:hint="eastAsia" w:eastAsia="楷体_GB2312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</w:t>
      </w:r>
      <w:r>
        <w:rPr>
          <w:rStyle w:val="9"/>
          <w:rFonts w:ascii="Times New Roman" w:hAnsi="Times New Roman" w:eastAsia="楷体_GB2312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）地方政府储备监督检查。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主要内容：明确监督检查职权和内容。进入承储企业检查地方</w:t>
      </w:r>
      <w:r>
        <w:rPr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</w:rPr>
        <w:t>粮食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储备的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品种、</w:t>
      </w:r>
      <w:r>
        <w:rPr>
          <w:rStyle w:val="9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数量、质量和储存安全状况；检查地方粮食储备收购、销售、轮换以及动用命令的执行情况；</w:t>
      </w:r>
      <w:r>
        <w:rPr>
          <w:rStyle w:val="9"/>
          <w:rFonts w:hint="eastAsia"/>
          <w:b w:val="0"/>
          <w:i w:val="0"/>
          <w:caps w:val="0"/>
          <w:strike w:val="0"/>
          <w:dstrike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地方粮食储备收购、轮换、销售计划，动用指令、命令，以及有关财政和财务核算政策等执行情况</w:t>
      </w:r>
      <w:r>
        <w:rPr>
          <w:rFonts w:hint="eastAsia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检验地方粮食储备质量安全状况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6118"/>
    <w:rsid w:val="749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paragraph" w:styleId="4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paragraph" w:styleId="5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paragraph" w:styleId="6">
    <w:name w:val="Body Text First Indent 2"/>
    <w:next w:val="5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2021-05-25T09:25:00Z</dcterms:created>
  <dc:creator>血竹1400495502</dc:creator>
  <cp:lastModifiedBy>血竹1400495502</cp:lastModifiedBy>
  <dcterms:modified xsi:type="dcterms:W3CDTF">2021-05-25T09:26:17Z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09DEA95546B443B5895390AFF1E89628</vt:lpwstr>
  </property>
</Properties>
</file>