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420" w:leftChars="200"/>
        <w:jc w:val="center"/>
        <w:rPr>
          <w:rFonts w:ascii="黑体" w:hAnsi="黑体" w:eastAsia="黑体" w:cs="仿宋"/>
          <w:b/>
          <w:bCs/>
          <w:sz w:val="52"/>
          <w:szCs w:val="52"/>
        </w:rPr>
      </w:pPr>
      <w:bookmarkStart w:id="55" w:name="_GoBack"/>
      <w:bookmarkEnd w:id="55"/>
    </w:p>
    <w:p>
      <w:pPr>
        <w:pStyle w:val="2"/>
      </w:pPr>
    </w:p>
    <w:p>
      <w:pPr>
        <w:pStyle w:val="2"/>
      </w:pPr>
    </w:p>
    <w:p>
      <w:pPr>
        <w:jc w:val="center"/>
        <w:rPr>
          <w:rFonts w:ascii="方正小标宋简体" w:hAnsi="方正小标宋简体" w:eastAsia="方正小标宋简体" w:cs="方正小标宋简体"/>
          <w:bCs/>
          <w:sz w:val="52"/>
          <w:szCs w:val="52"/>
        </w:rPr>
      </w:pPr>
      <w:r>
        <w:rPr>
          <w:rFonts w:hint="eastAsia" w:ascii="方正小标宋简体" w:hAnsi="方正小标宋简体" w:eastAsia="方正小标宋简体" w:cs="方正小标宋简体"/>
          <w:bCs/>
          <w:sz w:val="52"/>
          <w:szCs w:val="52"/>
          <w:lang w:val="en-US" w:eastAsia="zh-CN"/>
        </w:rPr>
        <w:t xml:space="preserve"> </w:t>
      </w:r>
      <w:r>
        <w:rPr>
          <w:rFonts w:hint="eastAsia" w:ascii="方正小标宋简体" w:hAnsi="方正小标宋简体" w:eastAsia="方正小标宋简体" w:cs="方正小标宋简体"/>
          <w:bCs/>
          <w:sz w:val="52"/>
          <w:szCs w:val="52"/>
        </w:rPr>
        <w:t>四川省“十四五”公共法律服务</w:t>
      </w:r>
    </w:p>
    <w:p>
      <w:pPr>
        <w:jc w:val="center"/>
        <w:rPr>
          <w:rFonts w:ascii="方正小标宋简体" w:hAnsi="方正小标宋简体" w:eastAsia="方正小标宋简体" w:cs="方正小标宋简体"/>
          <w:bCs/>
          <w:sz w:val="52"/>
          <w:szCs w:val="52"/>
        </w:rPr>
      </w:pPr>
      <w:r>
        <w:rPr>
          <w:rFonts w:hint="eastAsia" w:ascii="方正小标宋简体" w:hAnsi="方正小标宋简体" w:eastAsia="方正小标宋简体" w:cs="方正小标宋简体"/>
          <w:bCs/>
          <w:sz w:val="52"/>
          <w:szCs w:val="52"/>
        </w:rPr>
        <w:t xml:space="preserve">体系建设规划 </w:t>
      </w:r>
    </w:p>
    <w:p>
      <w:pPr>
        <w:spacing w:line="360" w:lineRule="auto"/>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（征求意见稿）</w:t>
      </w:r>
    </w:p>
    <w:p>
      <w:pPr>
        <w:spacing w:line="360" w:lineRule="auto"/>
        <w:ind w:left="420" w:leftChars="200"/>
        <w:jc w:val="center"/>
        <w:rPr>
          <w:rFonts w:hint="eastAsia" w:ascii="楷体_GB2312" w:hAnsi="楷体_GB2312" w:eastAsia="楷体_GB2312" w:cs="楷体_GB2312"/>
          <w:b/>
          <w:bCs/>
          <w:sz w:val="32"/>
          <w:szCs w:val="32"/>
        </w:rPr>
      </w:pPr>
    </w:p>
    <w:p>
      <w:pPr>
        <w:spacing w:line="360" w:lineRule="auto"/>
        <w:ind w:left="420" w:leftChars="200"/>
        <w:jc w:val="center"/>
        <w:rPr>
          <w:rFonts w:ascii="黑体" w:hAnsi="黑体" w:eastAsia="黑体" w:cs="仿宋"/>
          <w:b/>
          <w:bCs/>
          <w:sz w:val="52"/>
          <w:szCs w:val="52"/>
        </w:rPr>
      </w:pPr>
    </w:p>
    <w:p>
      <w:pPr>
        <w:spacing w:line="360" w:lineRule="auto"/>
        <w:ind w:left="420" w:leftChars="200"/>
        <w:jc w:val="center"/>
        <w:rPr>
          <w:rFonts w:ascii="黑体" w:hAnsi="黑体" w:eastAsia="黑体" w:cs="仿宋"/>
          <w:b/>
          <w:bCs/>
          <w:sz w:val="52"/>
          <w:szCs w:val="52"/>
        </w:rPr>
      </w:pPr>
    </w:p>
    <w:p>
      <w:pPr>
        <w:spacing w:line="360" w:lineRule="auto"/>
        <w:ind w:left="420" w:leftChars="200"/>
        <w:jc w:val="center"/>
        <w:rPr>
          <w:rFonts w:ascii="黑体" w:hAnsi="黑体" w:eastAsia="黑体" w:cs="仿宋"/>
          <w:b/>
          <w:bCs/>
          <w:sz w:val="52"/>
          <w:szCs w:val="52"/>
        </w:rPr>
      </w:pPr>
    </w:p>
    <w:p>
      <w:pPr>
        <w:spacing w:line="360" w:lineRule="auto"/>
        <w:ind w:left="420" w:leftChars="200"/>
        <w:jc w:val="center"/>
        <w:rPr>
          <w:rFonts w:ascii="黑体" w:hAnsi="黑体" w:eastAsia="黑体" w:cs="仿宋"/>
          <w:b/>
          <w:bCs/>
          <w:sz w:val="52"/>
          <w:szCs w:val="52"/>
        </w:rPr>
      </w:pPr>
    </w:p>
    <w:p>
      <w:pPr>
        <w:pStyle w:val="2"/>
        <w:rPr>
          <w:rFonts w:ascii="黑体" w:hAnsi="黑体" w:eastAsia="黑体" w:cs="仿宋"/>
          <w:b/>
          <w:bCs/>
          <w:sz w:val="52"/>
          <w:szCs w:val="52"/>
        </w:rPr>
      </w:pPr>
    </w:p>
    <w:p/>
    <w:p/>
    <w:p>
      <w:pPr>
        <w:spacing w:line="360" w:lineRule="auto"/>
        <w:jc w:val="center"/>
        <w:rPr>
          <w:rFonts w:ascii="黑体" w:hAnsi="黑体" w:eastAsia="黑体" w:cs="仿宋_GB2312"/>
          <w:sz w:val="32"/>
          <w:szCs w:val="32"/>
        </w:rPr>
      </w:pPr>
      <w:r>
        <w:rPr>
          <w:rFonts w:hint="eastAsia" w:ascii="黑体" w:hAnsi="黑体" w:eastAsia="黑体" w:cs="仿宋_GB2312"/>
          <w:sz w:val="32"/>
          <w:szCs w:val="32"/>
        </w:rPr>
        <w:t>四川省司法厅</w:t>
      </w:r>
    </w:p>
    <w:p>
      <w:pPr>
        <w:spacing w:line="360" w:lineRule="auto"/>
        <w:jc w:val="center"/>
        <w:rPr>
          <w:rFonts w:ascii="黑体" w:hAnsi="黑体" w:eastAsia="黑体" w:cs="仿宋_GB2312"/>
          <w:sz w:val="32"/>
          <w:szCs w:val="32"/>
        </w:rPr>
      </w:pPr>
      <w:r>
        <w:rPr>
          <w:rFonts w:hint="eastAsia" w:ascii="黑体" w:hAnsi="黑体" w:eastAsia="黑体" w:cs="仿宋_GB2312"/>
          <w:sz w:val="32"/>
          <w:szCs w:val="32"/>
        </w:rPr>
        <w:t>2021年7月</w:t>
      </w:r>
    </w:p>
    <w:p>
      <w:pPr>
        <w:jc w:val="center"/>
        <w:rPr>
          <w:rFonts w:ascii="仿宋_GB2312" w:hAnsi="仿宋_GB2312" w:eastAsia="仿宋_GB2312" w:cs="仿宋_GB2312"/>
          <w:sz w:val="32"/>
          <w:szCs w:val="32"/>
        </w:rPr>
      </w:pPr>
    </w:p>
    <w:p>
      <w:pPr>
        <w:pStyle w:val="2"/>
        <w:sectPr>
          <w:footerReference r:id="rId3" w:type="even"/>
          <w:pgSz w:w="11906" w:h="16838"/>
          <w:pgMar w:top="1440" w:right="1800" w:bottom="1440" w:left="1800" w:header="851" w:footer="992" w:gutter="0"/>
          <w:cols w:space="425" w:num="1"/>
          <w:docGrid w:type="lines" w:linePitch="312" w:charSpace="0"/>
        </w:sectPr>
      </w:pPr>
    </w:p>
    <w:p>
      <w:pPr>
        <w:ind w:firstLine="3960" w:firstLineChars="900"/>
        <w:rPr>
          <w:rFonts w:ascii="黑体" w:hAnsi="黑体" w:eastAsia="黑体"/>
          <w:sz w:val="44"/>
          <w:szCs w:val="44"/>
        </w:rPr>
      </w:pPr>
      <w:r>
        <w:rPr>
          <w:rFonts w:ascii="黑体" w:hAnsi="黑体" w:eastAsia="黑体"/>
          <w:sz w:val="44"/>
          <w:szCs w:val="44"/>
        </w:rPr>
        <w:t>目</w:t>
      </w:r>
      <w:r>
        <w:rPr>
          <w:rFonts w:hint="eastAsia" w:ascii="黑体" w:hAnsi="黑体" w:eastAsia="黑体"/>
          <w:sz w:val="44"/>
          <w:szCs w:val="44"/>
        </w:rPr>
        <w:t xml:space="preserve">  </w:t>
      </w:r>
      <w:r>
        <w:rPr>
          <w:rFonts w:ascii="黑体" w:hAnsi="黑体" w:eastAsia="黑体"/>
          <w:sz w:val="44"/>
          <w:szCs w:val="44"/>
        </w:rPr>
        <w:t>录</w:t>
      </w:r>
    </w:p>
    <w:p>
      <w:pPr>
        <w:pStyle w:val="2"/>
        <w:rPr>
          <w:rFonts w:eastAsia="仿宋" w:asciiTheme="majorBidi" w:hAnsiTheme="majorBidi" w:cstheme="majorBidi"/>
          <w:sz w:val="32"/>
          <w:szCs w:val="32"/>
        </w:rPr>
      </w:pPr>
    </w:p>
    <w:p>
      <w:pPr>
        <w:pStyle w:val="6"/>
        <w:tabs>
          <w:tab w:val="right" w:leader="dot" w:pos="8844"/>
        </w:tabs>
        <w:rPr>
          <w:rFonts w:hint="eastAsia" w:ascii="黑体" w:hAnsi="黑体" w:eastAsia="黑体" w:cs="黑体"/>
          <w:color w:val="121212"/>
          <w:sz w:val="32"/>
          <w:szCs w:val="32"/>
        </w:rPr>
      </w:pPr>
      <w:r>
        <w:rPr>
          <w:rFonts w:eastAsia="仿宋" w:asciiTheme="majorBidi" w:hAnsiTheme="majorBidi" w:cstheme="majorBidi"/>
          <w:color w:val="121212"/>
          <w:sz w:val="32"/>
          <w:szCs w:val="32"/>
        </w:rPr>
        <w:fldChar w:fldCharType="begin"/>
      </w:r>
      <w:r>
        <w:rPr>
          <w:rFonts w:eastAsia="仿宋" w:asciiTheme="majorBidi" w:hAnsiTheme="majorBidi" w:cstheme="majorBidi"/>
          <w:color w:val="121212"/>
          <w:sz w:val="32"/>
          <w:szCs w:val="32"/>
        </w:rPr>
        <w:instrText xml:space="preserve">TOC \o "1-3" \h \u </w:instrText>
      </w:r>
      <w:r>
        <w:rPr>
          <w:rFonts w:eastAsia="仿宋" w:asciiTheme="majorBidi" w:hAnsiTheme="majorBidi" w:cstheme="majorBidi"/>
          <w:color w:val="121212"/>
          <w:sz w:val="32"/>
          <w:szCs w:val="32"/>
        </w:rPr>
        <w:fldChar w:fldCharType="separate"/>
      </w:r>
      <w:r>
        <w:rPr>
          <w:rFonts w:hint="eastAsia" w:ascii="黑体" w:hAnsi="黑体" w:eastAsia="黑体" w:cs="黑体"/>
          <w:color w:val="121212"/>
        </w:rPr>
        <w:fldChar w:fldCharType="begin"/>
      </w:r>
      <w:r>
        <w:rPr>
          <w:rFonts w:hint="eastAsia" w:ascii="黑体" w:hAnsi="黑体" w:eastAsia="黑体" w:cs="黑体"/>
          <w:color w:val="121212"/>
        </w:rPr>
        <w:instrText xml:space="preserve"> HYPERLINK \l "_Toc30219" </w:instrText>
      </w:r>
      <w:r>
        <w:rPr>
          <w:rFonts w:hint="eastAsia" w:ascii="黑体" w:hAnsi="黑体" w:eastAsia="黑体" w:cs="黑体"/>
          <w:color w:val="121212"/>
        </w:rPr>
        <w:fldChar w:fldCharType="separate"/>
      </w:r>
      <w:r>
        <w:rPr>
          <w:rFonts w:hint="eastAsia" w:ascii="黑体" w:hAnsi="黑体" w:eastAsia="黑体" w:cs="黑体"/>
          <w:color w:val="121212"/>
          <w:sz w:val="32"/>
          <w:szCs w:val="32"/>
        </w:rPr>
        <w:t>第一章  规划背景</w:t>
      </w:r>
      <w:r>
        <w:rPr>
          <w:rFonts w:hint="eastAsia" w:ascii="黑体" w:hAnsi="黑体" w:eastAsia="黑体" w:cs="黑体"/>
          <w:color w:val="121212"/>
          <w:sz w:val="32"/>
          <w:szCs w:val="32"/>
        </w:rPr>
        <w:tab/>
      </w:r>
      <w:r>
        <w:rPr>
          <w:rFonts w:hint="eastAsia" w:ascii="黑体" w:hAnsi="黑体" w:eastAsia="黑体" w:cs="黑体"/>
          <w:color w:val="121212"/>
          <w:sz w:val="32"/>
          <w:szCs w:val="32"/>
        </w:rPr>
        <w:fldChar w:fldCharType="begin"/>
      </w:r>
      <w:r>
        <w:rPr>
          <w:rFonts w:hint="eastAsia" w:ascii="黑体" w:hAnsi="黑体" w:eastAsia="黑体" w:cs="黑体"/>
          <w:color w:val="121212"/>
          <w:sz w:val="32"/>
          <w:szCs w:val="32"/>
        </w:rPr>
        <w:instrText xml:space="preserve"> PAGEREF _Toc30219 </w:instrText>
      </w:r>
      <w:r>
        <w:rPr>
          <w:rFonts w:hint="eastAsia" w:ascii="黑体" w:hAnsi="黑体" w:eastAsia="黑体" w:cs="黑体"/>
          <w:color w:val="121212"/>
          <w:sz w:val="32"/>
          <w:szCs w:val="32"/>
        </w:rPr>
        <w:fldChar w:fldCharType="separate"/>
      </w:r>
      <w:r>
        <w:rPr>
          <w:rFonts w:hint="eastAsia" w:ascii="黑体" w:hAnsi="黑体" w:eastAsia="黑体" w:cs="黑体"/>
          <w:color w:val="121212"/>
          <w:sz w:val="32"/>
          <w:szCs w:val="32"/>
        </w:rPr>
        <w:t>1</w:t>
      </w:r>
      <w:r>
        <w:rPr>
          <w:rFonts w:hint="eastAsia" w:ascii="黑体" w:hAnsi="黑体" w:eastAsia="黑体" w:cs="黑体"/>
          <w:color w:val="121212"/>
          <w:sz w:val="32"/>
          <w:szCs w:val="32"/>
        </w:rPr>
        <w:fldChar w:fldCharType="end"/>
      </w:r>
      <w:r>
        <w:rPr>
          <w:rFonts w:hint="eastAsia" w:ascii="黑体" w:hAnsi="黑体" w:eastAsia="黑体" w:cs="黑体"/>
          <w:color w:val="121212"/>
          <w:sz w:val="32"/>
          <w:szCs w:val="32"/>
        </w:rPr>
        <w:fldChar w:fldCharType="end"/>
      </w:r>
    </w:p>
    <w:p>
      <w:pPr>
        <w:pStyle w:val="7"/>
        <w:tabs>
          <w:tab w:val="right" w:leader="dot" w:pos="8844"/>
        </w:tabs>
        <w:rPr>
          <w:rFonts w:hint="eastAsia" w:ascii="楷体_GB2312" w:hAnsi="楷体_GB2312" w:eastAsia="楷体_GB2312" w:cs="楷体_GB2312"/>
          <w:color w:val="121212"/>
          <w:sz w:val="32"/>
          <w:szCs w:val="32"/>
        </w:rPr>
      </w:pPr>
      <w:r>
        <w:rPr>
          <w:rFonts w:hint="eastAsia" w:ascii="楷体_GB2312" w:hAnsi="楷体_GB2312" w:eastAsia="楷体_GB2312" w:cs="楷体_GB2312"/>
          <w:color w:val="121212"/>
        </w:rPr>
        <w:fldChar w:fldCharType="begin"/>
      </w:r>
      <w:r>
        <w:rPr>
          <w:rFonts w:hint="eastAsia" w:ascii="楷体_GB2312" w:hAnsi="楷体_GB2312" w:eastAsia="楷体_GB2312" w:cs="楷体_GB2312"/>
          <w:color w:val="121212"/>
        </w:rPr>
        <w:instrText xml:space="preserve"> HYPERLINK \l "_Toc22950" </w:instrText>
      </w:r>
      <w:r>
        <w:rPr>
          <w:rFonts w:hint="eastAsia" w:ascii="楷体_GB2312" w:hAnsi="楷体_GB2312" w:eastAsia="楷体_GB2312" w:cs="楷体_GB2312"/>
          <w:color w:val="121212"/>
        </w:rPr>
        <w:fldChar w:fldCharType="separate"/>
      </w:r>
      <w:r>
        <w:rPr>
          <w:rFonts w:hint="eastAsia" w:ascii="楷体_GB2312" w:hAnsi="楷体_GB2312" w:eastAsia="楷体_GB2312" w:cs="楷体_GB2312"/>
          <w:color w:val="121212"/>
          <w:sz w:val="32"/>
          <w:szCs w:val="32"/>
        </w:rPr>
        <w:t>第一节  发展基础</w:t>
      </w:r>
      <w:r>
        <w:rPr>
          <w:rFonts w:hint="eastAsia" w:ascii="楷体_GB2312" w:hAnsi="楷体_GB2312" w:eastAsia="楷体_GB2312" w:cs="楷体_GB2312"/>
          <w:color w:val="121212"/>
          <w:sz w:val="32"/>
          <w:szCs w:val="32"/>
        </w:rPr>
        <w:tab/>
      </w:r>
      <w:r>
        <w:rPr>
          <w:rFonts w:hint="eastAsia" w:ascii="楷体_GB2312" w:hAnsi="楷体_GB2312" w:eastAsia="楷体_GB2312" w:cs="楷体_GB2312"/>
          <w:color w:val="121212"/>
          <w:sz w:val="32"/>
          <w:szCs w:val="32"/>
        </w:rPr>
        <w:fldChar w:fldCharType="begin"/>
      </w:r>
      <w:r>
        <w:rPr>
          <w:rFonts w:hint="eastAsia" w:ascii="楷体_GB2312" w:hAnsi="楷体_GB2312" w:eastAsia="楷体_GB2312" w:cs="楷体_GB2312"/>
          <w:color w:val="121212"/>
          <w:sz w:val="32"/>
          <w:szCs w:val="32"/>
        </w:rPr>
        <w:instrText xml:space="preserve"> PAGEREF _Toc22950 </w:instrText>
      </w:r>
      <w:r>
        <w:rPr>
          <w:rFonts w:hint="eastAsia" w:ascii="楷体_GB2312" w:hAnsi="楷体_GB2312" w:eastAsia="楷体_GB2312" w:cs="楷体_GB2312"/>
          <w:color w:val="121212"/>
          <w:sz w:val="32"/>
          <w:szCs w:val="32"/>
        </w:rPr>
        <w:fldChar w:fldCharType="separate"/>
      </w:r>
      <w:r>
        <w:rPr>
          <w:rFonts w:hint="eastAsia" w:ascii="楷体_GB2312" w:hAnsi="楷体_GB2312" w:eastAsia="楷体_GB2312" w:cs="楷体_GB2312"/>
          <w:color w:val="121212"/>
          <w:sz w:val="32"/>
          <w:szCs w:val="32"/>
        </w:rPr>
        <w:t>1</w:t>
      </w:r>
      <w:r>
        <w:rPr>
          <w:rFonts w:hint="eastAsia" w:ascii="楷体_GB2312" w:hAnsi="楷体_GB2312" w:eastAsia="楷体_GB2312" w:cs="楷体_GB2312"/>
          <w:color w:val="121212"/>
          <w:sz w:val="32"/>
          <w:szCs w:val="32"/>
        </w:rPr>
        <w:fldChar w:fldCharType="end"/>
      </w:r>
      <w:r>
        <w:rPr>
          <w:rFonts w:hint="eastAsia" w:ascii="楷体_GB2312" w:hAnsi="楷体_GB2312" w:eastAsia="楷体_GB2312" w:cs="楷体_GB2312"/>
          <w:color w:val="121212"/>
          <w:sz w:val="32"/>
          <w:szCs w:val="32"/>
        </w:rPr>
        <w:fldChar w:fldCharType="end"/>
      </w:r>
    </w:p>
    <w:p>
      <w:pPr>
        <w:pStyle w:val="7"/>
        <w:tabs>
          <w:tab w:val="right" w:leader="dot" w:pos="8844"/>
        </w:tabs>
        <w:rPr>
          <w:rFonts w:ascii="仿宋" w:hAnsi="仿宋" w:eastAsia="仿宋" w:cs="仿宋"/>
          <w:color w:val="121212"/>
          <w:sz w:val="32"/>
          <w:szCs w:val="32"/>
        </w:rPr>
      </w:pPr>
      <w:r>
        <w:rPr>
          <w:rFonts w:hint="eastAsia" w:ascii="楷体_GB2312" w:hAnsi="楷体_GB2312" w:eastAsia="楷体_GB2312" w:cs="楷体_GB2312"/>
          <w:color w:val="121212"/>
        </w:rPr>
        <w:fldChar w:fldCharType="begin"/>
      </w:r>
      <w:r>
        <w:rPr>
          <w:rFonts w:hint="eastAsia" w:ascii="楷体_GB2312" w:hAnsi="楷体_GB2312" w:eastAsia="楷体_GB2312" w:cs="楷体_GB2312"/>
          <w:color w:val="121212"/>
        </w:rPr>
        <w:instrText xml:space="preserve"> HYPERLINK \l "_Toc28979" </w:instrText>
      </w:r>
      <w:r>
        <w:rPr>
          <w:rFonts w:hint="eastAsia" w:ascii="楷体_GB2312" w:hAnsi="楷体_GB2312" w:eastAsia="楷体_GB2312" w:cs="楷体_GB2312"/>
          <w:color w:val="121212"/>
        </w:rPr>
        <w:fldChar w:fldCharType="separate"/>
      </w:r>
      <w:r>
        <w:rPr>
          <w:rFonts w:hint="eastAsia" w:ascii="楷体_GB2312" w:hAnsi="楷体_GB2312" w:eastAsia="楷体_GB2312" w:cs="楷体_GB2312"/>
          <w:color w:val="121212"/>
          <w:sz w:val="32"/>
          <w:szCs w:val="32"/>
        </w:rPr>
        <w:t>第二节  面临形势</w:t>
      </w:r>
      <w:r>
        <w:rPr>
          <w:rFonts w:hint="eastAsia" w:ascii="楷体_GB2312" w:hAnsi="楷体_GB2312" w:eastAsia="楷体_GB2312" w:cs="楷体_GB2312"/>
          <w:color w:val="121212"/>
          <w:sz w:val="32"/>
          <w:szCs w:val="32"/>
        </w:rPr>
        <w:tab/>
      </w:r>
      <w:r>
        <w:rPr>
          <w:rFonts w:hint="eastAsia" w:ascii="楷体_GB2312" w:hAnsi="楷体_GB2312" w:eastAsia="楷体_GB2312" w:cs="楷体_GB2312"/>
          <w:color w:val="121212"/>
          <w:sz w:val="32"/>
          <w:szCs w:val="32"/>
        </w:rPr>
        <w:fldChar w:fldCharType="begin"/>
      </w:r>
      <w:r>
        <w:rPr>
          <w:rFonts w:hint="eastAsia" w:ascii="楷体_GB2312" w:hAnsi="楷体_GB2312" w:eastAsia="楷体_GB2312" w:cs="楷体_GB2312"/>
          <w:color w:val="121212"/>
          <w:sz w:val="32"/>
          <w:szCs w:val="32"/>
        </w:rPr>
        <w:instrText xml:space="preserve"> PAGEREF _Toc28979 </w:instrText>
      </w:r>
      <w:r>
        <w:rPr>
          <w:rFonts w:hint="eastAsia" w:ascii="楷体_GB2312" w:hAnsi="楷体_GB2312" w:eastAsia="楷体_GB2312" w:cs="楷体_GB2312"/>
          <w:color w:val="121212"/>
          <w:sz w:val="32"/>
          <w:szCs w:val="32"/>
        </w:rPr>
        <w:fldChar w:fldCharType="separate"/>
      </w:r>
      <w:r>
        <w:rPr>
          <w:rFonts w:hint="eastAsia" w:ascii="楷体_GB2312" w:hAnsi="楷体_GB2312" w:eastAsia="楷体_GB2312" w:cs="楷体_GB2312"/>
          <w:color w:val="121212"/>
          <w:sz w:val="32"/>
          <w:szCs w:val="32"/>
        </w:rPr>
        <w:t>3</w:t>
      </w:r>
      <w:r>
        <w:rPr>
          <w:rFonts w:hint="eastAsia" w:ascii="楷体_GB2312" w:hAnsi="楷体_GB2312" w:eastAsia="楷体_GB2312" w:cs="楷体_GB2312"/>
          <w:color w:val="121212"/>
          <w:sz w:val="32"/>
          <w:szCs w:val="32"/>
        </w:rPr>
        <w:fldChar w:fldCharType="end"/>
      </w:r>
      <w:r>
        <w:rPr>
          <w:rFonts w:hint="eastAsia" w:ascii="楷体_GB2312" w:hAnsi="楷体_GB2312" w:eastAsia="楷体_GB2312" w:cs="楷体_GB2312"/>
          <w:color w:val="121212"/>
          <w:sz w:val="32"/>
          <w:szCs w:val="32"/>
        </w:rPr>
        <w:fldChar w:fldCharType="end"/>
      </w:r>
    </w:p>
    <w:p>
      <w:pPr>
        <w:pStyle w:val="6"/>
        <w:tabs>
          <w:tab w:val="right" w:leader="dot" w:pos="8844"/>
        </w:tabs>
        <w:rPr>
          <w:rFonts w:hint="eastAsia" w:ascii="黑体" w:hAnsi="黑体" w:eastAsia="黑体" w:cs="黑体"/>
          <w:color w:val="121212"/>
          <w:sz w:val="32"/>
          <w:szCs w:val="32"/>
        </w:rPr>
      </w:pPr>
      <w:r>
        <w:rPr>
          <w:rFonts w:hint="eastAsia" w:ascii="黑体" w:hAnsi="黑体" w:eastAsia="黑体" w:cs="黑体"/>
          <w:color w:val="121212"/>
          <w:sz w:val="32"/>
          <w:szCs w:val="32"/>
        </w:rPr>
        <w:fldChar w:fldCharType="begin"/>
      </w:r>
      <w:r>
        <w:rPr>
          <w:rFonts w:hint="eastAsia" w:ascii="黑体" w:hAnsi="黑体" w:eastAsia="黑体" w:cs="黑体"/>
          <w:color w:val="121212"/>
          <w:sz w:val="32"/>
          <w:szCs w:val="32"/>
        </w:rPr>
        <w:instrText xml:space="preserve"> HYPERLINK \l "_Toc17380" </w:instrText>
      </w:r>
      <w:r>
        <w:rPr>
          <w:rFonts w:hint="eastAsia" w:ascii="黑体" w:hAnsi="黑体" w:eastAsia="黑体" w:cs="黑体"/>
          <w:color w:val="121212"/>
          <w:sz w:val="32"/>
          <w:szCs w:val="32"/>
        </w:rPr>
        <w:fldChar w:fldCharType="separate"/>
      </w:r>
      <w:r>
        <w:rPr>
          <w:rFonts w:hint="eastAsia" w:ascii="黑体" w:hAnsi="黑体" w:eastAsia="黑体" w:cs="黑体"/>
          <w:color w:val="121212"/>
          <w:sz w:val="32"/>
          <w:szCs w:val="32"/>
        </w:rPr>
        <w:t>第二章  总体要求</w:t>
      </w:r>
      <w:r>
        <w:rPr>
          <w:rFonts w:hint="eastAsia" w:ascii="黑体" w:hAnsi="黑体" w:eastAsia="黑体" w:cs="黑体"/>
          <w:color w:val="121212"/>
          <w:sz w:val="32"/>
          <w:szCs w:val="32"/>
        </w:rPr>
        <w:tab/>
      </w:r>
      <w:r>
        <w:rPr>
          <w:rFonts w:hint="eastAsia" w:ascii="黑体" w:hAnsi="黑体" w:eastAsia="黑体" w:cs="黑体"/>
          <w:color w:val="121212"/>
          <w:sz w:val="32"/>
          <w:szCs w:val="32"/>
        </w:rPr>
        <w:fldChar w:fldCharType="begin"/>
      </w:r>
      <w:r>
        <w:rPr>
          <w:rFonts w:hint="eastAsia" w:ascii="黑体" w:hAnsi="黑体" w:eastAsia="黑体" w:cs="黑体"/>
          <w:color w:val="121212"/>
          <w:sz w:val="32"/>
          <w:szCs w:val="32"/>
        </w:rPr>
        <w:instrText xml:space="preserve"> PAGEREF _Toc17380 </w:instrText>
      </w:r>
      <w:r>
        <w:rPr>
          <w:rFonts w:hint="eastAsia" w:ascii="黑体" w:hAnsi="黑体" w:eastAsia="黑体" w:cs="黑体"/>
          <w:color w:val="121212"/>
          <w:sz w:val="32"/>
          <w:szCs w:val="32"/>
        </w:rPr>
        <w:fldChar w:fldCharType="separate"/>
      </w:r>
      <w:r>
        <w:rPr>
          <w:rFonts w:hint="eastAsia" w:ascii="黑体" w:hAnsi="黑体" w:eastAsia="黑体" w:cs="黑体"/>
          <w:color w:val="121212"/>
          <w:sz w:val="32"/>
          <w:szCs w:val="32"/>
        </w:rPr>
        <w:t>4</w:t>
      </w:r>
      <w:r>
        <w:rPr>
          <w:rFonts w:hint="eastAsia" w:ascii="黑体" w:hAnsi="黑体" w:eastAsia="黑体" w:cs="黑体"/>
          <w:color w:val="121212"/>
          <w:sz w:val="32"/>
          <w:szCs w:val="32"/>
        </w:rPr>
        <w:fldChar w:fldCharType="end"/>
      </w:r>
      <w:r>
        <w:rPr>
          <w:rFonts w:hint="eastAsia" w:ascii="黑体" w:hAnsi="黑体" w:eastAsia="黑体" w:cs="黑体"/>
          <w:color w:val="121212"/>
          <w:sz w:val="32"/>
          <w:szCs w:val="32"/>
        </w:rPr>
        <w:fldChar w:fldCharType="end"/>
      </w:r>
    </w:p>
    <w:p>
      <w:pPr>
        <w:pStyle w:val="7"/>
        <w:tabs>
          <w:tab w:val="right" w:leader="dot" w:pos="8844"/>
        </w:tabs>
        <w:rPr>
          <w:rFonts w:hint="eastAsia" w:ascii="楷体" w:hAnsi="楷体" w:eastAsia="楷体" w:cs="楷体"/>
          <w:color w:val="121212"/>
          <w:sz w:val="32"/>
          <w:szCs w:val="32"/>
        </w:rPr>
      </w:pPr>
      <w:r>
        <w:rPr>
          <w:rFonts w:hint="eastAsia" w:ascii="楷体" w:hAnsi="楷体" w:eastAsia="楷体" w:cs="楷体"/>
          <w:color w:val="121212"/>
          <w:sz w:val="32"/>
          <w:szCs w:val="32"/>
        </w:rPr>
        <w:fldChar w:fldCharType="begin"/>
      </w:r>
      <w:r>
        <w:rPr>
          <w:rFonts w:hint="eastAsia" w:ascii="楷体" w:hAnsi="楷体" w:eastAsia="楷体" w:cs="楷体"/>
          <w:color w:val="121212"/>
          <w:sz w:val="32"/>
          <w:szCs w:val="32"/>
        </w:rPr>
        <w:instrText xml:space="preserve"> HYPERLINK \l "_Toc7799" </w:instrText>
      </w:r>
      <w:r>
        <w:rPr>
          <w:rFonts w:hint="eastAsia" w:ascii="楷体" w:hAnsi="楷体" w:eastAsia="楷体" w:cs="楷体"/>
          <w:color w:val="121212"/>
          <w:sz w:val="32"/>
          <w:szCs w:val="32"/>
        </w:rPr>
        <w:fldChar w:fldCharType="separate"/>
      </w:r>
      <w:r>
        <w:rPr>
          <w:rFonts w:hint="eastAsia" w:ascii="楷体" w:hAnsi="楷体" w:eastAsia="楷体" w:cs="楷体"/>
          <w:color w:val="121212"/>
          <w:sz w:val="32"/>
          <w:szCs w:val="32"/>
        </w:rPr>
        <w:t>第一节  指导思想</w:t>
      </w:r>
      <w:r>
        <w:rPr>
          <w:rFonts w:hint="eastAsia" w:ascii="楷体" w:hAnsi="楷体" w:eastAsia="楷体" w:cs="楷体"/>
          <w:color w:val="121212"/>
          <w:sz w:val="32"/>
          <w:szCs w:val="32"/>
        </w:rPr>
        <w:tab/>
      </w:r>
      <w:r>
        <w:rPr>
          <w:rFonts w:hint="eastAsia" w:ascii="楷体" w:hAnsi="楷体" w:eastAsia="楷体" w:cs="楷体"/>
          <w:color w:val="121212"/>
          <w:sz w:val="32"/>
          <w:szCs w:val="32"/>
        </w:rPr>
        <w:fldChar w:fldCharType="begin"/>
      </w:r>
      <w:r>
        <w:rPr>
          <w:rFonts w:hint="eastAsia" w:ascii="楷体" w:hAnsi="楷体" w:eastAsia="楷体" w:cs="楷体"/>
          <w:color w:val="121212"/>
          <w:sz w:val="32"/>
          <w:szCs w:val="32"/>
        </w:rPr>
        <w:instrText xml:space="preserve"> PAGEREF _Toc7799 </w:instrText>
      </w:r>
      <w:r>
        <w:rPr>
          <w:rFonts w:hint="eastAsia" w:ascii="楷体" w:hAnsi="楷体" w:eastAsia="楷体" w:cs="楷体"/>
          <w:color w:val="121212"/>
          <w:sz w:val="32"/>
          <w:szCs w:val="32"/>
        </w:rPr>
        <w:fldChar w:fldCharType="separate"/>
      </w:r>
      <w:r>
        <w:rPr>
          <w:rFonts w:hint="eastAsia" w:ascii="楷体" w:hAnsi="楷体" w:eastAsia="楷体" w:cs="楷体"/>
          <w:color w:val="121212"/>
          <w:sz w:val="32"/>
          <w:szCs w:val="32"/>
        </w:rPr>
        <w:t>4</w:t>
      </w:r>
      <w:r>
        <w:rPr>
          <w:rFonts w:hint="eastAsia" w:ascii="楷体" w:hAnsi="楷体" w:eastAsia="楷体" w:cs="楷体"/>
          <w:color w:val="121212"/>
          <w:sz w:val="32"/>
          <w:szCs w:val="32"/>
        </w:rPr>
        <w:fldChar w:fldCharType="end"/>
      </w:r>
      <w:r>
        <w:rPr>
          <w:rFonts w:hint="eastAsia" w:ascii="楷体" w:hAnsi="楷体" w:eastAsia="楷体" w:cs="楷体"/>
          <w:color w:val="121212"/>
          <w:sz w:val="32"/>
          <w:szCs w:val="32"/>
        </w:rPr>
        <w:fldChar w:fldCharType="end"/>
      </w:r>
    </w:p>
    <w:p>
      <w:pPr>
        <w:pStyle w:val="7"/>
        <w:tabs>
          <w:tab w:val="right" w:leader="dot" w:pos="8844"/>
        </w:tabs>
        <w:rPr>
          <w:rFonts w:hint="eastAsia" w:ascii="楷体" w:hAnsi="楷体" w:eastAsia="楷体" w:cs="楷体"/>
          <w:color w:val="121212"/>
          <w:sz w:val="32"/>
          <w:szCs w:val="32"/>
        </w:rPr>
      </w:pPr>
      <w:r>
        <w:rPr>
          <w:rFonts w:hint="eastAsia" w:ascii="楷体" w:hAnsi="楷体" w:eastAsia="楷体" w:cs="楷体"/>
          <w:color w:val="121212"/>
          <w:sz w:val="32"/>
          <w:szCs w:val="32"/>
        </w:rPr>
        <w:fldChar w:fldCharType="begin"/>
      </w:r>
      <w:r>
        <w:rPr>
          <w:rFonts w:hint="eastAsia" w:ascii="楷体" w:hAnsi="楷体" w:eastAsia="楷体" w:cs="楷体"/>
          <w:color w:val="121212"/>
          <w:sz w:val="32"/>
          <w:szCs w:val="32"/>
        </w:rPr>
        <w:instrText xml:space="preserve"> HYPERLINK \l "_Toc31413" </w:instrText>
      </w:r>
      <w:r>
        <w:rPr>
          <w:rFonts w:hint="eastAsia" w:ascii="楷体" w:hAnsi="楷体" w:eastAsia="楷体" w:cs="楷体"/>
          <w:color w:val="121212"/>
          <w:sz w:val="32"/>
          <w:szCs w:val="32"/>
        </w:rPr>
        <w:fldChar w:fldCharType="separate"/>
      </w:r>
      <w:r>
        <w:rPr>
          <w:rFonts w:hint="eastAsia" w:ascii="楷体" w:hAnsi="楷体" w:eastAsia="楷体" w:cs="楷体"/>
          <w:color w:val="121212"/>
          <w:sz w:val="32"/>
          <w:szCs w:val="32"/>
        </w:rPr>
        <w:t>第二节  基本原则</w:t>
      </w:r>
      <w:r>
        <w:rPr>
          <w:rFonts w:hint="eastAsia" w:ascii="楷体" w:hAnsi="楷体" w:eastAsia="楷体" w:cs="楷体"/>
          <w:color w:val="121212"/>
          <w:sz w:val="32"/>
          <w:szCs w:val="32"/>
        </w:rPr>
        <w:tab/>
      </w:r>
      <w:r>
        <w:rPr>
          <w:rFonts w:hint="eastAsia" w:ascii="楷体" w:hAnsi="楷体" w:eastAsia="楷体" w:cs="楷体"/>
          <w:color w:val="121212"/>
          <w:sz w:val="32"/>
          <w:szCs w:val="32"/>
        </w:rPr>
        <w:fldChar w:fldCharType="begin"/>
      </w:r>
      <w:r>
        <w:rPr>
          <w:rFonts w:hint="eastAsia" w:ascii="楷体" w:hAnsi="楷体" w:eastAsia="楷体" w:cs="楷体"/>
          <w:color w:val="121212"/>
          <w:sz w:val="32"/>
          <w:szCs w:val="32"/>
        </w:rPr>
        <w:instrText xml:space="preserve"> PAGEREF _Toc31413 </w:instrText>
      </w:r>
      <w:r>
        <w:rPr>
          <w:rFonts w:hint="eastAsia" w:ascii="楷体" w:hAnsi="楷体" w:eastAsia="楷体" w:cs="楷体"/>
          <w:color w:val="121212"/>
          <w:sz w:val="32"/>
          <w:szCs w:val="32"/>
        </w:rPr>
        <w:fldChar w:fldCharType="separate"/>
      </w:r>
      <w:r>
        <w:rPr>
          <w:rFonts w:hint="eastAsia" w:ascii="楷体" w:hAnsi="楷体" w:eastAsia="楷体" w:cs="楷体"/>
          <w:color w:val="121212"/>
          <w:sz w:val="32"/>
          <w:szCs w:val="32"/>
        </w:rPr>
        <w:t>5</w:t>
      </w:r>
      <w:r>
        <w:rPr>
          <w:rFonts w:hint="eastAsia" w:ascii="楷体" w:hAnsi="楷体" w:eastAsia="楷体" w:cs="楷体"/>
          <w:color w:val="121212"/>
          <w:sz w:val="32"/>
          <w:szCs w:val="32"/>
        </w:rPr>
        <w:fldChar w:fldCharType="end"/>
      </w:r>
      <w:r>
        <w:rPr>
          <w:rFonts w:hint="eastAsia" w:ascii="楷体" w:hAnsi="楷体" w:eastAsia="楷体" w:cs="楷体"/>
          <w:color w:val="121212"/>
          <w:sz w:val="32"/>
          <w:szCs w:val="32"/>
        </w:rPr>
        <w:fldChar w:fldCharType="end"/>
      </w:r>
    </w:p>
    <w:p>
      <w:pPr>
        <w:pStyle w:val="7"/>
        <w:tabs>
          <w:tab w:val="right" w:leader="dot" w:pos="8844"/>
        </w:tabs>
        <w:rPr>
          <w:rFonts w:ascii="仿宋" w:hAnsi="仿宋" w:eastAsia="仿宋" w:cs="仿宋"/>
          <w:color w:val="121212"/>
          <w:sz w:val="32"/>
          <w:szCs w:val="32"/>
        </w:rPr>
      </w:pPr>
      <w:r>
        <w:rPr>
          <w:rFonts w:hint="eastAsia" w:ascii="楷体" w:hAnsi="楷体" w:eastAsia="楷体" w:cs="楷体"/>
          <w:color w:val="121212"/>
          <w:sz w:val="32"/>
          <w:szCs w:val="32"/>
        </w:rPr>
        <w:fldChar w:fldCharType="begin"/>
      </w:r>
      <w:r>
        <w:rPr>
          <w:rFonts w:hint="eastAsia" w:ascii="楷体" w:hAnsi="楷体" w:eastAsia="楷体" w:cs="楷体"/>
          <w:color w:val="121212"/>
          <w:sz w:val="32"/>
          <w:szCs w:val="32"/>
        </w:rPr>
        <w:instrText xml:space="preserve"> HYPERLINK \l "_Toc13894" </w:instrText>
      </w:r>
      <w:r>
        <w:rPr>
          <w:rFonts w:hint="eastAsia" w:ascii="楷体" w:hAnsi="楷体" w:eastAsia="楷体" w:cs="楷体"/>
          <w:color w:val="121212"/>
          <w:sz w:val="32"/>
          <w:szCs w:val="32"/>
        </w:rPr>
        <w:fldChar w:fldCharType="separate"/>
      </w:r>
      <w:r>
        <w:rPr>
          <w:rFonts w:hint="eastAsia" w:ascii="楷体" w:hAnsi="楷体" w:eastAsia="楷体" w:cs="楷体"/>
          <w:color w:val="121212"/>
          <w:sz w:val="32"/>
          <w:szCs w:val="32"/>
        </w:rPr>
        <w:t>第三节  主要目标</w:t>
      </w:r>
      <w:r>
        <w:rPr>
          <w:rFonts w:hint="eastAsia" w:ascii="楷体" w:hAnsi="楷体" w:eastAsia="楷体" w:cs="楷体"/>
          <w:color w:val="121212"/>
          <w:sz w:val="32"/>
          <w:szCs w:val="32"/>
        </w:rPr>
        <w:tab/>
      </w:r>
      <w:r>
        <w:rPr>
          <w:rFonts w:hint="eastAsia" w:ascii="楷体" w:hAnsi="楷体" w:eastAsia="楷体" w:cs="楷体"/>
          <w:color w:val="121212"/>
          <w:sz w:val="32"/>
          <w:szCs w:val="32"/>
        </w:rPr>
        <w:fldChar w:fldCharType="begin"/>
      </w:r>
      <w:r>
        <w:rPr>
          <w:rFonts w:hint="eastAsia" w:ascii="楷体" w:hAnsi="楷体" w:eastAsia="楷体" w:cs="楷体"/>
          <w:color w:val="121212"/>
          <w:sz w:val="32"/>
          <w:szCs w:val="32"/>
        </w:rPr>
        <w:instrText xml:space="preserve"> PAGEREF _Toc13894 </w:instrText>
      </w:r>
      <w:r>
        <w:rPr>
          <w:rFonts w:hint="eastAsia" w:ascii="楷体" w:hAnsi="楷体" w:eastAsia="楷体" w:cs="楷体"/>
          <w:color w:val="121212"/>
          <w:sz w:val="32"/>
          <w:szCs w:val="32"/>
        </w:rPr>
        <w:fldChar w:fldCharType="separate"/>
      </w:r>
      <w:r>
        <w:rPr>
          <w:rFonts w:hint="eastAsia" w:ascii="楷体" w:hAnsi="楷体" w:eastAsia="楷体" w:cs="楷体"/>
          <w:color w:val="121212"/>
          <w:sz w:val="32"/>
          <w:szCs w:val="32"/>
        </w:rPr>
        <w:t>6</w:t>
      </w:r>
      <w:r>
        <w:rPr>
          <w:rFonts w:hint="eastAsia" w:ascii="楷体" w:hAnsi="楷体" w:eastAsia="楷体" w:cs="楷体"/>
          <w:color w:val="121212"/>
          <w:sz w:val="32"/>
          <w:szCs w:val="32"/>
        </w:rPr>
        <w:fldChar w:fldCharType="end"/>
      </w:r>
      <w:r>
        <w:rPr>
          <w:rFonts w:hint="eastAsia" w:ascii="楷体" w:hAnsi="楷体" w:eastAsia="楷体" w:cs="楷体"/>
          <w:color w:val="121212"/>
          <w:sz w:val="32"/>
          <w:szCs w:val="32"/>
        </w:rPr>
        <w:fldChar w:fldCharType="end"/>
      </w:r>
    </w:p>
    <w:p>
      <w:pPr>
        <w:pStyle w:val="6"/>
        <w:tabs>
          <w:tab w:val="right" w:leader="dot" w:pos="8844"/>
        </w:tabs>
        <w:rPr>
          <w:rFonts w:hint="eastAsia" w:ascii="楷体" w:hAnsi="楷体" w:eastAsia="楷体" w:cs="楷体"/>
          <w:color w:val="121212"/>
          <w:sz w:val="32"/>
          <w:szCs w:val="32"/>
        </w:rPr>
      </w:pPr>
      <w:r>
        <w:rPr>
          <w:rFonts w:hint="eastAsia" w:ascii="黑体" w:hAnsi="黑体" w:eastAsia="黑体" w:cs="黑体"/>
          <w:color w:val="121212"/>
          <w:sz w:val="32"/>
          <w:szCs w:val="32"/>
        </w:rPr>
        <w:fldChar w:fldCharType="begin"/>
      </w:r>
      <w:r>
        <w:rPr>
          <w:rFonts w:hint="eastAsia" w:ascii="黑体" w:hAnsi="黑体" w:eastAsia="黑体" w:cs="黑体"/>
          <w:color w:val="121212"/>
          <w:sz w:val="32"/>
          <w:szCs w:val="32"/>
        </w:rPr>
        <w:instrText xml:space="preserve"> HYPERLINK \l "_Toc5670" </w:instrText>
      </w:r>
      <w:r>
        <w:rPr>
          <w:rFonts w:hint="eastAsia" w:ascii="黑体" w:hAnsi="黑体" w:eastAsia="黑体" w:cs="黑体"/>
          <w:color w:val="121212"/>
          <w:sz w:val="32"/>
          <w:szCs w:val="32"/>
        </w:rPr>
        <w:fldChar w:fldCharType="separate"/>
      </w:r>
      <w:r>
        <w:rPr>
          <w:rFonts w:hint="eastAsia" w:ascii="黑体" w:hAnsi="黑体" w:eastAsia="黑体" w:cs="黑体"/>
          <w:color w:val="121212"/>
          <w:sz w:val="32"/>
          <w:szCs w:val="32"/>
        </w:rPr>
        <w:t>第三章  完善公共法律服务基础设施</w:t>
      </w:r>
      <w:r>
        <w:rPr>
          <w:rFonts w:hint="eastAsia" w:ascii="黑体" w:hAnsi="黑体" w:eastAsia="黑体" w:cs="黑体"/>
          <w:color w:val="000000" w:themeColor="text1"/>
          <w:sz w:val="32"/>
          <w:szCs w:val="32"/>
          <w:lang w:eastAsia="zh-CN"/>
          <w14:textFill>
            <w14:solidFill>
              <w14:schemeClr w14:val="tx1"/>
            </w14:solidFill>
          </w14:textFill>
        </w:rPr>
        <w:t>条件</w:t>
      </w:r>
      <w:r>
        <w:rPr>
          <w:rFonts w:hint="eastAsia" w:ascii="黑体" w:hAnsi="黑体" w:eastAsia="黑体" w:cs="黑体"/>
          <w:color w:val="121212"/>
          <w:sz w:val="32"/>
          <w:szCs w:val="32"/>
        </w:rPr>
        <w:tab/>
      </w:r>
      <w:r>
        <w:rPr>
          <w:rFonts w:hint="eastAsia" w:ascii="黑体" w:hAnsi="黑体" w:eastAsia="黑体" w:cs="黑体"/>
          <w:color w:val="121212"/>
          <w:sz w:val="32"/>
          <w:szCs w:val="32"/>
        </w:rPr>
        <w:fldChar w:fldCharType="begin"/>
      </w:r>
      <w:r>
        <w:rPr>
          <w:rFonts w:hint="eastAsia" w:ascii="黑体" w:hAnsi="黑体" w:eastAsia="黑体" w:cs="黑体"/>
          <w:color w:val="121212"/>
          <w:sz w:val="32"/>
          <w:szCs w:val="32"/>
        </w:rPr>
        <w:instrText xml:space="preserve"> PAGEREF _Toc5670 </w:instrText>
      </w:r>
      <w:r>
        <w:rPr>
          <w:rFonts w:hint="eastAsia" w:ascii="黑体" w:hAnsi="黑体" w:eastAsia="黑体" w:cs="黑体"/>
          <w:color w:val="121212"/>
          <w:sz w:val="32"/>
          <w:szCs w:val="32"/>
        </w:rPr>
        <w:fldChar w:fldCharType="separate"/>
      </w:r>
      <w:r>
        <w:rPr>
          <w:rFonts w:hint="eastAsia" w:ascii="黑体" w:hAnsi="黑体" w:eastAsia="黑体" w:cs="黑体"/>
          <w:color w:val="121212"/>
          <w:sz w:val="32"/>
          <w:szCs w:val="32"/>
        </w:rPr>
        <w:t>8</w:t>
      </w:r>
      <w:r>
        <w:rPr>
          <w:rFonts w:hint="eastAsia" w:ascii="黑体" w:hAnsi="黑体" w:eastAsia="黑体" w:cs="黑体"/>
          <w:color w:val="121212"/>
          <w:sz w:val="32"/>
          <w:szCs w:val="32"/>
        </w:rPr>
        <w:fldChar w:fldCharType="end"/>
      </w:r>
      <w:r>
        <w:rPr>
          <w:rFonts w:hint="eastAsia" w:ascii="黑体" w:hAnsi="黑体" w:eastAsia="黑体" w:cs="黑体"/>
          <w:color w:val="121212"/>
          <w:sz w:val="32"/>
          <w:szCs w:val="32"/>
        </w:rPr>
        <w:fldChar w:fldCharType="end"/>
      </w:r>
    </w:p>
    <w:p>
      <w:pPr>
        <w:pStyle w:val="7"/>
        <w:tabs>
          <w:tab w:val="right" w:leader="dot" w:pos="8844"/>
        </w:tabs>
        <w:rPr>
          <w:rFonts w:hint="eastAsia" w:ascii="楷体" w:hAnsi="楷体" w:eastAsia="楷体" w:cs="楷体"/>
          <w:color w:val="121212"/>
          <w:sz w:val="32"/>
          <w:szCs w:val="32"/>
        </w:rPr>
      </w:pPr>
      <w:r>
        <w:rPr>
          <w:rFonts w:hint="eastAsia" w:ascii="楷体" w:hAnsi="楷体" w:eastAsia="楷体" w:cs="楷体"/>
          <w:color w:val="121212"/>
          <w:sz w:val="32"/>
          <w:szCs w:val="32"/>
        </w:rPr>
        <w:fldChar w:fldCharType="begin"/>
      </w:r>
      <w:r>
        <w:rPr>
          <w:rFonts w:hint="eastAsia" w:ascii="楷体" w:hAnsi="楷体" w:eastAsia="楷体" w:cs="楷体"/>
          <w:color w:val="121212"/>
          <w:sz w:val="32"/>
          <w:szCs w:val="32"/>
        </w:rPr>
        <w:instrText xml:space="preserve"> HYPERLINK \l "_Toc32373" </w:instrText>
      </w:r>
      <w:r>
        <w:rPr>
          <w:rFonts w:hint="eastAsia" w:ascii="楷体" w:hAnsi="楷体" w:eastAsia="楷体" w:cs="楷体"/>
          <w:color w:val="121212"/>
          <w:sz w:val="32"/>
          <w:szCs w:val="32"/>
        </w:rPr>
        <w:fldChar w:fldCharType="separate"/>
      </w:r>
      <w:r>
        <w:rPr>
          <w:rFonts w:hint="eastAsia" w:ascii="楷体" w:hAnsi="楷体" w:eastAsia="楷体" w:cs="楷体"/>
          <w:color w:val="121212"/>
          <w:sz w:val="32"/>
          <w:szCs w:val="32"/>
        </w:rPr>
        <w:t>第</w:t>
      </w:r>
      <w:r>
        <w:rPr>
          <w:rFonts w:hint="eastAsia" w:ascii="楷体" w:hAnsi="楷体" w:eastAsia="楷体" w:cs="楷体"/>
          <w:color w:val="121212"/>
          <w:sz w:val="32"/>
          <w:szCs w:val="32"/>
          <w:lang w:eastAsia="zh-CN"/>
        </w:rPr>
        <w:t>一</w:t>
      </w:r>
      <w:r>
        <w:rPr>
          <w:rFonts w:hint="eastAsia" w:ascii="楷体" w:hAnsi="楷体" w:eastAsia="楷体" w:cs="楷体"/>
          <w:color w:val="121212"/>
          <w:sz w:val="32"/>
          <w:szCs w:val="32"/>
        </w:rPr>
        <w:t>节  加强公共法律服务实体平台建设</w:t>
      </w:r>
      <w:r>
        <w:rPr>
          <w:rFonts w:hint="eastAsia" w:ascii="楷体" w:hAnsi="楷体" w:eastAsia="楷体" w:cs="楷体"/>
          <w:color w:val="121212"/>
          <w:sz w:val="32"/>
          <w:szCs w:val="32"/>
        </w:rPr>
        <w:tab/>
      </w:r>
      <w:r>
        <w:rPr>
          <w:rFonts w:hint="eastAsia" w:ascii="楷体" w:hAnsi="楷体" w:eastAsia="楷体" w:cs="楷体"/>
          <w:color w:val="121212"/>
          <w:sz w:val="32"/>
          <w:szCs w:val="32"/>
        </w:rPr>
        <w:fldChar w:fldCharType="begin"/>
      </w:r>
      <w:r>
        <w:rPr>
          <w:rFonts w:hint="eastAsia" w:ascii="楷体" w:hAnsi="楷体" w:eastAsia="楷体" w:cs="楷体"/>
          <w:color w:val="121212"/>
          <w:sz w:val="32"/>
          <w:szCs w:val="32"/>
        </w:rPr>
        <w:instrText xml:space="preserve"> PAGEREF _Toc32373 </w:instrText>
      </w:r>
      <w:r>
        <w:rPr>
          <w:rFonts w:hint="eastAsia" w:ascii="楷体" w:hAnsi="楷体" w:eastAsia="楷体" w:cs="楷体"/>
          <w:color w:val="121212"/>
          <w:sz w:val="32"/>
          <w:szCs w:val="32"/>
        </w:rPr>
        <w:fldChar w:fldCharType="separate"/>
      </w:r>
      <w:r>
        <w:rPr>
          <w:rFonts w:hint="eastAsia" w:ascii="楷体" w:hAnsi="楷体" w:eastAsia="楷体" w:cs="楷体"/>
          <w:color w:val="121212"/>
          <w:sz w:val="32"/>
          <w:szCs w:val="32"/>
        </w:rPr>
        <w:t>8</w:t>
      </w:r>
      <w:r>
        <w:rPr>
          <w:rFonts w:hint="eastAsia" w:ascii="楷体" w:hAnsi="楷体" w:eastAsia="楷体" w:cs="楷体"/>
          <w:color w:val="121212"/>
          <w:sz w:val="32"/>
          <w:szCs w:val="32"/>
        </w:rPr>
        <w:fldChar w:fldCharType="end"/>
      </w:r>
      <w:r>
        <w:rPr>
          <w:rFonts w:hint="eastAsia" w:ascii="楷体" w:hAnsi="楷体" w:eastAsia="楷体" w:cs="楷体"/>
          <w:color w:val="121212"/>
          <w:sz w:val="32"/>
          <w:szCs w:val="32"/>
        </w:rPr>
        <w:fldChar w:fldCharType="end"/>
      </w:r>
    </w:p>
    <w:p>
      <w:pPr>
        <w:pStyle w:val="7"/>
        <w:tabs>
          <w:tab w:val="right" w:leader="dot" w:pos="8844"/>
        </w:tabs>
        <w:rPr>
          <w:rFonts w:hint="eastAsia" w:ascii="楷体" w:hAnsi="楷体" w:eastAsia="楷体" w:cs="楷体"/>
          <w:color w:val="121212"/>
          <w:sz w:val="32"/>
          <w:szCs w:val="32"/>
        </w:rPr>
      </w:pPr>
      <w:r>
        <w:rPr>
          <w:rFonts w:hint="eastAsia" w:ascii="楷体" w:hAnsi="楷体" w:eastAsia="楷体" w:cs="楷体"/>
          <w:color w:val="121212"/>
          <w:sz w:val="32"/>
          <w:szCs w:val="32"/>
        </w:rPr>
        <w:fldChar w:fldCharType="begin"/>
      </w:r>
      <w:r>
        <w:rPr>
          <w:rFonts w:hint="eastAsia" w:ascii="楷体" w:hAnsi="楷体" w:eastAsia="楷体" w:cs="楷体"/>
          <w:color w:val="121212"/>
          <w:sz w:val="32"/>
          <w:szCs w:val="32"/>
        </w:rPr>
        <w:instrText xml:space="preserve"> HYPERLINK \l "_Toc21701" </w:instrText>
      </w:r>
      <w:r>
        <w:rPr>
          <w:rFonts w:hint="eastAsia" w:ascii="楷体" w:hAnsi="楷体" w:eastAsia="楷体" w:cs="楷体"/>
          <w:color w:val="121212"/>
          <w:sz w:val="32"/>
          <w:szCs w:val="32"/>
        </w:rPr>
        <w:fldChar w:fldCharType="separate"/>
      </w:r>
      <w:r>
        <w:rPr>
          <w:rFonts w:hint="eastAsia" w:ascii="楷体" w:hAnsi="楷体" w:eastAsia="楷体" w:cs="楷体"/>
          <w:color w:val="121212"/>
          <w:sz w:val="32"/>
          <w:szCs w:val="32"/>
        </w:rPr>
        <w:t>第</w:t>
      </w:r>
      <w:r>
        <w:rPr>
          <w:rFonts w:hint="eastAsia" w:ascii="楷体" w:hAnsi="楷体" w:eastAsia="楷体" w:cs="楷体"/>
          <w:color w:val="121212"/>
          <w:sz w:val="32"/>
          <w:szCs w:val="32"/>
          <w:lang w:eastAsia="zh-CN"/>
        </w:rPr>
        <w:t>二</w:t>
      </w:r>
      <w:r>
        <w:rPr>
          <w:rFonts w:hint="eastAsia" w:ascii="楷体" w:hAnsi="楷体" w:eastAsia="楷体" w:cs="楷体"/>
          <w:color w:val="121212"/>
          <w:sz w:val="32"/>
          <w:szCs w:val="32"/>
        </w:rPr>
        <w:t>节  加强公共法律服务热线平台建设</w:t>
      </w:r>
      <w:r>
        <w:rPr>
          <w:rFonts w:hint="eastAsia" w:ascii="楷体" w:hAnsi="楷体" w:eastAsia="楷体" w:cs="楷体"/>
          <w:color w:val="121212"/>
          <w:sz w:val="32"/>
          <w:szCs w:val="32"/>
        </w:rPr>
        <w:tab/>
      </w:r>
      <w:r>
        <w:rPr>
          <w:rFonts w:hint="eastAsia" w:ascii="楷体" w:hAnsi="楷体" w:eastAsia="楷体" w:cs="楷体"/>
          <w:color w:val="121212"/>
          <w:sz w:val="32"/>
          <w:szCs w:val="32"/>
        </w:rPr>
        <w:fldChar w:fldCharType="begin"/>
      </w:r>
      <w:r>
        <w:rPr>
          <w:rFonts w:hint="eastAsia" w:ascii="楷体" w:hAnsi="楷体" w:eastAsia="楷体" w:cs="楷体"/>
          <w:color w:val="121212"/>
          <w:sz w:val="32"/>
          <w:szCs w:val="32"/>
        </w:rPr>
        <w:instrText xml:space="preserve"> PAGEREF _Toc21701 </w:instrText>
      </w:r>
      <w:r>
        <w:rPr>
          <w:rFonts w:hint="eastAsia" w:ascii="楷体" w:hAnsi="楷体" w:eastAsia="楷体" w:cs="楷体"/>
          <w:color w:val="121212"/>
          <w:sz w:val="32"/>
          <w:szCs w:val="32"/>
        </w:rPr>
        <w:fldChar w:fldCharType="separate"/>
      </w:r>
      <w:r>
        <w:rPr>
          <w:rFonts w:hint="eastAsia" w:ascii="楷体" w:hAnsi="楷体" w:eastAsia="楷体" w:cs="楷体"/>
          <w:color w:val="121212"/>
          <w:sz w:val="32"/>
          <w:szCs w:val="32"/>
        </w:rPr>
        <w:t>9</w:t>
      </w:r>
      <w:r>
        <w:rPr>
          <w:rFonts w:hint="eastAsia" w:ascii="楷体" w:hAnsi="楷体" w:eastAsia="楷体" w:cs="楷体"/>
          <w:color w:val="121212"/>
          <w:sz w:val="32"/>
          <w:szCs w:val="32"/>
        </w:rPr>
        <w:fldChar w:fldCharType="end"/>
      </w:r>
      <w:r>
        <w:rPr>
          <w:rFonts w:hint="eastAsia" w:ascii="楷体" w:hAnsi="楷体" w:eastAsia="楷体" w:cs="楷体"/>
          <w:color w:val="121212"/>
          <w:sz w:val="32"/>
          <w:szCs w:val="32"/>
        </w:rPr>
        <w:fldChar w:fldCharType="end"/>
      </w:r>
    </w:p>
    <w:p>
      <w:pPr>
        <w:pStyle w:val="7"/>
        <w:tabs>
          <w:tab w:val="right" w:leader="dot" w:pos="8844"/>
        </w:tabs>
        <w:rPr>
          <w:rFonts w:hint="eastAsia" w:ascii="楷体" w:hAnsi="楷体" w:eastAsia="楷体" w:cs="楷体"/>
          <w:color w:val="121212"/>
          <w:sz w:val="32"/>
          <w:szCs w:val="32"/>
        </w:rPr>
      </w:pPr>
      <w:r>
        <w:rPr>
          <w:rFonts w:hint="eastAsia" w:ascii="楷体" w:hAnsi="楷体" w:eastAsia="楷体" w:cs="楷体"/>
          <w:color w:val="121212"/>
          <w:sz w:val="32"/>
          <w:szCs w:val="32"/>
        </w:rPr>
        <w:fldChar w:fldCharType="begin"/>
      </w:r>
      <w:r>
        <w:rPr>
          <w:rFonts w:hint="eastAsia" w:ascii="楷体" w:hAnsi="楷体" w:eastAsia="楷体" w:cs="楷体"/>
          <w:color w:val="121212"/>
          <w:sz w:val="32"/>
          <w:szCs w:val="32"/>
        </w:rPr>
        <w:instrText xml:space="preserve"> HYPERLINK \l "_Toc2989" </w:instrText>
      </w:r>
      <w:r>
        <w:rPr>
          <w:rFonts w:hint="eastAsia" w:ascii="楷体" w:hAnsi="楷体" w:eastAsia="楷体" w:cs="楷体"/>
          <w:color w:val="121212"/>
          <w:sz w:val="32"/>
          <w:szCs w:val="32"/>
        </w:rPr>
        <w:fldChar w:fldCharType="separate"/>
      </w:r>
      <w:r>
        <w:rPr>
          <w:rFonts w:hint="eastAsia" w:ascii="楷体" w:hAnsi="楷体" w:eastAsia="楷体" w:cs="楷体"/>
          <w:color w:val="121212"/>
          <w:sz w:val="32"/>
          <w:szCs w:val="32"/>
        </w:rPr>
        <w:t>第</w:t>
      </w:r>
      <w:r>
        <w:rPr>
          <w:rFonts w:hint="eastAsia" w:ascii="楷体" w:hAnsi="楷体" w:eastAsia="楷体" w:cs="楷体"/>
          <w:color w:val="121212"/>
          <w:sz w:val="32"/>
          <w:szCs w:val="32"/>
          <w:lang w:eastAsia="zh-CN"/>
        </w:rPr>
        <w:t>三</w:t>
      </w:r>
      <w:r>
        <w:rPr>
          <w:rFonts w:hint="eastAsia" w:ascii="楷体" w:hAnsi="楷体" w:eastAsia="楷体" w:cs="楷体"/>
          <w:color w:val="121212"/>
          <w:sz w:val="32"/>
          <w:szCs w:val="32"/>
        </w:rPr>
        <w:t>节  加强公共法律服务网络平台建设</w:t>
      </w:r>
      <w:r>
        <w:rPr>
          <w:rFonts w:hint="eastAsia" w:ascii="楷体" w:hAnsi="楷体" w:eastAsia="楷体" w:cs="楷体"/>
          <w:color w:val="121212"/>
          <w:sz w:val="32"/>
          <w:szCs w:val="32"/>
        </w:rPr>
        <w:tab/>
      </w:r>
      <w:r>
        <w:rPr>
          <w:rFonts w:hint="eastAsia" w:ascii="楷体" w:hAnsi="楷体" w:eastAsia="楷体" w:cs="楷体"/>
          <w:color w:val="121212"/>
          <w:sz w:val="32"/>
          <w:szCs w:val="32"/>
        </w:rPr>
        <w:fldChar w:fldCharType="begin"/>
      </w:r>
      <w:r>
        <w:rPr>
          <w:rFonts w:hint="eastAsia" w:ascii="楷体" w:hAnsi="楷体" w:eastAsia="楷体" w:cs="楷体"/>
          <w:color w:val="121212"/>
          <w:sz w:val="32"/>
          <w:szCs w:val="32"/>
        </w:rPr>
        <w:instrText xml:space="preserve"> PAGEREF _Toc2989 </w:instrText>
      </w:r>
      <w:r>
        <w:rPr>
          <w:rFonts w:hint="eastAsia" w:ascii="楷体" w:hAnsi="楷体" w:eastAsia="楷体" w:cs="楷体"/>
          <w:color w:val="121212"/>
          <w:sz w:val="32"/>
          <w:szCs w:val="32"/>
        </w:rPr>
        <w:fldChar w:fldCharType="separate"/>
      </w:r>
      <w:r>
        <w:rPr>
          <w:rFonts w:hint="eastAsia" w:ascii="楷体" w:hAnsi="楷体" w:eastAsia="楷体" w:cs="楷体"/>
          <w:color w:val="121212"/>
          <w:sz w:val="32"/>
          <w:szCs w:val="32"/>
        </w:rPr>
        <w:t>10</w:t>
      </w:r>
      <w:r>
        <w:rPr>
          <w:rFonts w:hint="eastAsia" w:ascii="楷体" w:hAnsi="楷体" w:eastAsia="楷体" w:cs="楷体"/>
          <w:color w:val="121212"/>
          <w:sz w:val="32"/>
          <w:szCs w:val="32"/>
        </w:rPr>
        <w:fldChar w:fldCharType="end"/>
      </w:r>
      <w:r>
        <w:rPr>
          <w:rFonts w:hint="eastAsia" w:ascii="楷体" w:hAnsi="楷体" w:eastAsia="楷体" w:cs="楷体"/>
          <w:color w:val="121212"/>
          <w:sz w:val="32"/>
          <w:szCs w:val="32"/>
        </w:rPr>
        <w:fldChar w:fldCharType="end"/>
      </w:r>
    </w:p>
    <w:p>
      <w:pPr>
        <w:pStyle w:val="7"/>
        <w:tabs>
          <w:tab w:val="right" w:leader="dot" w:pos="8844"/>
        </w:tabs>
        <w:rPr>
          <w:rFonts w:hint="eastAsia" w:ascii="楷体" w:hAnsi="楷体" w:eastAsia="楷体" w:cs="楷体"/>
          <w:color w:val="121212"/>
          <w:sz w:val="32"/>
          <w:szCs w:val="32"/>
        </w:rPr>
      </w:pPr>
      <w:r>
        <w:rPr>
          <w:rFonts w:hint="eastAsia" w:ascii="楷体" w:hAnsi="楷体" w:eastAsia="楷体" w:cs="楷体"/>
          <w:color w:val="121212"/>
          <w:sz w:val="32"/>
          <w:szCs w:val="32"/>
        </w:rPr>
        <w:fldChar w:fldCharType="begin"/>
      </w:r>
      <w:r>
        <w:rPr>
          <w:rFonts w:hint="eastAsia" w:ascii="楷体" w:hAnsi="楷体" w:eastAsia="楷体" w:cs="楷体"/>
          <w:color w:val="121212"/>
          <w:sz w:val="32"/>
          <w:szCs w:val="32"/>
        </w:rPr>
        <w:instrText xml:space="preserve"> HYPERLINK \l "_Toc13855" </w:instrText>
      </w:r>
      <w:r>
        <w:rPr>
          <w:rFonts w:hint="eastAsia" w:ascii="楷体" w:hAnsi="楷体" w:eastAsia="楷体" w:cs="楷体"/>
          <w:color w:val="121212"/>
          <w:sz w:val="32"/>
          <w:szCs w:val="32"/>
        </w:rPr>
        <w:fldChar w:fldCharType="separate"/>
      </w:r>
      <w:r>
        <w:rPr>
          <w:rFonts w:hint="eastAsia" w:ascii="楷体" w:hAnsi="楷体" w:eastAsia="楷体" w:cs="楷体"/>
          <w:color w:val="121212"/>
          <w:sz w:val="32"/>
          <w:szCs w:val="32"/>
        </w:rPr>
        <w:t>第</w:t>
      </w:r>
      <w:r>
        <w:rPr>
          <w:rFonts w:hint="eastAsia" w:ascii="楷体" w:hAnsi="楷体" w:eastAsia="楷体" w:cs="楷体"/>
          <w:color w:val="121212"/>
          <w:sz w:val="32"/>
          <w:szCs w:val="32"/>
          <w:lang w:eastAsia="zh-CN"/>
        </w:rPr>
        <w:t>四</w:t>
      </w:r>
      <w:r>
        <w:rPr>
          <w:rFonts w:hint="eastAsia" w:ascii="楷体" w:hAnsi="楷体" w:eastAsia="楷体" w:cs="楷体"/>
          <w:color w:val="121212"/>
          <w:sz w:val="32"/>
          <w:szCs w:val="32"/>
        </w:rPr>
        <w:t>节  加快推进</w:t>
      </w:r>
      <w:r>
        <w:rPr>
          <w:rFonts w:hint="eastAsia" w:ascii="楷体" w:hAnsi="楷体" w:eastAsia="楷体" w:cs="楷体"/>
          <w:color w:val="121212"/>
          <w:sz w:val="32"/>
          <w:szCs w:val="32"/>
          <w:lang w:eastAsia="zh-CN"/>
        </w:rPr>
        <w:t>公共法律服务</w:t>
      </w:r>
      <w:r>
        <w:rPr>
          <w:rFonts w:hint="eastAsia" w:ascii="楷体" w:hAnsi="楷体" w:eastAsia="楷体" w:cs="楷体"/>
          <w:color w:val="121212"/>
          <w:sz w:val="32"/>
          <w:szCs w:val="32"/>
        </w:rPr>
        <w:t>融合发展</w:t>
      </w:r>
      <w:r>
        <w:rPr>
          <w:rFonts w:hint="eastAsia" w:ascii="楷体" w:hAnsi="楷体" w:eastAsia="楷体" w:cs="楷体"/>
          <w:color w:val="121212"/>
          <w:sz w:val="32"/>
          <w:szCs w:val="32"/>
        </w:rPr>
        <w:tab/>
      </w:r>
      <w:r>
        <w:rPr>
          <w:rFonts w:hint="eastAsia" w:ascii="楷体" w:hAnsi="楷体" w:eastAsia="楷体" w:cs="楷体"/>
          <w:color w:val="121212"/>
          <w:sz w:val="32"/>
          <w:szCs w:val="32"/>
        </w:rPr>
        <w:fldChar w:fldCharType="begin"/>
      </w:r>
      <w:r>
        <w:rPr>
          <w:rFonts w:hint="eastAsia" w:ascii="楷体" w:hAnsi="楷体" w:eastAsia="楷体" w:cs="楷体"/>
          <w:color w:val="121212"/>
          <w:sz w:val="32"/>
          <w:szCs w:val="32"/>
        </w:rPr>
        <w:instrText xml:space="preserve"> PAGEREF _Toc13855 </w:instrText>
      </w:r>
      <w:r>
        <w:rPr>
          <w:rFonts w:hint="eastAsia" w:ascii="楷体" w:hAnsi="楷体" w:eastAsia="楷体" w:cs="楷体"/>
          <w:color w:val="121212"/>
          <w:sz w:val="32"/>
          <w:szCs w:val="32"/>
        </w:rPr>
        <w:fldChar w:fldCharType="separate"/>
      </w:r>
      <w:r>
        <w:rPr>
          <w:rFonts w:hint="eastAsia" w:ascii="楷体" w:hAnsi="楷体" w:eastAsia="楷体" w:cs="楷体"/>
          <w:color w:val="121212"/>
          <w:sz w:val="32"/>
          <w:szCs w:val="32"/>
        </w:rPr>
        <w:t>10</w:t>
      </w:r>
      <w:r>
        <w:rPr>
          <w:rFonts w:hint="eastAsia" w:ascii="楷体" w:hAnsi="楷体" w:eastAsia="楷体" w:cs="楷体"/>
          <w:color w:val="121212"/>
          <w:sz w:val="32"/>
          <w:szCs w:val="32"/>
        </w:rPr>
        <w:fldChar w:fldCharType="end"/>
      </w:r>
      <w:r>
        <w:rPr>
          <w:rFonts w:hint="eastAsia" w:ascii="楷体" w:hAnsi="楷体" w:eastAsia="楷体" w:cs="楷体"/>
          <w:color w:val="121212"/>
          <w:sz w:val="32"/>
          <w:szCs w:val="32"/>
        </w:rPr>
        <w:fldChar w:fldCharType="end"/>
      </w:r>
    </w:p>
    <w:p>
      <w:pPr>
        <w:pStyle w:val="7"/>
        <w:tabs>
          <w:tab w:val="right" w:leader="dot" w:pos="8844"/>
        </w:tabs>
        <w:rPr>
          <w:rFonts w:ascii="仿宋" w:hAnsi="仿宋" w:eastAsia="仿宋" w:cs="仿宋"/>
          <w:color w:val="121212"/>
          <w:sz w:val="32"/>
          <w:szCs w:val="32"/>
        </w:rPr>
      </w:pPr>
      <w:r>
        <w:rPr>
          <w:rFonts w:hint="eastAsia" w:ascii="楷体" w:hAnsi="楷体" w:eastAsia="楷体" w:cs="楷体"/>
          <w:color w:val="121212"/>
          <w:sz w:val="32"/>
          <w:szCs w:val="32"/>
        </w:rPr>
        <w:fldChar w:fldCharType="begin"/>
      </w:r>
      <w:r>
        <w:rPr>
          <w:rFonts w:hint="eastAsia" w:ascii="楷体" w:hAnsi="楷体" w:eastAsia="楷体" w:cs="楷体"/>
          <w:color w:val="121212"/>
          <w:sz w:val="32"/>
          <w:szCs w:val="32"/>
        </w:rPr>
        <w:instrText xml:space="preserve"> HYPERLINK \l "_Toc4924" </w:instrText>
      </w:r>
      <w:r>
        <w:rPr>
          <w:rFonts w:hint="eastAsia" w:ascii="楷体" w:hAnsi="楷体" w:eastAsia="楷体" w:cs="楷体"/>
          <w:color w:val="121212"/>
          <w:sz w:val="32"/>
          <w:szCs w:val="32"/>
        </w:rPr>
        <w:fldChar w:fldCharType="separate"/>
      </w:r>
      <w:r>
        <w:rPr>
          <w:rFonts w:hint="eastAsia" w:ascii="楷体" w:hAnsi="楷体" w:eastAsia="楷体" w:cs="楷体"/>
          <w:color w:val="121212"/>
          <w:sz w:val="32"/>
          <w:szCs w:val="32"/>
        </w:rPr>
        <w:t>第</w:t>
      </w:r>
      <w:r>
        <w:rPr>
          <w:rFonts w:hint="eastAsia" w:ascii="楷体" w:hAnsi="楷体" w:eastAsia="楷体" w:cs="楷体"/>
          <w:color w:val="121212"/>
          <w:sz w:val="32"/>
          <w:szCs w:val="32"/>
          <w:lang w:eastAsia="zh-CN"/>
        </w:rPr>
        <w:t>五</w:t>
      </w:r>
      <w:r>
        <w:rPr>
          <w:rFonts w:hint="eastAsia" w:ascii="楷体" w:hAnsi="楷体" w:eastAsia="楷体" w:cs="楷体"/>
          <w:color w:val="121212"/>
          <w:sz w:val="32"/>
          <w:szCs w:val="32"/>
        </w:rPr>
        <w:t>节  加强公共法律服务科技信息化建设</w:t>
      </w:r>
      <w:r>
        <w:rPr>
          <w:rFonts w:hint="eastAsia" w:ascii="楷体" w:hAnsi="楷体" w:eastAsia="楷体" w:cs="楷体"/>
          <w:color w:val="121212"/>
          <w:sz w:val="32"/>
          <w:szCs w:val="32"/>
        </w:rPr>
        <w:tab/>
      </w:r>
      <w:r>
        <w:rPr>
          <w:rFonts w:hint="eastAsia" w:ascii="楷体" w:hAnsi="楷体" w:eastAsia="楷体" w:cs="楷体"/>
          <w:color w:val="121212"/>
          <w:sz w:val="32"/>
          <w:szCs w:val="32"/>
        </w:rPr>
        <w:fldChar w:fldCharType="begin"/>
      </w:r>
      <w:r>
        <w:rPr>
          <w:rFonts w:hint="eastAsia" w:ascii="楷体" w:hAnsi="楷体" w:eastAsia="楷体" w:cs="楷体"/>
          <w:color w:val="121212"/>
          <w:sz w:val="32"/>
          <w:szCs w:val="32"/>
        </w:rPr>
        <w:instrText xml:space="preserve"> PAGEREF _Toc4924 </w:instrText>
      </w:r>
      <w:r>
        <w:rPr>
          <w:rFonts w:hint="eastAsia" w:ascii="楷体" w:hAnsi="楷体" w:eastAsia="楷体" w:cs="楷体"/>
          <w:color w:val="121212"/>
          <w:sz w:val="32"/>
          <w:szCs w:val="32"/>
        </w:rPr>
        <w:fldChar w:fldCharType="separate"/>
      </w:r>
      <w:r>
        <w:rPr>
          <w:rFonts w:hint="eastAsia" w:ascii="楷体" w:hAnsi="楷体" w:eastAsia="楷体" w:cs="楷体"/>
          <w:color w:val="121212"/>
          <w:sz w:val="32"/>
          <w:szCs w:val="32"/>
        </w:rPr>
        <w:t>11</w:t>
      </w:r>
      <w:r>
        <w:rPr>
          <w:rFonts w:hint="eastAsia" w:ascii="楷体" w:hAnsi="楷体" w:eastAsia="楷体" w:cs="楷体"/>
          <w:color w:val="121212"/>
          <w:sz w:val="32"/>
          <w:szCs w:val="32"/>
        </w:rPr>
        <w:fldChar w:fldCharType="end"/>
      </w:r>
      <w:r>
        <w:rPr>
          <w:rFonts w:hint="eastAsia" w:ascii="楷体" w:hAnsi="楷体" w:eastAsia="楷体" w:cs="楷体"/>
          <w:color w:val="121212"/>
          <w:sz w:val="32"/>
          <w:szCs w:val="32"/>
        </w:rPr>
        <w:fldChar w:fldCharType="end"/>
      </w:r>
    </w:p>
    <w:p>
      <w:pPr>
        <w:pStyle w:val="6"/>
        <w:tabs>
          <w:tab w:val="right" w:leader="dot" w:pos="8844"/>
        </w:tabs>
        <w:rPr>
          <w:rFonts w:hint="eastAsia" w:ascii="黑体" w:hAnsi="黑体" w:eastAsia="黑体" w:cs="黑体"/>
          <w:color w:val="121212"/>
          <w:sz w:val="32"/>
          <w:szCs w:val="32"/>
        </w:rPr>
      </w:pPr>
      <w:r>
        <w:rPr>
          <w:rFonts w:hint="eastAsia" w:ascii="黑体" w:hAnsi="黑体" w:eastAsia="黑体" w:cs="黑体"/>
          <w:color w:val="121212"/>
          <w:sz w:val="32"/>
          <w:szCs w:val="32"/>
        </w:rPr>
        <w:fldChar w:fldCharType="begin"/>
      </w:r>
      <w:r>
        <w:rPr>
          <w:rFonts w:hint="eastAsia" w:ascii="黑体" w:hAnsi="黑体" w:eastAsia="黑体" w:cs="黑体"/>
          <w:color w:val="121212"/>
          <w:sz w:val="32"/>
          <w:szCs w:val="32"/>
        </w:rPr>
        <w:instrText xml:space="preserve"> HYPERLINK \l "_Toc18621" </w:instrText>
      </w:r>
      <w:r>
        <w:rPr>
          <w:rFonts w:hint="eastAsia" w:ascii="黑体" w:hAnsi="黑体" w:eastAsia="黑体" w:cs="黑体"/>
          <w:color w:val="121212"/>
          <w:sz w:val="32"/>
          <w:szCs w:val="32"/>
        </w:rPr>
        <w:fldChar w:fldCharType="separate"/>
      </w:r>
      <w:r>
        <w:rPr>
          <w:rFonts w:hint="eastAsia" w:ascii="黑体" w:hAnsi="黑体" w:eastAsia="黑体" w:cs="黑体"/>
          <w:color w:val="121212"/>
          <w:sz w:val="32"/>
          <w:szCs w:val="32"/>
        </w:rPr>
        <w:t>第四章  提高公共法律服务供给能力</w:t>
      </w:r>
      <w:r>
        <w:rPr>
          <w:rFonts w:hint="eastAsia" w:ascii="黑体" w:hAnsi="黑体" w:eastAsia="黑体" w:cs="黑体"/>
          <w:color w:val="121212"/>
          <w:sz w:val="32"/>
          <w:szCs w:val="32"/>
        </w:rPr>
        <w:tab/>
      </w:r>
      <w:r>
        <w:rPr>
          <w:rFonts w:hint="eastAsia" w:ascii="黑体" w:hAnsi="黑体" w:eastAsia="黑体" w:cs="黑体"/>
          <w:color w:val="121212"/>
          <w:sz w:val="32"/>
          <w:szCs w:val="32"/>
        </w:rPr>
        <w:fldChar w:fldCharType="begin"/>
      </w:r>
      <w:r>
        <w:rPr>
          <w:rFonts w:hint="eastAsia" w:ascii="黑体" w:hAnsi="黑体" w:eastAsia="黑体" w:cs="黑体"/>
          <w:color w:val="121212"/>
          <w:sz w:val="32"/>
          <w:szCs w:val="32"/>
        </w:rPr>
        <w:instrText xml:space="preserve"> PAGEREF _Toc18621 </w:instrText>
      </w:r>
      <w:r>
        <w:rPr>
          <w:rFonts w:hint="eastAsia" w:ascii="黑体" w:hAnsi="黑体" w:eastAsia="黑体" w:cs="黑体"/>
          <w:color w:val="121212"/>
          <w:sz w:val="32"/>
          <w:szCs w:val="32"/>
        </w:rPr>
        <w:fldChar w:fldCharType="separate"/>
      </w:r>
      <w:r>
        <w:rPr>
          <w:rFonts w:hint="eastAsia" w:ascii="黑体" w:hAnsi="黑体" w:eastAsia="黑体" w:cs="黑体"/>
          <w:color w:val="121212"/>
          <w:sz w:val="32"/>
          <w:szCs w:val="32"/>
        </w:rPr>
        <w:t>14</w:t>
      </w:r>
      <w:r>
        <w:rPr>
          <w:rFonts w:hint="eastAsia" w:ascii="黑体" w:hAnsi="黑体" w:eastAsia="黑体" w:cs="黑体"/>
          <w:color w:val="121212"/>
          <w:sz w:val="32"/>
          <w:szCs w:val="32"/>
        </w:rPr>
        <w:fldChar w:fldCharType="end"/>
      </w:r>
      <w:r>
        <w:rPr>
          <w:rFonts w:hint="eastAsia" w:ascii="黑体" w:hAnsi="黑体" w:eastAsia="黑体" w:cs="黑体"/>
          <w:color w:val="121212"/>
          <w:sz w:val="32"/>
          <w:szCs w:val="32"/>
        </w:rPr>
        <w:fldChar w:fldCharType="end"/>
      </w:r>
    </w:p>
    <w:p>
      <w:pPr>
        <w:pStyle w:val="7"/>
        <w:tabs>
          <w:tab w:val="right" w:leader="dot" w:pos="8844"/>
        </w:tabs>
        <w:rPr>
          <w:rFonts w:hint="eastAsia" w:ascii="楷体" w:hAnsi="楷体" w:eastAsia="楷体" w:cs="楷体"/>
          <w:color w:val="121212"/>
          <w:sz w:val="32"/>
          <w:szCs w:val="32"/>
        </w:rPr>
      </w:pPr>
      <w:r>
        <w:rPr>
          <w:rFonts w:hint="eastAsia" w:ascii="楷体" w:hAnsi="楷体" w:eastAsia="楷体" w:cs="楷体"/>
          <w:color w:val="121212"/>
          <w:sz w:val="32"/>
          <w:szCs w:val="32"/>
        </w:rPr>
        <w:fldChar w:fldCharType="begin"/>
      </w:r>
      <w:r>
        <w:rPr>
          <w:rFonts w:hint="eastAsia" w:ascii="楷体" w:hAnsi="楷体" w:eastAsia="楷体" w:cs="楷体"/>
          <w:color w:val="121212"/>
          <w:sz w:val="32"/>
          <w:szCs w:val="32"/>
        </w:rPr>
        <w:instrText xml:space="preserve"> HYPERLINK \l "_Toc23330" </w:instrText>
      </w:r>
      <w:r>
        <w:rPr>
          <w:rFonts w:hint="eastAsia" w:ascii="楷体" w:hAnsi="楷体" w:eastAsia="楷体" w:cs="楷体"/>
          <w:color w:val="121212"/>
          <w:sz w:val="32"/>
          <w:szCs w:val="32"/>
        </w:rPr>
        <w:fldChar w:fldCharType="separate"/>
      </w:r>
      <w:r>
        <w:rPr>
          <w:rFonts w:hint="eastAsia" w:ascii="楷体" w:hAnsi="楷体" w:eastAsia="楷体" w:cs="楷体"/>
          <w:color w:val="121212"/>
          <w:sz w:val="32"/>
          <w:szCs w:val="32"/>
        </w:rPr>
        <w:t>第一节  提升普法工作质效</w:t>
      </w:r>
      <w:r>
        <w:rPr>
          <w:rFonts w:hint="eastAsia" w:ascii="楷体" w:hAnsi="楷体" w:eastAsia="楷体" w:cs="楷体"/>
          <w:color w:val="121212"/>
          <w:sz w:val="32"/>
          <w:szCs w:val="32"/>
        </w:rPr>
        <w:tab/>
      </w:r>
      <w:r>
        <w:rPr>
          <w:rFonts w:hint="eastAsia" w:ascii="楷体" w:hAnsi="楷体" w:eastAsia="楷体" w:cs="楷体"/>
          <w:color w:val="121212"/>
          <w:sz w:val="32"/>
          <w:szCs w:val="32"/>
        </w:rPr>
        <w:fldChar w:fldCharType="begin"/>
      </w:r>
      <w:r>
        <w:rPr>
          <w:rFonts w:hint="eastAsia" w:ascii="楷体" w:hAnsi="楷体" w:eastAsia="楷体" w:cs="楷体"/>
          <w:color w:val="121212"/>
          <w:sz w:val="32"/>
          <w:szCs w:val="32"/>
        </w:rPr>
        <w:instrText xml:space="preserve"> PAGEREF _Toc23330 </w:instrText>
      </w:r>
      <w:r>
        <w:rPr>
          <w:rFonts w:hint="eastAsia" w:ascii="楷体" w:hAnsi="楷体" w:eastAsia="楷体" w:cs="楷体"/>
          <w:color w:val="121212"/>
          <w:sz w:val="32"/>
          <w:szCs w:val="32"/>
        </w:rPr>
        <w:fldChar w:fldCharType="separate"/>
      </w:r>
      <w:r>
        <w:rPr>
          <w:rFonts w:hint="eastAsia" w:ascii="楷体" w:hAnsi="楷体" w:eastAsia="楷体" w:cs="楷体"/>
          <w:color w:val="121212"/>
          <w:sz w:val="32"/>
          <w:szCs w:val="32"/>
        </w:rPr>
        <w:t>14</w:t>
      </w:r>
      <w:r>
        <w:rPr>
          <w:rFonts w:hint="eastAsia" w:ascii="楷体" w:hAnsi="楷体" w:eastAsia="楷体" w:cs="楷体"/>
          <w:color w:val="121212"/>
          <w:sz w:val="32"/>
          <w:szCs w:val="32"/>
        </w:rPr>
        <w:fldChar w:fldCharType="end"/>
      </w:r>
      <w:r>
        <w:rPr>
          <w:rFonts w:hint="eastAsia" w:ascii="楷体" w:hAnsi="楷体" w:eastAsia="楷体" w:cs="楷体"/>
          <w:color w:val="121212"/>
          <w:sz w:val="32"/>
          <w:szCs w:val="32"/>
        </w:rPr>
        <w:fldChar w:fldCharType="end"/>
      </w:r>
    </w:p>
    <w:p>
      <w:pPr>
        <w:pStyle w:val="7"/>
        <w:tabs>
          <w:tab w:val="right" w:leader="dot" w:pos="8844"/>
        </w:tabs>
        <w:rPr>
          <w:rFonts w:hint="eastAsia" w:ascii="楷体" w:hAnsi="楷体" w:eastAsia="楷体" w:cs="楷体"/>
          <w:color w:val="121212"/>
          <w:sz w:val="32"/>
          <w:szCs w:val="32"/>
        </w:rPr>
      </w:pPr>
      <w:r>
        <w:rPr>
          <w:rFonts w:hint="eastAsia" w:ascii="楷体" w:hAnsi="楷体" w:eastAsia="楷体" w:cs="楷体"/>
          <w:color w:val="121212"/>
          <w:sz w:val="32"/>
          <w:szCs w:val="32"/>
        </w:rPr>
        <w:fldChar w:fldCharType="begin"/>
      </w:r>
      <w:r>
        <w:rPr>
          <w:rFonts w:hint="eastAsia" w:ascii="楷体" w:hAnsi="楷体" w:eastAsia="楷体" w:cs="楷体"/>
          <w:color w:val="121212"/>
          <w:sz w:val="32"/>
          <w:szCs w:val="32"/>
        </w:rPr>
        <w:instrText xml:space="preserve"> HYPERLINK \l "_Toc32488" </w:instrText>
      </w:r>
      <w:r>
        <w:rPr>
          <w:rFonts w:hint="eastAsia" w:ascii="楷体" w:hAnsi="楷体" w:eastAsia="楷体" w:cs="楷体"/>
          <w:color w:val="121212"/>
          <w:sz w:val="32"/>
          <w:szCs w:val="32"/>
        </w:rPr>
        <w:fldChar w:fldCharType="separate"/>
      </w:r>
      <w:r>
        <w:rPr>
          <w:rFonts w:hint="eastAsia" w:ascii="楷体" w:hAnsi="楷体" w:eastAsia="楷体" w:cs="楷体"/>
          <w:color w:val="121212"/>
          <w:sz w:val="32"/>
          <w:szCs w:val="32"/>
        </w:rPr>
        <w:t>第二节  加强法律援助工作</w:t>
      </w:r>
      <w:r>
        <w:rPr>
          <w:rFonts w:hint="eastAsia" w:ascii="楷体" w:hAnsi="楷体" w:eastAsia="楷体" w:cs="楷体"/>
          <w:color w:val="121212"/>
          <w:sz w:val="32"/>
          <w:szCs w:val="32"/>
        </w:rPr>
        <w:tab/>
      </w:r>
      <w:r>
        <w:rPr>
          <w:rFonts w:hint="eastAsia" w:ascii="楷体" w:hAnsi="楷体" w:eastAsia="楷体" w:cs="楷体"/>
          <w:color w:val="121212"/>
          <w:sz w:val="32"/>
          <w:szCs w:val="32"/>
        </w:rPr>
        <w:fldChar w:fldCharType="begin"/>
      </w:r>
      <w:r>
        <w:rPr>
          <w:rFonts w:hint="eastAsia" w:ascii="楷体" w:hAnsi="楷体" w:eastAsia="楷体" w:cs="楷体"/>
          <w:color w:val="121212"/>
          <w:sz w:val="32"/>
          <w:szCs w:val="32"/>
        </w:rPr>
        <w:instrText xml:space="preserve"> PAGEREF _Toc32488 </w:instrText>
      </w:r>
      <w:r>
        <w:rPr>
          <w:rFonts w:hint="eastAsia" w:ascii="楷体" w:hAnsi="楷体" w:eastAsia="楷体" w:cs="楷体"/>
          <w:color w:val="121212"/>
          <w:sz w:val="32"/>
          <w:szCs w:val="32"/>
        </w:rPr>
        <w:fldChar w:fldCharType="separate"/>
      </w:r>
      <w:r>
        <w:rPr>
          <w:rFonts w:hint="eastAsia" w:ascii="楷体" w:hAnsi="楷体" w:eastAsia="楷体" w:cs="楷体"/>
          <w:color w:val="121212"/>
          <w:sz w:val="32"/>
          <w:szCs w:val="32"/>
        </w:rPr>
        <w:t>17</w:t>
      </w:r>
      <w:r>
        <w:rPr>
          <w:rFonts w:hint="eastAsia" w:ascii="楷体" w:hAnsi="楷体" w:eastAsia="楷体" w:cs="楷体"/>
          <w:color w:val="121212"/>
          <w:sz w:val="32"/>
          <w:szCs w:val="32"/>
        </w:rPr>
        <w:fldChar w:fldCharType="end"/>
      </w:r>
      <w:r>
        <w:rPr>
          <w:rFonts w:hint="eastAsia" w:ascii="楷体" w:hAnsi="楷体" w:eastAsia="楷体" w:cs="楷体"/>
          <w:color w:val="121212"/>
          <w:sz w:val="32"/>
          <w:szCs w:val="32"/>
        </w:rPr>
        <w:fldChar w:fldCharType="end"/>
      </w:r>
    </w:p>
    <w:p>
      <w:pPr>
        <w:pStyle w:val="7"/>
        <w:tabs>
          <w:tab w:val="right" w:leader="dot" w:pos="8844"/>
        </w:tabs>
        <w:rPr>
          <w:rFonts w:ascii="仿宋" w:hAnsi="仿宋" w:eastAsia="仿宋" w:cs="仿宋"/>
          <w:color w:val="121212"/>
          <w:sz w:val="32"/>
          <w:szCs w:val="32"/>
        </w:rPr>
      </w:pPr>
      <w:r>
        <w:rPr>
          <w:rFonts w:hint="eastAsia" w:ascii="楷体" w:hAnsi="楷体" w:eastAsia="楷体" w:cs="楷体"/>
          <w:color w:val="121212"/>
          <w:sz w:val="32"/>
          <w:szCs w:val="32"/>
        </w:rPr>
        <w:fldChar w:fldCharType="begin"/>
      </w:r>
      <w:r>
        <w:rPr>
          <w:rFonts w:hint="eastAsia" w:ascii="楷体" w:hAnsi="楷体" w:eastAsia="楷体" w:cs="楷体"/>
          <w:color w:val="121212"/>
          <w:sz w:val="32"/>
          <w:szCs w:val="32"/>
        </w:rPr>
        <w:instrText xml:space="preserve"> HYPERLINK \l "_Toc26537" </w:instrText>
      </w:r>
      <w:r>
        <w:rPr>
          <w:rFonts w:hint="eastAsia" w:ascii="楷体" w:hAnsi="楷体" w:eastAsia="楷体" w:cs="楷体"/>
          <w:color w:val="121212"/>
          <w:sz w:val="32"/>
          <w:szCs w:val="32"/>
        </w:rPr>
        <w:fldChar w:fldCharType="separate"/>
      </w:r>
      <w:r>
        <w:rPr>
          <w:rFonts w:hint="eastAsia" w:ascii="楷体" w:hAnsi="楷体" w:eastAsia="楷体" w:cs="楷体"/>
          <w:color w:val="121212"/>
          <w:sz w:val="32"/>
          <w:szCs w:val="32"/>
        </w:rPr>
        <w:t>第三节  创新升级新时代人民调解工作</w:t>
      </w:r>
      <w:r>
        <w:rPr>
          <w:rFonts w:hint="eastAsia" w:ascii="楷体" w:hAnsi="楷体" w:eastAsia="楷体" w:cs="楷体"/>
          <w:color w:val="121212"/>
          <w:sz w:val="32"/>
          <w:szCs w:val="32"/>
        </w:rPr>
        <w:tab/>
      </w:r>
      <w:r>
        <w:rPr>
          <w:rFonts w:hint="eastAsia" w:ascii="楷体" w:hAnsi="楷体" w:eastAsia="楷体" w:cs="楷体"/>
          <w:color w:val="121212"/>
          <w:sz w:val="32"/>
          <w:szCs w:val="32"/>
        </w:rPr>
        <w:fldChar w:fldCharType="begin"/>
      </w:r>
      <w:r>
        <w:rPr>
          <w:rFonts w:hint="eastAsia" w:ascii="楷体" w:hAnsi="楷体" w:eastAsia="楷体" w:cs="楷体"/>
          <w:color w:val="121212"/>
          <w:sz w:val="32"/>
          <w:szCs w:val="32"/>
        </w:rPr>
        <w:instrText xml:space="preserve"> PAGEREF _Toc26537 </w:instrText>
      </w:r>
      <w:r>
        <w:rPr>
          <w:rFonts w:hint="eastAsia" w:ascii="楷体" w:hAnsi="楷体" w:eastAsia="楷体" w:cs="楷体"/>
          <w:color w:val="121212"/>
          <w:sz w:val="32"/>
          <w:szCs w:val="32"/>
        </w:rPr>
        <w:fldChar w:fldCharType="separate"/>
      </w:r>
      <w:r>
        <w:rPr>
          <w:rFonts w:hint="eastAsia" w:ascii="楷体" w:hAnsi="楷体" w:eastAsia="楷体" w:cs="楷体"/>
          <w:color w:val="121212"/>
          <w:sz w:val="32"/>
          <w:szCs w:val="32"/>
        </w:rPr>
        <w:t>19</w:t>
      </w:r>
      <w:r>
        <w:rPr>
          <w:rFonts w:hint="eastAsia" w:ascii="楷体" w:hAnsi="楷体" w:eastAsia="楷体" w:cs="楷体"/>
          <w:color w:val="121212"/>
          <w:sz w:val="32"/>
          <w:szCs w:val="32"/>
        </w:rPr>
        <w:fldChar w:fldCharType="end"/>
      </w:r>
      <w:r>
        <w:rPr>
          <w:rFonts w:hint="eastAsia" w:ascii="楷体" w:hAnsi="楷体" w:eastAsia="楷体" w:cs="楷体"/>
          <w:color w:val="121212"/>
          <w:sz w:val="32"/>
          <w:szCs w:val="32"/>
        </w:rPr>
        <w:fldChar w:fldCharType="end"/>
      </w:r>
    </w:p>
    <w:p>
      <w:pPr>
        <w:pStyle w:val="7"/>
        <w:tabs>
          <w:tab w:val="right" w:leader="dot" w:pos="8844"/>
        </w:tabs>
        <w:rPr>
          <w:rFonts w:hint="eastAsia" w:ascii="楷体" w:hAnsi="楷体" w:eastAsia="楷体" w:cs="楷体"/>
          <w:color w:val="121212"/>
          <w:sz w:val="32"/>
          <w:szCs w:val="32"/>
        </w:rPr>
      </w:pPr>
      <w:r>
        <w:rPr>
          <w:rFonts w:hint="eastAsia" w:ascii="楷体" w:hAnsi="楷体" w:eastAsia="楷体" w:cs="楷体"/>
          <w:color w:val="121212"/>
          <w:sz w:val="32"/>
          <w:szCs w:val="32"/>
        </w:rPr>
        <w:fldChar w:fldCharType="begin"/>
      </w:r>
      <w:r>
        <w:rPr>
          <w:rFonts w:hint="eastAsia" w:ascii="楷体" w:hAnsi="楷体" w:eastAsia="楷体" w:cs="楷体"/>
          <w:color w:val="121212"/>
          <w:sz w:val="32"/>
          <w:szCs w:val="32"/>
        </w:rPr>
        <w:instrText xml:space="preserve"> HYPERLINK \l "_Toc16991" </w:instrText>
      </w:r>
      <w:r>
        <w:rPr>
          <w:rFonts w:hint="eastAsia" w:ascii="楷体" w:hAnsi="楷体" w:eastAsia="楷体" w:cs="楷体"/>
          <w:color w:val="121212"/>
          <w:sz w:val="32"/>
          <w:szCs w:val="32"/>
        </w:rPr>
        <w:fldChar w:fldCharType="separate"/>
      </w:r>
      <w:r>
        <w:rPr>
          <w:rFonts w:hint="eastAsia" w:ascii="楷体" w:hAnsi="楷体" w:eastAsia="楷体" w:cs="楷体"/>
          <w:color w:val="121212"/>
          <w:sz w:val="32"/>
          <w:szCs w:val="32"/>
        </w:rPr>
        <w:t>第四节  优化律师法律服务</w:t>
      </w:r>
      <w:r>
        <w:rPr>
          <w:rFonts w:hint="eastAsia" w:ascii="楷体" w:hAnsi="楷体" w:eastAsia="楷体" w:cs="楷体"/>
          <w:color w:val="121212"/>
          <w:sz w:val="32"/>
          <w:szCs w:val="32"/>
        </w:rPr>
        <w:tab/>
      </w:r>
      <w:r>
        <w:rPr>
          <w:rFonts w:hint="eastAsia" w:ascii="楷体" w:hAnsi="楷体" w:eastAsia="楷体" w:cs="楷体"/>
          <w:color w:val="121212"/>
          <w:sz w:val="32"/>
          <w:szCs w:val="32"/>
        </w:rPr>
        <w:fldChar w:fldCharType="begin"/>
      </w:r>
      <w:r>
        <w:rPr>
          <w:rFonts w:hint="eastAsia" w:ascii="楷体" w:hAnsi="楷体" w:eastAsia="楷体" w:cs="楷体"/>
          <w:color w:val="121212"/>
          <w:sz w:val="32"/>
          <w:szCs w:val="32"/>
        </w:rPr>
        <w:instrText xml:space="preserve"> PAGEREF _Toc16991 </w:instrText>
      </w:r>
      <w:r>
        <w:rPr>
          <w:rFonts w:hint="eastAsia" w:ascii="楷体" w:hAnsi="楷体" w:eastAsia="楷体" w:cs="楷体"/>
          <w:color w:val="121212"/>
          <w:sz w:val="32"/>
          <w:szCs w:val="32"/>
        </w:rPr>
        <w:fldChar w:fldCharType="separate"/>
      </w:r>
      <w:r>
        <w:rPr>
          <w:rFonts w:hint="eastAsia" w:ascii="楷体" w:hAnsi="楷体" w:eastAsia="楷体" w:cs="楷体"/>
          <w:color w:val="121212"/>
          <w:sz w:val="32"/>
          <w:szCs w:val="32"/>
        </w:rPr>
        <w:t>20</w:t>
      </w:r>
      <w:r>
        <w:rPr>
          <w:rFonts w:hint="eastAsia" w:ascii="楷体" w:hAnsi="楷体" w:eastAsia="楷体" w:cs="楷体"/>
          <w:color w:val="121212"/>
          <w:sz w:val="32"/>
          <w:szCs w:val="32"/>
        </w:rPr>
        <w:fldChar w:fldCharType="end"/>
      </w:r>
      <w:r>
        <w:rPr>
          <w:rFonts w:hint="eastAsia" w:ascii="楷体" w:hAnsi="楷体" w:eastAsia="楷体" w:cs="楷体"/>
          <w:color w:val="121212"/>
          <w:sz w:val="32"/>
          <w:szCs w:val="32"/>
        </w:rPr>
        <w:fldChar w:fldCharType="end"/>
      </w:r>
    </w:p>
    <w:p>
      <w:pPr>
        <w:pStyle w:val="7"/>
        <w:tabs>
          <w:tab w:val="right" w:leader="dot" w:pos="8844"/>
        </w:tabs>
        <w:rPr>
          <w:rFonts w:hint="eastAsia" w:ascii="楷体" w:hAnsi="楷体" w:eastAsia="楷体" w:cs="楷体"/>
          <w:color w:val="121212"/>
          <w:sz w:val="32"/>
          <w:szCs w:val="32"/>
        </w:rPr>
      </w:pPr>
      <w:r>
        <w:rPr>
          <w:rFonts w:hint="eastAsia" w:ascii="楷体" w:hAnsi="楷体" w:eastAsia="楷体" w:cs="楷体"/>
          <w:color w:val="121212"/>
          <w:sz w:val="32"/>
          <w:szCs w:val="32"/>
        </w:rPr>
        <w:fldChar w:fldCharType="begin"/>
      </w:r>
      <w:r>
        <w:rPr>
          <w:rFonts w:hint="eastAsia" w:ascii="楷体" w:hAnsi="楷体" w:eastAsia="楷体" w:cs="楷体"/>
          <w:color w:val="121212"/>
          <w:sz w:val="32"/>
          <w:szCs w:val="32"/>
        </w:rPr>
        <w:instrText xml:space="preserve"> HYPERLINK \l "_Toc32707" </w:instrText>
      </w:r>
      <w:r>
        <w:rPr>
          <w:rFonts w:hint="eastAsia" w:ascii="楷体" w:hAnsi="楷体" w:eastAsia="楷体" w:cs="楷体"/>
          <w:color w:val="121212"/>
          <w:sz w:val="32"/>
          <w:szCs w:val="32"/>
        </w:rPr>
        <w:fldChar w:fldCharType="separate"/>
      </w:r>
      <w:r>
        <w:rPr>
          <w:rFonts w:hint="eastAsia" w:ascii="楷体" w:hAnsi="楷体" w:eastAsia="楷体" w:cs="楷体"/>
          <w:color w:val="121212"/>
          <w:sz w:val="32"/>
          <w:szCs w:val="32"/>
        </w:rPr>
        <w:t>第五节  拓展公证服务业务领域</w:t>
      </w:r>
      <w:r>
        <w:rPr>
          <w:rFonts w:hint="eastAsia" w:ascii="楷体" w:hAnsi="楷体" w:eastAsia="楷体" w:cs="楷体"/>
          <w:color w:val="121212"/>
          <w:sz w:val="32"/>
          <w:szCs w:val="32"/>
        </w:rPr>
        <w:tab/>
      </w:r>
      <w:r>
        <w:rPr>
          <w:rFonts w:hint="eastAsia" w:ascii="楷体" w:hAnsi="楷体" w:eastAsia="楷体" w:cs="楷体"/>
          <w:color w:val="121212"/>
          <w:sz w:val="32"/>
          <w:szCs w:val="32"/>
        </w:rPr>
        <w:fldChar w:fldCharType="begin"/>
      </w:r>
      <w:r>
        <w:rPr>
          <w:rFonts w:hint="eastAsia" w:ascii="楷体" w:hAnsi="楷体" w:eastAsia="楷体" w:cs="楷体"/>
          <w:color w:val="121212"/>
          <w:sz w:val="32"/>
          <w:szCs w:val="32"/>
        </w:rPr>
        <w:instrText xml:space="preserve"> PAGEREF _Toc32707 </w:instrText>
      </w:r>
      <w:r>
        <w:rPr>
          <w:rFonts w:hint="eastAsia" w:ascii="楷体" w:hAnsi="楷体" w:eastAsia="楷体" w:cs="楷体"/>
          <w:color w:val="121212"/>
          <w:sz w:val="32"/>
          <w:szCs w:val="32"/>
        </w:rPr>
        <w:fldChar w:fldCharType="separate"/>
      </w:r>
      <w:r>
        <w:rPr>
          <w:rFonts w:hint="eastAsia" w:ascii="楷体" w:hAnsi="楷体" w:eastAsia="楷体" w:cs="楷体"/>
          <w:color w:val="121212"/>
          <w:sz w:val="32"/>
          <w:szCs w:val="32"/>
        </w:rPr>
        <w:t>21</w:t>
      </w:r>
      <w:r>
        <w:rPr>
          <w:rFonts w:hint="eastAsia" w:ascii="楷体" w:hAnsi="楷体" w:eastAsia="楷体" w:cs="楷体"/>
          <w:color w:val="121212"/>
          <w:sz w:val="32"/>
          <w:szCs w:val="32"/>
        </w:rPr>
        <w:fldChar w:fldCharType="end"/>
      </w:r>
      <w:r>
        <w:rPr>
          <w:rFonts w:hint="eastAsia" w:ascii="楷体" w:hAnsi="楷体" w:eastAsia="楷体" w:cs="楷体"/>
          <w:color w:val="121212"/>
          <w:sz w:val="32"/>
          <w:szCs w:val="32"/>
        </w:rPr>
        <w:fldChar w:fldCharType="end"/>
      </w:r>
    </w:p>
    <w:p>
      <w:pPr>
        <w:pStyle w:val="7"/>
        <w:tabs>
          <w:tab w:val="right" w:leader="dot" w:pos="8844"/>
        </w:tabs>
        <w:rPr>
          <w:rFonts w:hint="eastAsia" w:ascii="楷体" w:hAnsi="楷体" w:eastAsia="楷体" w:cs="楷体"/>
          <w:color w:val="121212"/>
          <w:sz w:val="32"/>
          <w:szCs w:val="32"/>
        </w:rPr>
      </w:pPr>
      <w:r>
        <w:rPr>
          <w:rFonts w:hint="eastAsia" w:ascii="楷体" w:hAnsi="楷体" w:eastAsia="楷体" w:cs="楷体"/>
          <w:color w:val="121212"/>
          <w:sz w:val="32"/>
          <w:szCs w:val="32"/>
        </w:rPr>
        <w:fldChar w:fldCharType="begin"/>
      </w:r>
      <w:r>
        <w:rPr>
          <w:rFonts w:hint="eastAsia" w:ascii="楷体" w:hAnsi="楷体" w:eastAsia="楷体" w:cs="楷体"/>
          <w:color w:val="121212"/>
          <w:sz w:val="32"/>
          <w:szCs w:val="32"/>
        </w:rPr>
        <w:instrText xml:space="preserve"> HYPERLINK \l "_Toc31152" </w:instrText>
      </w:r>
      <w:r>
        <w:rPr>
          <w:rFonts w:hint="eastAsia" w:ascii="楷体" w:hAnsi="楷体" w:eastAsia="楷体" w:cs="楷体"/>
          <w:color w:val="121212"/>
          <w:sz w:val="32"/>
          <w:szCs w:val="32"/>
        </w:rPr>
        <w:fldChar w:fldCharType="separate"/>
      </w:r>
      <w:r>
        <w:rPr>
          <w:rFonts w:hint="eastAsia" w:ascii="楷体" w:hAnsi="楷体" w:eastAsia="楷体" w:cs="楷体"/>
          <w:color w:val="121212"/>
          <w:sz w:val="32"/>
          <w:szCs w:val="32"/>
        </w:rPr>
        <w:t>第六节  推进司法鉴定行业高质量发展</w:t>
      </w:r>
      <w:r>
        <w:rPr>
          <w:rFonts w:hint="eastAsia" w:ascii="楷体" w:hAnsi="楷体" w:eastAsia="楷体" w:cs="楷体"/>
          <w:color w:val="121212"/>
          <w:sz w:val="32"/>
          <w:szCs w:val="32"/>
        </w:rPr>
        <w:tab/>
      </w:r>
      <w:r>
        <w:rPr>
          <w:rFonts w:hint="eastAsia" w:ascii="楷体" w:hAnsi="楷体" w:eastAsia="楷体" w:cs="楷体"/>
          <w:color w:val="121212"/>
          <w:sz w:val="32"/>
          <w:szCs w:val="32"/>
        </w:rPr>
        <w:fldChar w:fldCharType="begin"/>
      </w:r>
      <w:r>
        <w:rPr>
          <w:rFonts w:hint="eastAsia" w:ascii="楷体" w:hAnsi="楷体" w:eastAsia="楷体" w:cs="楷体"/>
          <w:color w:val="121212"/>
          <w:sz w:val="32"/>
          <w:szCs w:val="32"/>
        </w:rPr>
        <w:instrText xml:space="preserve"> PAGEREF _Toc31152 </w:instrText>
      </w:r>
      <w:r>
        <w:rPr>
          <w:rFonts w:hint="eastAsia" w:ascii="楷体" w:hAnsi="楷体" w:eastAsia="楷体" w:cs="楷体"/>
          <w:color w:val="121212"/>
          <w:sz w:val="32"/>
          <w:szCs w:val="32"/>
        </w:rPr>
        <w:fldChar w:fldCharType="separate"/>
      </w:r>
      <w:r>
        <w:rPr>
          <w:rFonts w:hint="eastAsia" w:ascii="楷体" w:hAnsi="楷体" w:eastAsia="楷体" w:cs="楷体"/>
          <w:color w:val="121212"/>
          <w:sz w:val="32"/>
          <w:szCs w:val="32"/>
        </w:rPr>
        <w:t>22</w:t>
      </w:r>
      <w:r>
        <w:rPr>
          <w:rFonts w:hint="eastAsia" w:ascii="楷体" w:hAnsi="楷体" w:eastAsia="楷体" w:cs="楷体"/>
          <w:color w:val="121212"/>
          <w:sz w:val="32"/>
          <w:szCs w:val="32"/>
        </w:rPr>
        <w:fldChar w:fldCharType="end"/>
      </w:r>
      <w:r>
        <w:rPr>
          <w:rFonts w:hint="eastAsia" w:ascii="楷体" w:hAnsi="楷体" w:eastAsia="楷体" w:cs="楷体"/>
          <w:color w:val="121212"/>
          <w:sz w:val="32"/>
          <w:szCs w:val="32"/>
        </w:rPr>
        <w:fldChar w:fldCharType="end"/>
      </w:r>
    </w:p>
    <w:p>
      <w:pPr>
        <w:pStyle w:val="7"/>
        <w:tabs>
          <w:tab w:val="right" w:leader="dot" w:pos="8844"/>
        </w:tabs>
        <w:rPr>
          <w:rFonts w:hint="eastAsia" w:ascii="楷体" w:hAnsi="楷体" w:eastAsia="楷体" w:cs="楷体"/>
          <w:color w:val="121212"/>
          <w:sz w:val="32"/>
          <w:szCs w:val="32"/>
        </w:rPr>
      </w:pPr>
      <w:r>
        <w:rPr>
          <w:rFonts w:hint="eastAsia" w:ascii="楷体" w:hAnsi="楷体" w:eastAsia="楷体" w:cs="楷体"/>
          <w:color w:val="121212"/>
          <w:sz w:val="32"/>
          <w:szCs w:val="32"/>
        </w:rPr>
        <w:fldChar w:fldCharType="begin"/>
      </w:r>
      <w:r>
        <w:rPr>
          <w:rFonts w:hint="eastAsia" w:ascii="楷体" w:hAnsi="楷体" w:eastAsia="楷体" w:cs="楷体"/>
          <w:color w:val="121212"/>
          <w:sz w:val="32"/>
          <w:szCs w:val="32"/>
        </w:rPr>
        <w:instrText xml:space="preserve"> HYPERLINK \l "_Toc25993" </w:instrText>
      </w:r>
      <w:r>
        <w:rPr>
          <w:rFonts w:hint="eastAsia" w:ascii="楷体" w:hAnsi="楷体" w:eastAsia="楷体" w:cs="楷体"/>
          <w:color w:val="121212"/>
          <w:sz w:val="32"/>
          <w:szCs w:val="32"/>
        </w:rPr>
        <w:fldChar w:fldCharType="separate"/>
      </w:r>
      <w:r>
        <w:rPr>
          <w:rFonts w:hint="eastAsia" w:ascii="楷体" w:hAnsi="楷体" w:eastAsia="楷体" w:cs="楷体"/>
          <w:color w:val="121212"/>
          <w:sz w:val="32"/>
          <w:szCs w:val="32"/>
        </w:rPr>
        <w:t>第七节  深化仲裁机构改革</w:t>
      </w:r>
      <w:r>
        <w:rPr>
          <w:rFonts w:hint="eastAsia" w:ascii="楷体" w:hAnsi="楷体" w:eastAsia="楷体" w:cs="楷体"/>
          <w:color w:val="121212"/>
          <w:sz w:val="32"/>
          <w:szCs w:val="32"/>
          <w:lang w:eastAsia="zh-CN"/>
        </w:rPr>
        <w:t>发展</w:t>
      </w:r>
      <w:r>
        <w:rPr>
          <w:rFonts w:hint="eastAsia" w:ascii="楷体" w:hAnsi="楷体" w:eastAsia="楷体" w:cs="楷体"/>
          <w:color w:val="121212"/>
          <w:sz w:val="32"/>
          <w:szCs w:val="32"/>
        </w:rPr>
        <w:tab/>
      </w:r>
      <w:r>
        <w:rPr>
          <w:rFonts w:hint="eastAsia" w:ascii="楷体" w:hAnsi="楷体" w:eastAsia="楷体" w:cs="楷体"/>
          <w:color w:val="121212"/>
          <w:sz w:val="32"/>
          <w:szCs w:val="32"/>
        </w:rPr>
        <w:fldChar w:fldCharType="begin"/>
      </w:r>
      <w:r>
        <w:rPr>
          <w:rFonts w:hint="eastAsia" w:ascii="楷体" w:hAnsi="楷体" w:eastAsia="楷体" w:cs="楷体"/>
          <w:color w:val="121212"/>
          <w:sz w:val="32"/>
          <w:szCs w:val="32"/>
        </w:rPr>
        <w:instrText xml:space="preserve"> PAGEREF _Toc25993 </w:instrText>
      </w:r>
      <w:r>
        <w:rPr>
          <w:rFonts w:hint="eastAsia" w:ascii="楷体" w:hAnsi="楷体" w:eastAsia="楷体" w:cs="楷体"/>
          <w:color w:val="121212"/>
          <w:sz w:val="32"/>
          <w:szCs w:val="32"/>
        </w:rPr>
        <w:fldChar w:fldCharType="separate"/>
      </w:r>
      <w:r>
        <w:rPr>
          <w:rFonts w:hint="eastAsia" w:ascii="楷体" w:hAnsi="楷体" w:eastAsia="楷体" w:cs="楷体"/>
          <w:color w:val="121212"/>
          <w:sz w:val="32"/>
          <w:szCs w:val="32"/>
        </w:rPr>
        <w:t>22</w:t>
      </w:r>
      <w:r>
        <w:rPr>
          <w:rFonts w:hint="eastAsia" w:ascii="楷体" w:hAnsi="楷体" w:eastAsia="楷体" w:cs="楷体"/>
          <w:color w:val="121212"/>
          <w:sz w:val="32"/>
          <w:szCs w:val="32"/>
        </w:rPr>
        <w:fldChar w:fldCharType="end"/>
      </w:r>
      <w:r>
        <w:rPr>
          <w:rFonts w:hint="eastAsia" w:ascii="楷体" w:hAnsi="楷体" w:eastAsia="楷体" w:cs="楷体"/>
          <w:color w:val="121212"/>
          <w:sz w:val="32"/>
          <w:szCs w:val="32"/>
        </w:rPr>
        <w:fldChar w:fldCharType="end"/>
      </w:r>
    </w:p>
    <w:p>
      <w:pPr>
        <w:pStyle w:val="7"/>
        <w:tabs>
          <w:tab w:val="right" w:leader="dot" w:pos="8844"/>
        </w:tabs>
        <w:rPr>
          <w:rFonts w:ascii="仿宋" w:hAnsi="仿宋" w:eastAsia="仿宋" w:cs="仿宋"/>
          <w:color w:val="121212"/>
          <w:sz w:val="32"/>
          <w:szCs w:val="32"/>
        </w:rPr>
      </w:pPr>
      <w:r>
        <w:rPr>
          <w:rFonts w:hint="eastAsia" w:ascii="楷体" w:hAnsi="楷体" w:eastAsia="楷体" w:cs="楷体"/>
          <w:color w:val="121212"/>
          <w:sz w:val="32"/>
          <w:szCs w:val="32"/>
        </w:rPr>
        <w:fldChar w:fldCharType="begin"/>
      </w:r>
      <w:r>
        <w:rPr>
          <w:rFonts w:hint="eastAsia" w:ascii="楷体" w:hAnsi="楷体" w:eastAsia="楷体" w:cs="楷体"/>
          <w:color w:val="121212"/>
          <w:sz w:val="32"/>
          <w:szCs w:val="32"/>
        </w:rPr>
        <w:instrText xml:space="preserve"> HYPERLINK \l "_Toc1362" </w:instrText>
      </w:r>
      <w:r>
        <w:rPr>
          <w:rFonts w:hint="eastAsia" w:ascii="楷体" w:hAnsi="楷体" w:eastAsia="楷体" w:cs="楷体"/>
          <w:color w:val="121212"/>
          <w:sz w:val="32"/>
          <w:szCs w:val="32"/>
        </w:rPr>
        <w:fldChar w:fldCharType="separate"/>
      </w:r>
      <w:r>
        <w:rPr>
          <w:rFonts w:hint="eastAsia" w:ascii="楷体" w:hAnsi="楷体" w:eastAsia="楷体" w:cs="楷体"/>
          <w:color w:val="121212"/>
          <w:sz w:val="32"/>
          <w:szCs w:val="32"/>
        </w:rPr>
        <w:t xml:space="preserve">第八节  </w:t>
      </w:r>
      <w:r>
        <w:rPr>
          <w:rFonts w:hint="eastAsia" w:ascii="楷体" w:hAnsi="楷体" w:eastAsia="楷体" w:cs="楷体"/>
          <w:color w:val="121212"/>
          <w:sz w:val="32"/>
          <w:szCs w:val="32"/>
          <w:lang w:eastAsia="zh-CN"/>
        </w:rPr>
        <w:t>服务</w:t>
      </w:r>
      <w:r>
        <w:rPr>
          <w:rFonts w:hint="eastAsia" w:ascii="楷体" w:hAnsi="楷体" w:eastAsia="楷体" w:cs="楷体"/>
          <w:color w:val="121212"/>
          <w:sz w:val="32"/>
          <w:szCs w:val="32"/>
        </w:rPr>
        <w:t>基层依法治理</w:t>
      </w:r>
      <w:r>
        <w:rPr>
          <w:rFonts w:hint="eastAsia" w:ascii="楷体" w:hAnsi="楷体" w:eastAsia="楷体" w:cs="楷体"/>
          <w:color w:val="121212"/>
          <w:sz w:val="32"/>
          <w:szCs w:val="32"/>
        </w:rPr>
        <w:tab/>
      </w:r>
      <w:r>
        <w:rPr>
          <w:rFonts w:hint="eastAsia" w:ascii="楷体" w:hAnsi="楷体" w:eastAsia="楷体" w:cs="楷体"/>
          <w:color w:val="121212"/>
          <w:sz w:val="32"/>
          <w:szCs w:val="32"/>
        </w:rPr>
        <w:fldChar w:fldCharType="begin"/>
      </w:r>
      <w:r>
        <w:rPr>
          <w:rFonts w:hint="eastAsia" w:ascii="楷体" w:hAnsi="楷体" w:eastAsia="楷体" w:cs="楷体"/>
          <w:color w:val="121212"/>
          <w:sz w:val="32"/>
          <w:szCs w:val="32"/>
        </w:rPr>
        <w:instrText xml:space="preserve"> PAGEREF _Toc1362 </w:instrText>
      </w:r>
      <w:r>
        <w:rPr>
          <w:rFonts w:hint="eastAsia" w:ascii="楷体" w:hAnsi="楷体" w:eastAsia="楷体" w:cs="楷体"/>
          <w:color w:val="121212"/>
          <w:sz w:val="32"/>
          <w:szCs w:val="32"/>
        </w:rPr>
        <w:fldChar w:fldCharType="separate"/>
      </w:r>
      <w:r>
        <w:rPr>
          <w:rFonts w:hint="eastAsia" w:ascii="楷体" w:hAnsi="楷体" w:eastAsia="楷体" w:cs="楷体"/>
          <w:color w:val="121212"/>
          <w:sz w:val="32"/>
          <w:szCs w:val="32"/>
        </w:rPr>
        <w:t>24</w:t>
      </w:r>
      <w:r>
        <w:rPr>
          <w:rFonts w:hint="eastAsia" w:ascii="楷体" w:hAnsi="楷体" w:eastAsia="楷体" w:cs="楷体"/>
          <w:color w:val="121212"/>
          <w:sz w:val="32"/>
          <w:szCs w:val="32"/>
        </w:rPr>
        <w:fldChar w:fldCharType="end"/>
      </w:r>
      <w:r>
        <w:rPr>
          <w:rFonts w:hint="eastAsia" w:ascii="楷体" w:hAnsi="楷体" w:eastAsia="楷体" w:cs="楷体"/>
          <w:color w:val="121212"/>
          <w:sz w:val="32"/>
          <w:szCs w:val="32"/>
        </w:rPr>
        <w:fldChar w:fldCharType="end"/>
      </w:r>
    </w:p>
    <w:p>
      <w:pPr>
        <w:pStyle w:val="6"/>
        <w:tabs>
          <w:tab w:val="right" w:leader="dot" w:pos="8844"/>
        </w:tabs>
        <w:rPr>
          <w:rFonts w:hint="eastAsia" w:ascii="黑体" w:hAnsi="黑体" w:eastAsia="黑体" w:cs="黑体"/>
          <w:color w:val="121212"/>
          <w:sz w:val="32"/>
          <w:szCs w:val="32"/>
        </w:rPr>
      </w:pPr>
      <w:r>
        <w:rPr>
          <w:rFonts w:hint="eastAsia" w:ascii="黑体" w:hAnsi="黑体" w:eastAsia="黑体" w:cs="黑体"/>
          <w:color w:val="121212"/>
          <w:sz w:val="32"/>
          <w:szCs w:val="32"/>
        </w:rPr>
        <w:fldChar w:fldCharType="begin"/>
      </w:r>
      <w:r>
        <w:rPr>
          <w:rFonts w:hint="eastAsia" w:ascii="黑体" w:hAnsi="黑体" w:eastAsia="黑体" w:cs="黑体"/>
          <w:color w:val="121212"/>
          <w:sz w:val="32"/>
          <w:szCs w:val="32"/>
        </w:rPr>
        <w:instrText xml:space="preserve"> HYPERLINK \l "_Toc27495" </w:instrText>
      </w:r>
      <w:r>
        <w:rPr>
          <w:rFonts w:hint="eastAsia" w:ascii="黑体" w:hAnsi="黑体" w:eastAsia="黑体" w:cs="黑体"/>
          <w:color w:val="121212"/>
          <w:sz w:val="32"/>
          <w:szCs w:val="32"/>
        </w:rPr>
        <w:fldChar w:fldCharType="separate"/>
      </w:r>
      <w:r>
        <w:rPr>
          <w:rFonts w:hint="eastAsia" w:ascii="黑体" w:hAnsi="黑体" w:eastAsia="黑体" w:cs="黑体"/>
          <w:color w:val="121212"/>
          <w:sz w:val="32"/>
          <w:szCs w:val="32"/>
        </w:rPr>
        <w:t>第五章  推进公共法律服务</w:t>
      </w:r>
      <w:r>
        <w:rPr>
          <w:rFonts w:hint="eastAsia" w:ascii="黑体" w:hAnsi="黑体" w:eastAsia="黑体" w:cs="黑体"/>
          <w:color w:val="121212"/>
          <w:sz w:val="32"/>
          <w:szCs w:val="32"/>
          <w:lang w:eastAsia="zh-CN"/>
        </w:rPr>
        <w:t>均衡</w:t>
      </w:r>
      <w:r>
        <w:rPr>
          <w:rFonts w:hint="eastAsia" w:ascii="黑体" w:hAnsi="黑体" w:eastAsia="黑体" w:cs="黑体"/>
          <w:color w:val="121212"/>
          <w:sz w:val="32"/>
          <w:szCs w:val="32"/>
        </w:rPr>
        <w:t>发展</w:t>
      </w:r>
      <w:r>
        <w:rPr>
          <w:rFonts w:hint="eastAsia" w:ascii="黑体" w:hAnsi="黑体" w:eastAsia="黑体" w:cs="黑体"/>
          <w:color w:val="121212"/>
          <w:sz w:val="32"/>
          <w:szCs w:val="32"/>
        </w:rPr>
        <w:tab/>
      </w:r>
      <w:r>
        <w:rPr>
          <w:rFonts w:hint="eastAsia" w:ascii="黑体" w:hAnsi="黑体" w:eastAsia="黑体" w:cs="黑体"/>
          <w:color w:val="121212"/>
          <w:sz w:val="32"/>
          <w:szCs w:val="32"/>
        </w:rPr>
        <w:fldChar w:fldCharType="begin"/>
      </w:r>
      <w:r>
        <w:rPr>
          <w:rFonts w:hint="eastAsia" w:ascii="黑体" w:hAnsi="黑体" w:eastAsia="黑体" w:cs="黑体"/>
          <w:color w:val="121212"/>
          <w:sz w:val="32"/>
          <w:szCs w:val="32"/>
        </w:rPr>
        <w:instrText xml:space="preserve"> PAGEREF _Toc27495 </w:instrText>
      </w:r>
      <w:r>
        <w:rPr>
          <w:rFonts w:hint="eastAsia" w:ascii="黑体" w:hAnsi="黑体" w:eastAsia="黑体" w:cs="黑体"/>
          <w:color w:val="121212"/>
          <w:sz w:val="32"/>
          <w:szCs w:val="32"/>
        </w:rPr>
        <w:fldChar w:fldCharType="separate"/>
      </w:r>
      <w:r>
        <w:rPr>
          <w:rFonts w:hint="eastAsia" w:ascii="黑体" w:hAnsi="黑体" w:eastAsia="黑体" w:cs="黑体"/>
          <w:color w:val="121212"/>
          <w:sz w:val="32"/>
          <w:szCs w:val="32"/>
        </w:rPr>
        <w:t>25</w:t>
      </w:r>
      <w:r>
        <w:rPr>
          <w:rFonts w:hint="eastAsia" w:ascii="黑体" w:hAnsi="黑体" w:eastAsia="黑体" w:cs="黑体"/>
          <w:color w:val="121212"/>
          <w:sz w:val="32"/>
          <w:szCs w:val="32"/>
        </w:rPr>
        <w:fldChar w:fldCharType="end"/>
      </w:r>
      <w:r>
        <w:rPr>
          <w:rFonts w:hint="eastAsia" w:ascii="黑体" w:hAnsi="黑体" w:eastAsia="黑体" w:cs="黑体"/>
          <w:color w:val="121212"/>
          <w:sz w:val="32"/>
          <w:szCs w:val="32"/>
        </w:rPr>
        <w:fldChar w:fldCharType="end"/>
      </w:r>
    </w:p>
    <w:p>
      <w:pPr>
        <w:pStyle w:val="7"/>
        <w:tabs>
          <w:tab w:val="right" w:leader="dot" w:pos="8844"/>
        </w:tabs>
        <w:rPr>
          <w:rFonts w:hint="eastAsia" w:ascii="楷体" w:hAnsi="楷体" w:eastAsia="楷体" w:cs="楷体"/>
          <w:color w:val="121212"/>
          <w:sz w:val="32"/>
          <w:szCs w:val="32"/>
        </w:rPr>
      </w:pPr>
      <w:r>
        <w:rPr>
          <w:rFonts w:hint="eastAsia" w:ascii="楷体" w:hAnsi="楷体" w:eastAsia="楷体" w:cs="楷体"/>
          <w:color w:val="121212"/>
          <w:sz w:val="32"/>
          <w:szCs w:val="32"/>
        </w:rPr>
        <w:fldChar w:fldCharType="begin"/>
      </w:r>
      <w:r>
        <w:rPr>
          <w:rFonts w:hint="eastAsia" w:ascii="楷体" w:hAnsi="楷体" w:eastAsia="楷体" w:cs="楷体"/>
          <w:color w:val="121212"/>
          <w:sz w:val="32"/>
          <w:szCs w:val="32"/>
        </w:rPr>
        <w:instrText xml:space="preserve"> HYPERLINK \l "_Toc23176" </w:instrText>
      </w:r>
      <w:r>
        <w:rPr>
          <w:rFonts w:hint="eastAsia" w:ascii="楷体" w:hAnsi="楷体" w:eastAsia="楷体" w:cs="楷体"/>
          <w:color w:val="121212"/>
          <w:sz w:val="32"/>
          <w:szCs w:val="32"/>
        </w:rPr>
        <w:fldChar w:fldCharType="separate"/>
      </w:r>
      <w:r>
        <w:rPr>
          <w:rFonts w:hint="eastAsia" w:ascii="楷体" w:hAnsi="楷体" w:eastAsia="楷体" w:cs="楷体"/>
          <w:color w:val="121212"/>
          <w:sz w:val="32"/>
          <w:szCs w:val="32"/>
        </w:rPr>
        <w:t>第一节  加强民族地区公共法律服务</w:t>
      </w:r>
      <w:r>
        <w:rPr>
          <w:rFonts w:hint="eastAsia" w:ascii="楷体" w:hAnsi="楷体" w:eastAsia="楷体" w:cs="楷体"/>
          <w:color w:val="121212"/>
          <w:sz w:val="32"/>
          <w:szCs w:val="32"/>
          <w:lang w:eastAsia="zh-CN"/>
        </w:rPr>
        <w:t>能力</w:t>
      </w:r>
      <w:r>
        <w:rPr>
          <w:rFonts w:hint="eastAsia" w:ascii="楷体" w:hAnsi="楷体" w:eastAsia="楷体" w:cs="楷体"/>
          <w:color w:val="121212"/>
          <w:sz w:val="32"/>
          <w:szCs w:val="32"/>
        </w:rPr>
        <w:t>建设</w:t>
      </w:r>
      <w:r>
        <w:rPr>
          <w:rFonts w:hint="eastAsia" w:ascii="楷体" w:hAnsi="楷体" w:eastAsia="楷体" w:cs="楷体"/>
          <w:color w:val="121212"/>
          <w:sz w:val="32"/>
          <w:szCs w:val="32"/>
        </w:rPr>
        <w:tab/>
      </w:r>
      <w:r>
        <w:rPr>
          <w:rFonts w:hint="eastAsia" w:ascii="楷体" w:hAnsi="楷体" w:eastAsia="楷体" w:cs="楷体"/>
          <w:color w:val="121212"/>
          <w:sz w:val="32"/>
          <w:szCs w:val="32"/>
        </w:rPr>
        <w:fldChar w:fldCharType="begin"/>
      </w:r>
      <w:r>
        <w:rPr>
          <w:rFonts w:hint="eastAsia" w:ascii="楷体" w:hAnsi="楷体" w:eastAsia="楷体" w:cs="楷体"/>
          <w:color w:val="121212"/>
          <w:sz w:val="32"/>
          <w:szCs w:val="32"/>
        </w:rPr>
        <w:instrText xml:space="preserve"> PAGEREF _Toc23176 </w:instrText>
      </w:r>
      <w:r>
        <w:rPr>
          <w:rFonts w:hint="eastAsia" w:ascii="楷体" w:hAnsi="楷体" w:eastAsia="楷体" w:cs="楷体"/>
          <w:color w:val="121212"/>
          <w:sz w:val="32"/>
          <w:szCs w:val="32"/>
        </w:rPr>
        <w:fldChar w:fldCharType="separate"/>
      </w:r>
      <w:r>
        <w:rPr>
          <w:rFonts w:hint="eastAsia" w:ascii="楷体" w:hAnsi="楷体" w:eastAsia="楷体" w:cs="楷体"/>
          <w:color w:val="121212"/>
          <w:sz w:val="32"/>
          <w:szCs w:val="32"/>
        </w:rPr>
        <w:t>26</w:t>
      </w:r>
      <w:r>
        <w:rPr>
          <w:rFonts w:hint="eastAsia" w:ascii="楷体" w:hAnsi="楷体" w:eastAsia="楷体" w:cs="楷体"/>
          <w:color w:val="121212"/>
          <w:sz w:val="32"/>
          <w:szCs w:val="32"/>
        </w:rPr>
        <w:fldChar w:fldCharType="end"/>
      </w:r>
      <w:r>
        <w:rPr>
          <w:rFonts w:hint="eastAsia" w:ascii="楷体" w:hAnsi="楷体" w:eastAsia="楷体" w:cs="楷体"/>
          <w:color w:val="121212"/>
          <w:sz w:val="32"/>
          <w:szCs w:val="32"/>
        </w:rPr>
        <w:fldChar w:fldCharType="end"/>
      </w:r>
    </w:p>
    <w:p>
      <w:pPr>
        <w:pStyle w:val="7"/>
        <w:tabs>
          <w:tab w:val="right" w:leader="dot" w:pos="8844"/>
        </w:tabs>
        <w:rPr>
          <w:rFonts w:hint="eastAsia" w:ascii="楷体" w:hAnsi="楷体" w:eastAsia="楷体" w:cs="楷体"/>
          <w:color w:val="121212"/>
          <w:sz w:val="32"/>
          <w:szCs w:val="32"/>
        </w:rPr>
      </w:pPr>
      <w:r>
        <w:rPr>
          <w:rFonts w:hint="eastAsia" w:ascii="楷体" w:hAnsi="楷体" w:eastAsia="楷体" w:cs="楷体"/>
          <w:color w:val="121212"/>
          <w:sz w:val="32"/>
          <w:szCs w:val="32"/>
        </w:rPr>
        <w:fldChar w:fldCharType="begin"/>
      </w:r>
      <w:r>
        <w:rPr>
          <w:rFonts w:hint="eastAsia" w:ascii="楷体" w:hAnsi="楷体" w:eastAsia="楷体" w:cs="楷体"/>
          <w:color w:val="121212"/>
          <w:sz w:val="32"/>
          <w:szCs w:val="32"/>
        </w:rPr>
        <w:instrText xml:space="preserve"> HYPERLINK \l "_Toc5115" </w:instrText>
      </w:r>
      <w:r>
        <w:rPr>
          <w:rFonts w:hint="eastAsia" w:ascii="楷体" w:hAnsi="楷体" w:eastAsia="楷体" w:cs="楷体"/>
          <w:color w:val="121212"/>
          <w:sz w:val="32"/>
          <w:szCs w:val="32"/>
        </w:rPr>
        <w:fldChar w:fldCharType="separate"/>
      </w:r>
      <w:r>
        <w:rPr>
          <w:rFonts w:hint="eastAsia" w:ascii="楷体" w:hAnsi="楷体" w:eastAsia="楷体" w:cs="楷体"/>
          <w:color w:val="121212"/>
          <w:sz w:val="32"/>
          <w:szCs w:val="32"/>
        </w:rPr>
        <w:t xml:space="preserve">第二节 </w:t>
      </w:r>
      <w:r>
        <w:rPr>
          <w:rFonts w:hint="eastAsia" w:ascii="楷体" w:hAnsi="楷体" w:eastAsia="楷体" w:cs="楷体"/>
          <w:color w:val="121212"/>
          <w:sz w:val="32"/>
          <w:szCs w:val="32"/>
          <w:lang w:eastAsia="zh-CN"/>
        </w:rPr>
        <w:t xml:space="preserve"> </w:t>
      </w:r>
      <w:r>
        <w:rPr>
          <w:rFonts w:hint="eastAsia" w:ascii="楷体" w:hAnsi="楷体" w:eastAsia="楷体" w:cs="楷体"/>
          <w:color w:val="121212"/>
          <w:sz w:val="32"/>
          <w:szCs w:val="32"/>
        </w:rPr>
        <w:t>持续推进公共法律服务区域协调发展</w:t>
      </w:r>
      <w:r>
        <w:rPr>
          <w:rFonts w:hint="eastAsia" w:ascii="楷体" w:hAnsi="楷体" w:eastAsia="楷体" w:cs="楷体"/>
          <w:color w:val="121212"/>
          <w:sz w:val="32"/>
          <w:szCs w:val="32"/>
        </w:rPr>
        <w:tab/>
      </w:r>
      <w:r>
        <w:rPr>
          <w:rFonts w:hint="eastAsia" w:ascii="楷体" w:hAnsi="楷体" w:eastAsia="楷体" w:cs="楷体"/>
          <w:color w:val="121212"/>
          <w:sz w:val="32"/>
          <w:szCs w:val="32"/>
        </w:rPr>
        <w:fldChar w:fldCharType="begin"/>
      </w:r>
      <w:r>
        <w:rPr>
          <w:rFonts w:hint="eastAsia" w:ascii="楷体" w:hAnsi="楷体" w:eastAsia="楷体" w:cs="楷体"/>
          <w:color w:val="121212"/>
          <w:sz w:val="32"/>
          <w:szCs w:val="32"/>
        </w:rPr>
        <w:instrText xml:space="preserve"> PAGEREF _Toc5115 </w:instrText>
      </w:r>
      <w:r>
        <w:rPr>
          <w:rFonts w:hint="eastAsia" w:ascii="楷体" w:hAnsi="楷体" w:eastAsia="楷体" w:cs="楷体"/>
          <w:color w:val="121212"/>
          <w:sz w:val="32"/>
          <w:szCs w:val="32"/>
        </w:rPr>
        <w:fldChar w:fldCharType="separate"/>
      </w:r>
      <w:r>
        <w:rPr>
          <w:rFonts w:hint="eastAsia" w:ascii="楷体" w:hAnsi="楷体" w:eastAsia="楷体" w:cs="楷体"/>
          <w:color w:val="121212"/>
          <w:sz w:val="32"/>
          <w:szCs w:val="32"/>
        </w:rPr>
        <w:t>26</w:t>
      </w:r>
      <w:r>
        <w:rPr>
          <w:rFonts w:hint="eastAsia" w:ascii="楷体" w:hAnsi="楷体" w:eastAsia="楷体" w:cs="楷体"/>
          <w:color w:val="121212"/>
          <w:sz w:val="32"/>
          <w:szCs w:val="32"/>
        </w:rPr>
        <w:fldChar w:fldCharType="end"/>
      </w:r>
      <w:r>
        <w:rPr>
          <w:rFonts w:hint="eastAsia" w:ascii="楷体" w:hAnsi="楷体" w:eastAsia="楷体" w:cs="楷体"/>
          <w:color w:val="121212"/>
          <w:sz w:val="32"/>
          <w:szCs w:val="32"/>
        </w:rPr>
        <w:fldChar w:fldCharType="end"/>
      </w:r>
    </w:p>
    <w:p>
      <w:pPr>
        <w:pStyle w:val="7"/>
        <w:tabs>
          <w:tab w:val="right" w:leader="dot" w:pos="8844"/>
        </w:tabs>
        <w:rPr>
          <w:rFonts w:ascii="仿宋" w:hAnsi="仿宋" w:eastAsia="仿宋" w:cs="仿宋"/>
          <w:color w:val="121212"/>
          <w:sz w:val="32"/>
          <w:szCs w:val="32"/>
        </w:rPr>
      </w:pPr>
      <w:r>
        <w:rPr>
          <w:rFonts w:hint="eastAsia" w:ascii="楷体" w:hAnsi="楷体" w:eastAsia="楷体" w:cs="楷体"/>
          <w:color w:val="121212"/>
          <w:sz w:val="32"/>
          <w:szCs w:val="32"/>
        </w:rPr>
        <w:fldChar w:fldCharType="begin"/>
      </w:r>
      <w:r>
        <w:rPr>
          <w:rFonts w:hint="eastAsia" w:ascii="楷体" w:hAnsi="楷体" w:eastAsia="楷体" w:cs="楷体"/>
          <w:color w:val="121212"/>
          <w:sz w:val="32"/>
          <w:szCs w:val="32"/>
        </w:rPr>
        <w:instrText xml:space="preserve"> HYPERLINK \l "_Toc21070" </w:instrText>
      </w:r>
      <w:r>
        <w:rPr>
          <w:rFonts w:hint="eastAsia" w:ascii="楷体" w:hAnsi="楷体" w:eastAsia="楷体" w:cs="楷体"/>
          <w:color w:val="121212"/>
          <w:sz w:val="32"/>
          <w:szCs w:val="32"/>
        </w:rPr>
        <w:fldChar w:fldCharType="separate"/>
      </w:r>
      <w:r>
        <w:rPr>
          <w:rFonts w:hint="eastAsia" w:ascii="楷体" w:hAnsi="楷体" w:eastAsia="楷体" w:cs="楷体"/>
          <w:color w:val="121212"/>
          <w:sz w:val="32"/>
          <w:szCs w:val="32"/>
        </w:rPr>
        <w:t>第三节  拓宽公共法律服务供给领域</w:t>
      </w:r>
      <w:r>
        <w:rPr>
          <w:rFonts w:hint="eastAsia" w:ascii="楷体" w:hAnsi="楷体" w:eastAsia="楷体" w:cs="楷体"/>
          <w:color w:val="121212"/>
          <w:sz w:val="32"/>
          <w:szCs w:val="32"/>
        </w:rPr>
        <w:tab/>
      </w:r>
      <w:r>
        <w:rPr>
          <w:rFonts w:hint="eastAsia" w:ascii="楷体" w:hAnsi="楷体" w:eastAsia="楷体" w:cs="楷体"/>
          <w:color w:val="121212"/>
          <w:sz w:val="32"/>
          <w:szCs w:val="32"/>
        </w:rPr>
        <w:fldChar w:fldCharType="begin"/>
      </w:r>
      <w:r>
        <w:rPr>
          <w:rFonts w:hint="eastAsia" w:ascii="楷体" w:hAnsi="楷体" w:eastAsia="楷体" w:cs="楷体"/>
          <w:color w:val="121212"/>
          <w:sz w:val="32"/>
          <w:szCs w:val="32"/>
        </w:rPr>
        <w:instrText xml:space="preserve"> PAGEREF _Toc21070 </w:instrText>
      </w:r>
      <w:r>
        <w:rPr>
          <w:rFonts w:hint="eastAsia" w:ascii="楷体" w:hAnsi="楷体" w:eastAsia="楷体" w:cs="楷体"/>
          <w:color w:val="121212"/>
          <w:sz w:val="32"/>
          <w:szCs w:val="32"/>
        </w:rPr>
        <w:fldChar w:fldCharType="separate"/>
      </w:r>
      <w:r>
        <w:rPr>
          <w:rFonts w:hint="eastAsia" w:ascii="楷体" w:hAnsi="楷体" w:eastAsia="楷体" w:cs="楷体"/>
          <w:color w:val="121212"/>
          <w:sz w:val="32"/>
          <w:szCs w:val="32"/>
        </w:rPr>
        <w:t>28</w:t>
      </w:r>
      <w:r>
        <w:rPr>
          <w:rFonts w:hint="eastAsia" w:ascii="楷体" w:hAnsi="楷体" w:eastAsia="楷体" w:cs="楷体"/>
          <w:color w:val="121212"/>
          <w:sz w:val="32"/>
          <w:szCs w:val="32"/>
        </w:rPr>
        <w:fldChar w:fldCharType="end"/>
      </w:r>
      <w:r>
        <w:rPr>
          <w:rFonts w:hint="eastAsia" w:ascii="楷体" w:hAnsi="楷体" w:eastAsia="楷体" w:cs="楷体"/>
          <w:color w:val="121212"/>
          <w:sz w:val="32"/>
          <w:szCs w:val="32"/>
        </w:rPr>
        <w:fldChar w:fldCharType="end"/>
      </w:r>
    </w:p>
    <w:p>
      <w:pPr>
        <w:pStyle w:val="6"/>
        <w:tabs>
          <w:tab w:val="right" w:leader="dot" w:pos="8844"/>
        </w:tabs>
        <w:rPr>
          <w:rFonts w:hint="eastAsia" w:ascii="黑体" w:hAnsi="黑体" w:eastAsia="黑体" w:cs="黑体"/>
          <w:color w:val="121212"/>
          <w:sz w:val="32"/>
          <w:szCs w:val="32"/>
        </w:rPr>
      </w:pPr>
      <w:r>
        <w:rPr>
          <w:rFonts w:hint="eastAsia" w:ascii="黑体" w:hAnsi="黑体" w:eastAsia="黑体" w:cs="黑体"/>
          <w:color w:val="121212"/>
          <w:sz w:val="32"/>
          <w:szCs w:val="32"/>
        </w:rPr>
        <w:fldChar w:fldCharType="begin"/>
      </w:r>
      <w:r>
        <w:rPr>
          <w:rFonts w:hint="eastAsia" w:ascii="黑体" w:hAnsi="黑体" w:eastAsia="黑体" w:cs="黑体"/>
          <w:color w:val="121212"/>
          <w:sz w:val="32"/>
          <w:szCs w:val="32"/>
        </w:rPr>
        <w:instrText xml:space="preserve"> HYPERLINK \l "_Toc6588" </w:instrText>
      </w:r>
      <w:r>
        <w:rPr>
          <w:rFonts w:hint="eastAsia" w:ascii="黑体" w:hAnsi="黑体" w:eastAsia="黑体" w:cs="黑体"/>
          <w:color w:val="121212"/>
          <w:sz w:val="32"/>
          <w:szCs w:val="32"/>
        </w:rPr>
        <w:fldChar w:fldCharType="separate"/>
      </w:r>
      <w:r>
        <w:rPr>
          <w:rFonts w:hint="eastAsia" w:ascii="黑体" w:hAnsi="黑体" w:eastAsia="黑体" w:cs="黑体"/>
          <w:color w:val="121212"/>
          <w:sz w:val="32"/>
          <w:szCs w:val="32"/>
        </w:rPr>
        <w:t>第六章  打造高能级公共法律服务业态</w:t>
      </w:r>
      <w:r>
        <w:rPr>
          <w:rFonts w:hint="eastAsia" w:ascii="黑体" w:hAnsi="黑体" w:eastAsia="黑体" w:cs="黑体"/>
          <w:color w:val="121212"/>
          <w:sz w:val="32"/>
          <w:szCs w:val="32"/>
        </w:rPr>
        <w:tab/>
      </w:r>
      <w:r>
        <w:rPr>
          <w:rFonts w:hint="eastAsia" w:ascii="黑体" w:hAnsi="黑体" w:eastAsia="黑体" w:cs="黑体"/>
          <w:color w:val="121212"/>
          <w:sz w:val="32"/>
          <w:szCs w:val="32"/>
        </w:rPr>
        <w:fldChar w:fldCharType="begin"/>
      </w:r>
      <w:r>
        <w:rPr>
          <w:rFonts w:hint="eastAsia" w:ascii="黑体" w:hAnsi="黑体" w:eastAsia="黑体" w:cs="黑体"/>
          <w:color w:val="121212"/>
          <w:sz w:val="32"/>
          <w:szCs w:val="32"/>
        </w:rPr>
        <w:instrText xml:space="preserve"> PAGEREF _Toc6588 </w:instrText>
      </w:r>
      <w:r>
        <w:rPr>
          <w:rFonts w:hint="eastAsia" w:ascii="黑体" w:hAnsi="黑体" w:eastAsia="黑体" w:cs="黑体"/>
          <w:color w:val="121212"/>
          <w:sz w:val="32"/>
          <w:szCs w:val="32"/>
        </w:rPr>
        <w:fldChar w:fldCharType="separate"/>
      </w:r>
      <w:r>
        <w:rPr>
          <w:rFonts w:hint="eastAsia" w:ascii="黑体" w:hAnsi="黑体" w:eastAsia="黑体" w:cs="黑体"/>
          <w:color w:val="121212"/>
          <w:sz w:val="32"/>
          <w:szCs w:val="32"/>
        </w:rPr>
        <w:t>31</w:t>
      </w:r>
      <w:r>
        <w:rPr>
          <w:rFonts w:hint="eastAsia" w:ascii="黑体" w:hAnsi="黑体" w:eastAsia="黑体" w:cs="黑体"/>
          <w:color w:val="121212"/>
          <w:sz w:val="32"/>
          <w:szCs w:val="32"/>
        </w:rPr>
        <w:fldChar w:fldCharType="end"/>
      </w:r>
      <w:r>
        <w:rPr>
          <w:rFonts w:hint="eastAsia" w:ascii="黑体" w:hAnsi="黑体" w:eastAsia="黑体" w:cs="黑体"/>
          <w:color w:val="121212"/>
          <w:sz w:val="32"/>
          <w:szCs w:val="32"/>
        </w:rPr>
        <w:fldChar w:fldCharType="end"/>
      </w:r>
    </w:p>
    <w:p>
      <w:pPr>
        <w:pStyle w:val="7"/>
        <w:tabs>
          <w:tab w:val="right" w:leader="dot" w:pos="8844"/>
        </w:tabs>
        <w:rPr>
          <w:rFonts w:hint="eastAsia" w:ascii="楷体" w:hAnsi="楷体" w:eastAsia="楷体" w:cs="楷体"/>
          <w:color w:val="121212"/>
          <w:sz w:val="32"/>
          <w:szCs w:val="32"/>
        </w:rPr>
      </w:pPr>
      <w:r>
        <w:rPr>
          <w:rFonts w:hint="eastAsia" w:ascii="楷体" w:hAnsi="楷体" w:eastAsia="楷体" w:cs="楷体"/>
          <w:color w:val="121212"/>
          <w:sz w:val="32"/>
          <w:szCs w:val="32"/>
        </w:rPr>
        <w:fldChar w:fldCharType="begin"/>
      </w:r>
      <w:r>
        <w:rPr>
          <w:rFonts w:hint="eastAsia" w:ascii="楷体" w:hAnsi="楷体" w:eastAsia="楷体" w:cs="楷体"/>
          <w:color w:val="121212"/>
          <w:sz w:val="32"/>
          <w:szCs w:val="32"/>
        </w:rPr>
        <w:instrText xml:space="preserve"> HYPERLINK \l "_Toc13550" </w:instrText>
      </w:r>
      <w:r>
        <w:rPr>
          <w:rFonts w:hint="eastAsia" w:ascii="楷体" w:hAnsi="楷体" w:eastAsia="楷体" w:cs="楷体"/>
          <w:color w:val="121212"/>
          <w:sz w:val="32"/>
          <w:szCs w:val="32"/>
        </w:rPr>
        <w:fldChar w:fldCharType="separate"/>
      </w:r>
      <w:r>
        <w:rPr>
          <w:rFonts w:hint="eastAsia" w:ascii="楷体" w:hAnsi="楷体" w:eastAsia="楷体" w:cs="楷体"/>
          <w:color w:val="121212"/>
          <w:sz w:val="32"/>
          <w:szCs w:val="32"/>
        </w:rPr>
        <w:t>第一节  建设天府中央法务区法律服务高地</w:t>
      </w:r>
      <w:r>
        <w:rPr>
          <w:rFonts w:hint="eastAsia" w:ascii="楷体" w:hAnsi="楷体" w:eastAsia="楷体" w:cs="楷体"/>
          <w:color w:val="121212"/>
          <w:sz w:val="32"/>
          <w:szCs w:val="32"/>
        </w:rPr>
        <w:tab/>
      </w:r>
      <w:r>
        <w:rPr>
          <w:rFonts w:hint="eastAsia" w:ascii="楷体" w:hAnsi="楷体" w:eastAsia="楷体" w:cs="楷体"/>
          <w:color w:val="121212"/>
          <w:sz w:val="32"/>
          <w:szCs w:val="32"/>
        </w:rPr>
        <w:fldChar w:fldCharType="begin"/>
      </w:r>
      <w:r>
        <w:rPr>
          <w:rFonts w:hint="eastAsia" w:ascii="楷体" w:hAnsi="楷体" w:eastAsia="楷体" w:cs="楷体"/>
          <w:color w:val="121212"/>
          <w:sz w:val="32"/>
          <w:szCs w:val="32"/>
        </w:rPr>
        <w:instrText xml:space="preserve"> PAGEREF _Toc13550 </w:instrText>
      </w:r>
      <w:r>
        <w:rPr>
          <w:rFonts w:hint="eastAsia" w:ascii="楷体" w:hAnsi="楷体" w:eastAsia="楷体" w:cs="楷体"/>
          <w:color w:val="121212"/>
          <w:sz w:val="32"/>
          <w:szCs w:val="32"/>
        </w:rPr>
        <w:fldChar w:fldCharType="separate"/>
      </w:r>
      <w:r>
        <w:rPr>
          <w:rFonts w:hint="eastAsia" w:ascii="楷体" w:hAnsi="楷体" w:eastAsia="楷体" w:cs="楷体"/>
          <w:color w:val="121212"/>
          <w:sz w:val="32"/>
          <w:szCs w:val="32"/>
        </w:rPr>
        <w:t>31</w:t>
      </w:r>
      <w:r>
        <w:rPr>
          <w:rFonts w:hint="eastAsia" w:ascii="楷体" w:hAnsi="楷体" w:eastAsia="楷体" w:cs="楷体"/>
          <w:color w:val="121212"/>
          <w:sz w:val="32"/>
          <w:szCs w:val="32"/>
        </w:rPr>
        <w:fldChar w:fldCharType="end"/>
      </w:r>
      <w:r>
        <w:rPr>
          <w:rFonts w:hint="eastAsia" w:ascii="楷体" w:hAnsi="楷体" w:eastAsia="楷体" w:cs="楷体"/>
          <w:color w:val="121212"/>
          <w:sz w:val="32"/>
          <w:szCs w:val="32"/>
        </w:rPr>
        <w:fldChar w:fldCharType="end"/>
      </w:r>
    </w:p>
    <w:p>
      <w:pPr>
        <w:pStyle w:val="7"/>
        <w:tabs>
          <w:tab w:val="right" w:leader="dot" w:pos="8844"/>
        </w:tabs>
        <w:rPr>
          <w:rFonts w:hint="eastAsia" w:ascii="楷体" w:hAnsi="楷体" w:eastAsia="楷体" w:cs="楷体"/>
          <w:color w:val="121212"/>
          <w:sz w:val="32"/>
          <w:szCs w:val="32"/>
        </w:rPr>
      </w:pPr>
      <w:r>
        <w:rPr>
          <w:rFonts w:hint="eastAsia" w:ascii="楷体" w:hAnsi="楷体" w:eastAsia="楷体" w:cs="楷体"/>
          <w:color w:val="121212"/>
          <w:sz w:val="32"/>
          <w:szCs w:val="32"/>
        </w:rPr>
        <w:fldChar w:fldCharType="begin"/>
      </w:r>
      <w:r>
        <w:rPr>
          <w:rFonts w:hint="eastAsia" w:ascii="楷体" w:hAnsi="楷体" w:eastAsia="楷体" w:cs="楷体"/>
          <w:color w:val="121212"/>
          <w:sz w:val="32"/>
          <w:szCs w:val="32"/>
        </w:rPr>
        <w:instrText xml:space="preserve"> HYPERLINK \l "_Toc25811" </w:instrText>
      </w:r>
      <w:r>
        <w:rPr>
          <w:rFonts w:hint="eastAsia" w:ascii="楷体" w:hAnsi="楷体" w:eastAsia="楷体" w:cs="楷体"/>
          <w:color w:val="121212"/>
          <w:sz w:val="32"/>
          <w:szCs w:val="32"/>
        </w:rPr>
        <w:fldChar w:fldCharType="separate"/>
      </w:r>
      <w:r>
        <w:rPr>
          <w:rFonts w:hint="eastAsia" w:ascii="楷体" w:hAnsi="楷体" w:eastAsia="楷体" w:cs="楷体"/>
          <w:color w:val="121212"/>
          <w:sz w:val="32"/>
          <w:szCs w:val="32"/>
        </w:rPr>
        <w:t>第二节  加快成德眉资公共法律服务同城化建设</w:t>
      </w:r>
      <w:r>
        <w:rPr>
          <w:rFonts w:hint="eastAsia" w:ascii="楷体" w:hAnsi="楷体" w:eastAsia="楷体" w:cs="楷体"/>
          <w:color w:val="121212"/>
          <w:sz w:val="32"/>
          <w:szCs w:val="32"/>
        </w:rPr>
        <w:tab/>
      </w:r>
      <w:r>
        <w:rPr>
          <w:rFonts w:hint="eastAsia" w:ascii="楷体" w:hAnsi="楷体" w:eastAsia="楷体" w:cs="楷体"/>
          <w:color w:val="121212"/>
          <w:sz w:val="32"/>
          <w:szCs w:val="32"/>
        </w:rPr>
        <w:fldChar w:fldCharType="begin"/>
      </w:r>
      <w:r>
        <w:rPr>
          <w:rFonts w:hint="eastAsia" w:ascii="楷体" w:hAnsi="楷体" w:eastAsia="楷体" w:cs="楷体"/>
          <w:color w:val="121212"/>
          <w:sz w:val="32"/>
          <w:szCs w:val="32"/>
        </w:rPr>
        <w:instrText xml:space="preserve"> PAGEREF _Toc25811 </w:instrText>
      </w:r>
      <w:r>
        <w:rPr>
          <w:rFonts w:hint="eastAsia" w:ascii="楷体" w:hAnsi="楷体" w:eastAsia="楷体" w:cs="楷体"/>
          <w:color w:val="121212"/>
          <w:sz w:val="32"/>
          <w:szCs w:val="32"/>
        </w:rPr>
        <w:fldChar w:fldCharType="separate"/>
      </w:r>
      <w:r>
        <w:rPr>
          <w:rFonts w:hint="eastAsia" w:ascii="楷体" w:hAnsi="楷体" w:eastAsia="楷体" w:cs="楷体"/>
          <w:color w:val="121212"/>
          <w:sz w:val="32"/>
          <w:szCs w:val="32"/>
        </w:rPr>
        <w:t>33</w:t>
      </w:r>
      <w:r>
        <w:rPr>
          <w:rFonts w:hint="eastAsia" w:ascii="楷体" w:hAnsi="楷体" w:eastAsia="楷体" w:cs="楷体"/>
          <w:color w:val="121212"/>
          <w:sz w:val="32"/>
          <w:szCs w:val="32"/>
        </w:rPr>
        <w:fldChar w:fldCharType="end"/>
      </w:r>
      <w:r>
        <w:rPr>
          <w:rFonts w:hint="eastAsia" w:ascii="楷体" w:hAnsi="楷体" w:eastAsia="楷体" w:cs="楷体"/>
          <w:color w:val="121212"/>
          <w:sz w:val="32"/>
          <w:szCs w:val="32"/>
        </w:rPr>
        <w:fldChar w:fldCharType="end"/>
      </w:r>
    </w:p>
    <w:p>
      <w:pPr>
        <w:pStyle w:val="7"/>
        <w:tabs>
          <w:tab w:val="right" w:leader="dot" w:pos="8844"/>
        </w:tabs>
        <w:rPr>
          <w:rFonts w:hint="eastAsia" w:ascii="楷体" w:hAnsi="楷体" w:eastAsia="楷体" w:cs="楷体"/>
          <w:color w:val="121212"/>
          <w:sz w:val="32"/>
          <w:szCs w:val="32"/>
        </w:rPr>
      </w:pPr>
      <w:r>
        <w:rPr>
          <w:rFonts w:hint="eastAsia" w:ascii="楷体" w:hAnsi="楷体" w:eastAsia="楷体" w:cs="楷体"/>
          <w:color w:val="121212"/>
          <w:sz w:val="32"/>
          <w:szCs w:val="32"/>
        </w:rPr>
        <w:fldChar w:fldCharType="begin"/>
      </w:r>
      <w:r>
        <w:rPr>
          <w:rFonts w:hint="eastAsia" w:ascii="楷体" w:hAnsi="楷体" w:eastAsia="楷体" w:cs="楷体"/>
          <w:color w:val="121212"/>
          <w:sz w:val="32"/>
          <w:szCs w:val="32"/>
        </w:rPr>
        <w:instrText xml:space="preserve"> HYPERLINK \l "_Toc3815" </w:instrText>
      </w:r>
      <w:r>
        <w:rPr>
          <w:rFonts w:hint="eastAsia" w:ascii="楷体" w:hAnsi="楷体" w:eastAsia="楷体" w:cs="楷体"/>
          <w:color w:val="121212"/>
          <w:sz w:val="32"/>
          <w:szCs w:val="32"/>
        </w:rPr>
        <w:fldChar w:fldCharType="separate"/>
      </w:r>
      <w:r>
        <w:rPr>
          <w:rFonts w:hint="eastAsia" w:ascii="楷体" w:hAnsi="楷体" w:eastAsia="楷体" w:cs="楷体"/>
          <w:color w:val="121212"/>
          <w:sz w:val="32"/>
          <w:szCs w:val="32"/>
        </w:rPr>
        <w:t>第三节  加强自</w:t>
      </w:r>
      <w:r>
        <w:rPr>
          <w:rFonts w:hint="eastAsia" w:ascii="楷体" w:hAnsi="楷体" w:eastAsia="楷体" w:cs="楷体"/>
          <w:color w:val="121212"/>
          <w:sz w:val="32"/>
          <w:szCs w:val="32"/>
          <w:lang w:eastAsia="zh-CN"/>
        </w:rPr>
        <w:t>由</w:t>
      </w:r>
      <w:r>
        <w:rPr>
          <w:rFonts w:hint="eastAsia" w:ascii="楷体" w:hAnsi="楷体" w:eastAsia="楷体" w:cs="楷体"/>
          <w:color w:val="121212"/>
          <w:sz w:val="32"/>
          <w:szCs w:val="32"/>
        </w:rPr>
        <w:t>贸</w:t>
      </w:r>
      <w:r>
        <w:rPr>
          <w:rFonts w:hint="eastAsia" w:ascii="楷体" w:hAnsi="楷体" w:eastAsia="楷体" w:cs="楷体"/>
          <w:color w:val="121212"/>
          <w:sz w:val="32"/>
          <w:szCs w:val="32"/>
          <w:lang w:eastAsia="zh-CN"/>
        </w:rPr>
        <w:t>易</w:t>
      </w:r>
      <w:r>
        <w:rPr>
          <w:rFonts w:hint="eastAsia" w:ascii="楷体" w:hAnsi="楷体" w:eastAsia="楷体" w:cs="楷体"/>
          <w:color w:val="121212"/>
          <w:sz w:val="32"/>
          <w:szCs w:val="32"/>
        </w:rPr>
        <w:t>试验区公共法律服务集成</w:t>
      </w:r>
      <w:r>
        <w:rPr>
          <w:rFonts w:hint="eastAsia" w:ascii="楷体" w:hAnsi="楷体" w:eastAsia="楷体" w:cs="楷体"/>
          <w:color w:val="121212"/>
          <w:sz w:val="32"/>
          <w:szCs w:val="32"/>
        </w:rPr>
        <w:tab/>
      </w:r>
      <w:r>
        <w:rPr>
          <w:rFonts w:hint="eastAsia" w:ascii="楷体" w:hAnsi="楷体" w:eastAsia="楷体" w:cs="楷体"/>
          <w:color w:val="121212"/>
          <w:sz w:val="32"/>
          <w:szCs w:val="32"/>
        </w:rPr>
        <w:fldChar w:fldCharType="begin"/>
      </w:r>
      <w:r>
        <w:rPr>
          <w:rFonts w:hint="eastAsia" w:ascii="楷体" w:hAnsi="楷体" w:eastAsia="楷体" w:cs="楷体"/>
          <w:color w:val="121212"/>
          <w:sz w:val="32"/>
          <w:szCs w:val="32"/>
        </w:rPr>
        <w:instrText xml:space="preserve"> PAGEREF _Toc3815 </w:instrText>
      </w:r>
      <w:r>
        <w:rPr>
          <w:rFonts w:hint="eastAsia" w:ascii="楷体" w:hAnsi="楷体" w:eastAsia="楷体" w:cs="楷体"/>
          <w:color w:val="121212"/>
          <w:sz w:val="32"/>
          <w:szCs w:val="32"/>
        </w:rPr>
        <w:fldChar w:fldCharType="separate"/>
      </w:r>
      <w:r>
        <w:rPr>
          <w:rFonts w:hint="eastAsia" w:ascii="楷体" w:hAnsi="楷体" w:eastAsia="楷体" w:cs="楷体"/>
          <w:color w:val="121212"/>
          <w:sz w:val="32"/>
          <w:szCs w:val="32"/>
        </w:rPr>
        <w:t>34</w:t>
      </w:r>
      <w:r>
        <w:rPr>
          <w:rFonts w:hint="eastAsia" w:ascii="楷体" w:hAnsi="楷体" w:eastAsia="楷体" w:cs="楷体"/>
          <w:color w:val="121212"/>
          <w:sz w:val="32"/>
          <w:szCs w:val="32"/>
        </w:rPr>
        <w:fldChar w:fldCharType="end"/>
      </w:r>
      <w:r>
        <w:rPr>
          <w:rFonts w:hint="eastAsia" w:ascii="楷体" w:hAnsi="楷体" w:eastAsia="楷体" w:cs="楷体"/>
          <w:color w:val="121212"/>
          <w:sz w:val="32"/>
          <w:szCs w:val="32"/>
        </w:rPr>
        <w:fldChar w:fldCharType="end"/>
      </w:r>
    </w:p>
    <w:p>
      <w:pPr>
        <w:pStyle w:val="7"/>
        <w:tabs>
          <w:tab w:val="right" w:leader="dot" w:pos="8844"/>
        </w:tabs>
        <w:rPr>
          <w:rFonts w:ascii="仿宋" w:hAnsi="仿宋" w:eastAsia="仿宋" w:cs="仿宋"/>
          <w:color w:val="121212"/>
          <w:sz w:val="32"/>
          <w:szCs w:val="32"/>
        </w:rPr>
      </w:pPr>
      <w:r>
        <w:rPr>
          <w:rFonts w:hint="eastAsia" w:ascii="楷体" w:hAnsi="楷体" w:eastAsia="楷体" w:cs="楷体"/>
          <w:color w:val="121212"/>
          <w:sz w:val="32"/>
          <w:szCs w:val="32"/>
        </w:rPr>
        <w:fldChar w:fldCharType="begin"/>
      </w:r>
      <w:r>
        <w:rPr>
          <w:rFonts w:hint="eastAsia" w:ascii="楷体" w:hAnsi="楷体" w:eastAsia="楷体" w:cs="楷体"/>
          <w:color w:val="121212"/>
          <w:sz w:val="32"/>
          <w:szCs w:val="32"/>
        </w:rPr>
        <w:instrText xml:space="preserve"> HYPERLINK \l "_Toc26836" </w:instrText>
      </w:r>
      <w:r>
        <w:rPr>
          <w:rFonts w:hint="eastAsia" w:ascii="楷体" w:hAnsi="楷体" w:eastAsia="楷体" w:cs="楷体"/>
          <w:color w:val="121212"/>
          <w:sz w:val="32"/>
          <w:szCs w:val="32"/>
        </w:rPr>
        <w:fldChar w:fldCharType="separate"/>
      </w:r>
      <w:r>
        <w:rPr>
          <w:rFonts w:hint="eastAsia" w:ascii="楷体" w:hAnsi="楷体" w:eastAsia="楷体" w:cs="楷体"/>
          <w:color w:val="121212"/>
          <w:sz w:val="32"/>
          <w:szCs w:val="32"/>
        </w:rPr>
        <w:t>第四节  提升服务创新驱动高质量发展能级</w:t>
      </w:r>
      <w:r>
        <w:rPr>
          <w:rFonts w:hint="eastAsia" w:ascii="楷体" w:hAnsi="楷体" w:eastAsia="楷体" w:cs="楷体"/>
          <w:color w:val="121212"/>
          <w:sz w:val="32"/>
          <w:szCs w:val="32"/>
        </w:rPr>
        <w:tab/>
      </w:r>
      <w:r>
        <w:rPr>
          <w:rFonts w:hint="eastAsia" w:ascii="楷体" w:hAnsi="楷体" w:eastAsia="楷体" w:cs="楷体"/>
          <w:color w:val="121212"/>
          <w:sz w:val="32"/>
          <w:szCs w:val="32"/>
        </w:rPr>
        <w:fldChar w:fldCharType="begin"/>
      </w:r>
      <w:r>
        <w:rPr>
          <w:rFonts w:hint="eastAsia" w:ascii="楷体" w:hAnsi="楷体" w:eastAsia="楷体" w:cs="楷体"/>
          <w:color w:val="121212"/>
          <w:sz w:val="32"/>
          <w:szCs w:val="32"/>
        </w:rPr>
        <w:instrText xml:space="preserve"> PAGEREF _Toc26836 </w:instrText>
      </w:r>
      <w:r>
        <w:rPr>
          <w:rFonts w:hint="eastAsia" w:ascii="楷体" w:hAnsi="楷体" w:eastAsia="楷体" w:cs="楷体"/>
          <w:color w:val="121212"/>
          <w:sz w:val="32"/>
          <w:szCs w:val="32"/>
        </w:rPr>
        <w:fldChar w:fldCharType="separate"/>
      </w:r>
      <w:r>
        <w:rPr>
          <w:rFonts w:hint="eastAsia" w:ascii="楷体" w:hAnsi="楷体" w:eastAsia="楷体" w:cs="楷体"/>
          <w:color w:val="121212"/>
          <w:sz w:val="32"/>
          <w:szCs w:val="32"/>
        </w:rPr>
        <w:t>34</w:t>
      </w:r>
      <w:r>
        <w:rPr>
          <w:rFonts w:hint="eastAsia" w:ascii="楷体" w:hAnsi="楷体" w:eastAsia="楷体" w:cs="楷体"/>
          <w:color w:val="121212"/>
          <w:sz w:val="32"/>
          <w:szCs w:val="32"/>
        </w:rPr>
        <w:fldChar w:fldCharType="end"/>
      </w:r>
      <w:r>
        <w:rPr>
          <w:rFonts w:hint="eastAsia" w:ascii="楷体" w:hAnsi="楷体" w:eastAsia="楷体" w:cs="楷体"/>
          <w:color w:val="121212"/>
          <w:sz w:val="32"/>
          <w:szCs w:val="32"/>
        </w:rPr>
        <w:fldChar w:fldCharType="end"/>
      </w:r>
    </w:p>
    <w:p>
      <w:pPr>
        <w:pStyle w:val="6"/>
        <w:tabs>
          <w:tab w:val="right" w:leader="dot" w:pos="8844"/>
        </w:tabs>
        <w:rPr>
          <w:rFonts w:hint="eastAsia" w:ascii="黑体" w:hAnsi="黑体" w:eastAsia="黑体" w:cs="黑体"/>
          <w:color w:val="121212"/>
          <w:sz w:val="32"/>
          <w:szCs w:val="32"/>
        </w:rPr>
      </w:pPr>
      <w:r>
        <w:rPr>
          <w:rFonts w:hint="eastAsia" w:ascii="黑体" w:hAnsi="黑体" w:eastAsia="黑体" w:cs="黑体"/>
          <w:color w:val="121212"/>
          <w:sz w:val="32"/>
          <w:szCs w:val="32"/>
        </w:rPr>
        <w:fldChar w:fldCharType="begin"/>
      </w:r>
      <w:r>
        <w:rPr>
          <w:rFonts w:hint="eastAsia" w:ascii="黑体" w:hAnsi="黑体" w:eastAsia="黑体" w:cs="黑体"/>
          <w:color w:val="121212"/>
          <w:sz w:val="32"/>
          <w:szCs w:val="32"/>
        </w:rPr>
        <w:instrText xml:space="preserve"> HYPERLINK \l "_Toc580" </w:instrText>
      </w:r>
      <w:r>
        <w:rPr>
          <w:rFonts w:hint="eastAsia" w:ascii="黑体" w:hAnsi="黑体" w:eastAsia="黑体" w:cs="黑体"/>
          <w:color w:val="121212"/>
          <w:sz w:val="32"/>
          <w:szCs w:val="32"/>
        </w:rPr>
        <w:fldChar w:fldCharType="separate"/>
      </w:r>
      <w:r>
        <w:rPr>
          <w:rFonts w:hint="eastAsia" w:ascii="黑体" w:hAnsi="黑体" w:eastAsia="黑体" w:cs="黑体"/>
          <w:color w:val="121212"/>
          <w:sz w:val="32"/>
          <w:szCs w:val="32"/>
        </w:rPr>
        <w:t>第七章  健全实施保障</w:t>
      </w:r>
      <w:r>
        <w:rPr>
          <w:rFonts w:hint="eastAsia" w:ascii="黑体" w:hAnsi="黑体" w:eastAsia="黑体" w:cs="黑体"/>
          <w:color w:val="121212"/>
          <w:sz w:val="32"/>
          <w:szCs w:val="32"/>
        </w:rPr>
        <w:tab/>
      </w:r>
      <w:r>
        <w:rPr>
          <w:rFonts w:hint="eastAsia" w:ascii="黑体" w:hAnsi="黑体" w:eastAsia="黑体" w:cs="黑体"/>
          <w:color w:val="121212"/>
          <w:sz w:val="32"/>
          <w:szCs w:val="32"/>
        </w:rPr>
        <w:fldChar w:fldCharType="begin"/>
      </w:r>
      <w:r>
        <w:rPr>
          <w:rFonts w:hint="eastAsia" w:ascii="黑体" w:hAnsi="黑体" w:eastAsia="黑体" w:cs="黑体"/>
          <w:color w:val="121212"/>
          <w:sz w:val="32"/>
          <w:szCs w:val="32"/>
        </w:rPr>
        <w:instrText xml:space="preserve"> PAGEREF _Toc580 </w:instrText>
      </w:r>
      <w:r>
        <w:rPr>
          <w:rFonts w:hint="eastAsia" w:ascii="黑体" w:hAnsi="黑体" w:eastAsia="黑体" w:cs="黑体"/>
          <w:color w:val="121212"/>
          <w:sz w:val="32"/>
          <w:szCs w:val="32"/>
        </w:rPr>
        <w:fldChar w:fldCharType="separate"/>
      </w:r>
      <w:r>
        <w:rPr>
          <w:rFonts w:hint="eastAsia" w:ascii="黑体" w:hAnsi="黑体" w:eastAsia="黑体" w:cs="黑体"/>
          <w:color w:val="121212"/>
          <w:sz w:val="32"/>
          <w:szCs w:val="32"/>
        </w:rPr>
        <w:t>36</w:t>
      </w:r>
      <w:r>
        <w:rPr>
          <w:rFonts w:hint="eastAsia" w:ascii="黑体" w:hAnsi="黑体" w:eastAsia="黑体" w:cs="黑体"/>
          <w:color w:val="121212"/>
          <w:sz w:val="32"/>
          <w:szCs w:val="32"/>
        </w:rPr>
        <w:fldChar w:fldCharType="end"/>
      </w:r>
      <w:r>
        <w:rPr>
          <w:rFonts w:hint="eastAsia" w:ascii="黑体" w:hAnsi="黑体" w:eastAsia="黑体" w:cs="黑体"/>
          <w:color w:val="121212"/>
          <w:sz w:val="32"/>
          <w:szCs w:val="32"/>
        </w:rPr>
        <w:fldChar w:fldCharType="end"/>
      </w:r>
    </w:p>
    <w:p>
      <w:pPr>
        <w:pStyle w:val="7"/>
        <w:tabs>
          <w:tab w:val="right" w:leader="dot" w:pos="8844"/>
        </w:tabs>
        <w:rPr>
          <w:rFonts w:hint="eastAsia" w:ascii="楷体" w:hAnsi="楷体" w:eastAsia="楷体" w:cs="楷体"/>
          <w:color w:val="121212"/>
          <w:sz w:val="32"/>
          <w:szCs w:val="32"/>
        </w:rPr>
      </w:pPr>
      <w:r>
        <w:rPr>
          <w:rFonts w:hint="eastAsia" w:ascii="楷体" w:hAnsi="楷体" w:eastAsia="楷体" w:cs="楷体"/>
          <w:color w:val="121212"/>
          <w:sz w:val="32"/>
          <w:szCs w:val="32"/>
        </w:rPr>
        <w:fldChar w:fldCharType="begin"/>
      </w:r>
      <w:r>
        <w:rPr>
          <w:rFonts w:hint="eastAsia" w:ascii="楷体" w:hAnsi="楷体" w:eastAsia="楷体" w:cs="楷体"/>
          <w:color w:val="121212"/>
          <w:sz w:val="32"/>
          <w:szCs w:val="32"/>
        </w:rPr>
        <w:instrText xml:space="preserve"> HYPERLINK \l "_Toc28989" </w:instrText>
      </w:r>
      <w:r>
        <w:rPr>
          <w:rFonts w:hint="eastAsia" w:ascii="楷体" w:hAnsi="楷体" w:eastAsia="楷体" w:cs="楷体"/>
          <w:color w:val="121212"/>
          <w:sz w:val="32"/>
          <w:szCs w:val="32"/>
        </w:rPr>
        <w:fldChar w:fldCharType="separate"/>
      </w:r>
      <w:r>
        <w:rPr>
          <w:rFonts w:hint="eastAsia" w:ascii="楷体" w:hAnsi="楷体" w:eastAsia="楷体" w:cs="楷体"/>
          <w:color w:val="121212"/>
          <w:sz w:val="32"/>
          <w:szCs w:val="32"/>
        </w:rPr>
        <w:t>第一节  加强党的领导</w:t>
      </w:r>
      <w:r>
        <w:rPr>
          <w:rFonts w:hint="eastAsia" w:ascii="楷体" w:hAnsi="楷体" w:eastAsia="楷体" w:cs="楷体"/>
          <w:color w:val="121212"/>
          <w:sz w:val="32"/>
          <w:szCs w:val="32"/>
        </w:rPr>
        <w:tab/>
      </w:r>
      <w:r>
        <w:rPr>
          <w:rFonts w:hint="eastAsia" w:ascii="楷体" w:hAnsi="楷体" w:eastAsia="楷体" w:cs="楷体"/>
          <w:color w:val="121212"/>
          <w:sz w:val="32"/>
          <w:szCs w:val="32"/>
        </w:rPr>
        <w:fldChar w:fldCharType="begin"/>
      </w:r>
      <w:r>
        <w:rPr>
          <w:rFonts w:hint="eastAsia" w:ascii="楷体" w:hAnsi="楷体" w:eastAsia="楷体" w:cs="楷体"/>
          <w:color w:val="121212"/>
          <w:sz w:val="32"/>
          <w:szCs w:val="32"/>
        </w:rPr>
        <w:instrText xml:space="preserve"> PAGEREF _Toc28989 </w:instrText>
      </w:r>
      <w:r>
        <w:rPr>
          <w:rFonts w:hint="eastAsia" w:ascii="楷体" w:hAnsi="楷体" w:eastAsia="楷体" w:cs="楷体"/>
          <w:color w:val="121212"/>
          <w:sz w:val="32"/>
          <w:szCs w:val="32"/>
        </w:rPr>
        <w:fldChar w:fldCharType="separate"/>
      </w:r>
      <w:r>
        <w:rPr>
          <w:rFonts w:hint="eastAsia" w:ascii="楷体" w:hAnsi="楷体" w:eastAsia="楷体" w:cs="楷体"/>
          <w:color w:val="121212"/>
          <w:sz w:val="32"/>
          <w:szCs w:val="32"/>
        </w:rPr>
        <w:t>36</w:t>
      </w:r>
      <w:r>
        <w:rPr>
          <w:rFonts w:hint="eastAsia" w:ascii="楷体" w:hAnsi="楷体" w:eastAsia="楷体" w:cs="楷体"/>
          <w:color w:val="121212"/>
          <w:sz w:val="32"/>
          <w:szCs w:val="32"/>
        </w:rPr>
        <w:fldChar w:fldCharType="end"/>
      </w:r>
      <w:r>
        <w:rPr>
          <w:rFonts w:hint="eastAsia" w:ascii="楷体" w:hAnsi="楷体" w:eastAsia="楷体" w:cs="楷体"/>
          <w:color w:val="121212"/>
          <w:sz w:val="32"/>
          <w:szCs w:val="32"/>
        </w:rPr>
        <w:fldChar w:fldCharType="end"/>
      </w:r>
    </w:p>
    <w:p>
      <w:pPr>
        <w:pStyle w:val="7"/>
        <w:tabs>
          <w:tab w:val="right" w:leader="dot" w:pos="8844"/>
        </w:tabs>
        <w:rPr>
          <w:rFonts w:hint="eastAsia" w:ascii="楷体" w:hAnsi="楷体" w:eastAsia="楷体" w:cs="楷体"/>
          <w:color w:val="121212"/>
          <w:sz w:val="32"/>
          <w:szCs w:val="32"/>
        </w:rPr>
      </w:pPr>
      <w:r>
        <w:rPr>
          <w:rFonts w:hint="eastAsia" w:ascii="楷体" w:hAnsi="楷体" w:eastAsia="楷体" w:cs="楷体"/>
          <w:color w:val="121212"/>
          <w:sz w:val="32"/>
          <w:szCs w:val="32"/>
        </w:rPr>
        <w:fldChar w:fldCharType="begin"/>
      </w:r>
      <w:r>
        <w:rPr>
          <w:rFonts w:hint="eastAsia" w:ascii="楷体" w:hAnsi="楷体" w:eastAsia="楷体" w:cs="楷体"/>
          <w:color w:val="121212"/>
          <w:sz w:val="32"/>
          <w:szCs w:val="32"/>
        </w:rPr>
        <w:instrText xml:space="preserve"> HYPERLINK \l "_Toc8102" </w:instrText>
      </w:r>
      <w:r>
        <w:rPr>
          <w:rFonts w:hint="eastAsia" w:ascii="楷体" w:hAnsi="楷体" w:eastAsia="楷体" w:cs="楷体"/>
          <w:color w:val="121212"/>
          <w:sz w:val="32"/>
          <w:szCs w:val="32"/>
        </w:rPr>
        <w:fldChar w:fldCharType="separate"/>
      </w:r>
      <w:r>
        <w:rPr>
          <w:rFonts w:hint="eastAsia" w:ascii="楷体" w:hAnsi="楷体" w:eastAsia="楷体" w:cs="楷体"/>
          <w:color w:val="121212"/>
          <w:sz w:val="32"/>
          <w:szCs w:val="32"/>
        </w:rPr>
        <w:t>第二节  加强统筹协调</w:t>
      </w:r>
      <w:r>
        <w:rPr>
          <w:rFonts w:hint="eastAsia" w:ascii="楷体" w:hAnsi="楷体" w:eastAsia="楷体" w:cs="楷体"/>
          <w:color w:val="121212"/>
          <w:sz w:val="32"/>
          <w:szCs w:val="32"/>
        </w:rPr>
        <w:tab/>
      </w:r>
      <w:r>
        <w:rPr>
          <w:rFonts w:hint="eastAsia" w:ascii="楷体" w:hAnsi="楷体" w:eastAsia="楷体" w:cs="楷体"/>
          <w:color w:val="121212"/>
          <w:sz w:val="32"/>
          <w:szCs w:val="32"/>
        </w:rPr>
        <w:fldChar w:fldCharType="begin"/>
      </w:r>
      <w:r>
        <w:rPr>
          <w:rFonts w:hint="eastAsia" w:ascii="楷体" w:hAnsi="楷体" w:eastAsia="楷体" w:cs="楷体"/>
          <w:color w:val="121212"/>
          <w:sz w:val="32"/>
          <w:szCs w:val="32"/>
        </w:rPr>
        <w:instrText xml:space="preserve"> PAGEREF _Toc8102 </w:instrText>
      </w:r>
      <w:r>
        <w:rPr>
          <w:rFonts w:hint="eastAsia" w:ascii="楷体" w:hAnsi="楷体" w:eastAsia="楷体" w:cs="楷体"/>
          <w:color w:val="121212"/>
          <w:sz w:val="32"/>
          <w:szCs w:val="32"/>
        </w:rPr>
        <w:fldChar w:fldCharType="separate"/>
      </w:r>
      <w:r>
        <w:rPr>
          <w:rFonts w:hint="eastAsia" w:ascii="楷体" w:hAnsi="楷体" w:eastAsia="楷体" w:cs="楷体"/>
          <w:color w:val="121212"/>
          <w:sz w:val="32"/>
          <w:szCs w:val="32"/>
        </w:rPr>
        <w:t>37</w:t>
      </w:r>
      <w:r>
        <w:rPr>
          <w:rFonts w:hint="eastAsia" w:ascii="楷体" w:hAnsi="楷体" w:eastAsia="楷体" w:cs="楷体"/>
          <w:color w:val="121212"/>
          <w:sz w:val="32"/>
          <w:szCs w:val="32"/>
        </w:rPr>
        <w:fldChar w:fldCharType="end"/>
      </w:r>
      <w:r>
        <w:rPr>
          <w:rFonts w:hint="eastAsia" w:ascii="楷体" w:hAnsi="楷体" w:eastAsia="楷体" w:cs="楷体"/>
          <w:color w:val="121212"/>
          <w:sz w:val="32"/>
          <w:szCs w:val="32"/>
        </w:rPr>
        <w:fldChar w:fldCharType="end"/>
      </w:r>
    </w:p>
    <w:p>
      <w:pPr>
        <w:pStyle w:val="7"/>
        <w:tabs>
          <w:tab w:val="right" w:leader="dot" w:pos="8844"/>
        </w:tabs>
        <w:rPr>
          <w:rFonts w:hint="eastAsia" w:ascii="楷体" w:hAnsi="楷体" w:eastAsia="楷体" w:cs="楷体"/>
          <w:color w:val="121212"/>
          <w:sz w:val="32"/>
          <w:szCs w:val="32"/>
        </w:rPr>
      </w:pPr>
      <w:r>
        <w:rPr>
          <w:rFonts w:hint="eastAsia" w:ascii="楷体" w:hAnsi="楷体" w:eastAsia="楷体" w:cs="楷体"/>
          <w:color w:val="121212"/>
          <w:sz w:val="32"/>
          <w:szCs w:val="32"/>
        </w:rPr>
        <w:fldChar w:fldCharType="begin"/>
      </w:r>
      <w:r>
        <w:rPr>
          <w:rFonts w:hint="eastAsia" w:ascii="楷体" w:hAnsi="楷体" w:eastAsia="楷体" w:cs="楷体"/>
          <w:color w:val="121212"/>
          <w:sz w:val="32"/>
          <w:szCs w:val="32"/>
        </w:rPr>
        <w:instrText xml:space="preserve"> HYPERLINK \l "_Toc23264" </w:instrText>
      </w:r>
      <w:r>
        <w:rPr>
          <w:rFonts w:hint="eastAsia" w:ascii="楷体" w:hAnsi="楷体" w:eastAsia="楷体" w:cs="楷体"/>
          <w:color w:val="121212"/>
          <w:sz w:val="32"/>
          <w:szCs w:val="32"/>
        </w:rPr>
        <w:fldChar w:fldCharType="separate"/>
      </w:r>
      <w:r>
        <w:rPr>
          <w:rFonts w:hint="eastAsia" w:ascii="楷体" w:hAnsi="楷体" w:eastAsia="楷体" w:cs="楷体"/>
          <w:color w:val="121212"/>
          <w:sz w:val="32"/>
          <w:szCs w:val="32"/>
        </w:rPr>
        <w:t>第三节  加强</w:t>
      </w:r>
      <w:r>
        <w:rPr>
          <w:rFonts w:hint="eastAsia" w:ascii="楷体" w:hAnsi="楷体" w:eastAsia="楷体" w:cs="楷体"/>
          <w:color w:val="121212"/>
          <w:sz w:val="32"/>
          <w:szCs w:val="32"/>
          <w:lang w:eastAsia="zh-CN"/>
        </w:rPr>
        <w:t>基础</w:t>
      </w:r>
      <w:r>
        <w:rPr>
          <w:rFonts w:hint="eastAsia" w:ascii="楷体" w:hAnsi="楷体" w:eastAsia="楷体" w:cs="楷体"/>
          <w:color w:val="121212"/>
          <w:sz w:val="32"/>
          <w:szCs w:val="32"/>
        </w:rPr>
        <w:t>保障</w:t>
      </w:r>
      <w:r>
        <w:rPr>
          <w:rFonts w:hint="eastAsia" w:ascii="楷体" w:hAnsi="楷体" w:eastAsia="楷体" w:cs="楷体"/>
          <w:color w:val="121212"/>
          <w:sz w:val="32"/>
          <w:szCs w:val="32"/>
        </w:rPr>
        <w:tab/>
      </w:r>
      <w:r>
        <w:rPr>
          <w:rFonts w:hint="eastAsia" w:ascii="楷体" w:hAnsi="楷体" w:eastAsia="楷体" w:cs="楷体"/>
          <w:color w:val="121212"/>
          <w:sz w:val="32"/>
          <w:szCs w:val="32"/>
        </w:rPr>
        <w:fldChar w:fldCharType="begin"/>
      </w:r>
      <w:r>
        <w:rPr>
          <w:rFonts w:hint="eastAsia" w:ascii="楷体" w:hAnsi="楷体" w:eastAsia="楷体" w:cs="楷体"/>
          <w:color w:val="121212"/>
          <w:sz w:val="32"/>
          <w:szCs w:val="32"/>
        </w:rPr>
        <w:instrText xml:space="preserve"> PAGEREF _Toc23264 </w:instrText>
      </w:r>
      <w:r>
        <w:rPr>
          <w:rFonts w:hint="eastAsia" w:ascii="楷体" w:hAnsi="楷体" w:eastAsia="楷体" w:cs="楷体"/>
          <w:color w:val="121212"/>
          <w:sz w:val="32"/>
          <w:szCs w:val="32"/>
        </w:rPr>
        <w:fldChar w:fldCharType="separate"/>
      </w:r>
      <w:r>
        <w:rPr>
          <w:rFonts w:hint="eastAsia" w:ascii="楷体" w:hAnsi="楷体" w:eastAsia="楷体" w:cs="楷体"/>
          <w:color w:val="121212"/>
          <w:sz w:val="32"/>
          <w:szCs w:val="32"/>
        </w:rPr>
        <w:t>37</w:t>
      </w:r>
      <w:r>
        <w:rPr>
          <w:rFonts w:hint="eastAsia" w:ascii="楷体" w:hAnsi="楷体" w:eastAsia="楷体" w:cs="楷体"/>
          <w:color w:val="121212"/>
          <w:sz w:val="32"/>
          <w:szCs w:val="32"/>
        </w:rPr>
        <w:fldChar w:fldCharType="end"/>
      </w:r>
      <w:r>
        <w:rPr>
          <w:rFonts w:hint="eastAsia" w:ascii="楷体" w:hAnsi="楷体" w:eastAsia="楷体" w:cs="楷体"/>
          <w:color w:val="121212"/>
          <w:sz w:val="32"/>
          <w:szCs w:val="32"/>
        </w:rPr>
        <w:fldChar w:fldCharType="end"/>
      </w:r>
    </w:p>
    <w:p>
      <w:pPr>
        <w:pStyle w:val="7"/>
        <w:tabs>
          <w:tab w:val="right" w:leader="dot" w:pos="8844"/>
        </w:tabs>
        <w:rPr>
          <w:color w:val="121212"/>
        </w:rPr>
      </w:pPr>
      <w:r>
        <w:rPr>
          <w:rFonts w:hint="eastAsia" w:ascii="楷体" w:hAnsi="楷体" w:eastAsia="楷体" w:cs="楷体"/>
          <w:color w:val="121212"/>
          <w:sz w:val="32"/>
          <w:szCs w:val="32"/>
        </w:rPr>
        <w:fldChar w:fldCharType="begin"/>
      </w:r>
      <w:r>
        <w:rPr>
          <w:rFonts w:hint="eastAsia" w:ascii="楷体" w:hAnsi="楷体" w:eastAsia="楷体" w:cs="楷体"/>
          <w:color w:val="121212"/>
          <w:sz w:val="32"/>
          <w:szCs w:val="32"/>
        </w:rPr>
        <w:instrText xml:space="preserve"> HYPERLINK \l "_Toc27777" </w:instrText>
      </w:r>
      <w:r>
        <w:rPr>
          <w:rFonts w:hint="eastAsia" w:ascii="楷体" w:hAnsi="楷体" w:eastAsia="楷体" w:cs="楷体"/>
          <w:color w:val="121212"/>
          <w:sz w:val="32"/>
          <w:szCs w:val="32"/>
        </w:rPr>
        <w:fldChar w:fldCharType="separate"/>
      </w:r>
      <w:r>
        <w:rPr>
          <w:rFonts w:hint="eastAsia" w:ascii="楷体" w:hAnsi="楷体" w:eastAsia="楷体" w:cs="楷体"/>
          <w:color w:val="121212"/>
          <w:sz w:val="32"/>
          <w:szCs w:val="32"/>
        </w:rPr>
        <w:t>第四节  加强</w:t>
      </w:r>
      <w:r>
        <w:rPr>
          <w:rFonts w:hint="eastAsia" w:ascii="楷体" w:hAnsi="楷体" w:eastAsia="楷体" w:cs="楷体"/>
          <w:color w:val="121212"/>
          <w:sz w:val="32"/>
          <w:szCs w:val="32"/>
          <w:lang w:eastAsia="zh-CN"/>
        </w:rPr>
        <w:t>人才保障</w:t>
      </w:r>
      <w:r>
        <w:rPr>
          <w:rFonts w:hint="eastAsia" w:ascii="楷体" w:hAnsi="楷体" w:eastAsia="楷体" w:cs="楷体"/>
          <w:color w:val="121212"/>
          <w:sz w:val="32"/>
          <w:szCs w:val="32"/>
        </w:rPr>
        <w:tab/>
      </w:r>
      <w:r>
        <w:rPr>
          <w:rFonts w:hint="eastAsia" w:ascii="楷体" w:hAnsi="楷体" w:eastAsia="楷体" w:cs="楷体"/>
          <w:color w:val="121212"/>
          <w:sz w:val="32"/>
          <w:szCs w:val="32"/>
        </w:rPr>
        <w:fldChar w:fldCharType="begin"/>
      </w:r>
      <w:r>
        <w:rPr>
          <w:rFonts w:hint="eastAsia" w:ascii="楷体" w:hAnsi="楷体" w:eastAsia="楷体" w:cs="楷体"/>
          <w:color w:val="121212"/>
          <w:sz w:val="32"/>
          <w:szCs w:val="32"/>
        </w:rPr>
        <w:instrText xml:space="preserve"> PAGEREF _Toc27777 </w:instrText>
      </w:r>
      <w:r>
        <w:rPr>
          <w:rFonts w:hint="eastAsia" w:ascii="楷体" w:hAnsi="楷体" w:eastAsia="楷体" w:cs="楷体"/>
          <w:color w:val="121212"/>
          <w:sz w:val="32"/>
          <w:szCs w:val="32"/>
        </w:rPr>
        <w:fldChar w:fldCharType="separate"/>
      </w:r>
      <w:r>
        <w:rPr>
          <w:rFonts w:hint="eastAsia" w:ascii="楷体" w:hAnsi="楷体" w:eastAsia="楷体" w:cs="楷体"/>
          <w:color w:val="121212"/>
          <w:sz w:val="32"/>
          <w:szCs w:val="32"/>
        </w:rPr>
        <w:t>38</w:t>
      </w:r>
      <w:r>
        <w:rPr>
          <w:rFonts w:hint="eastAsia" w:ascii="楷体" w:hAnsi="楷体" w:eastAsia="楷体" w:cs="楷体"/>
          <w:color w:val="121212"/>
          <w:sz w:val="32"/>
          <w:szCs w:val="32"/>
        </w:rPr>
        <w:fldChar w:fldCharType="end"/>
      </w:r>
      <w:r>
        <w:rPr>
          <w:rFonts w:hint="eastAsia" w:ascii="楷体" w:hAnsi="楷体" w:eastAsia="楷体" w:cs="楷体"/>
          <w:color w:val="121212"/>
          <w:sz w:val="32"/>
          <w:szCs w:val="32"/>
        </w:rPr>
        <w:fldChar w:fldCharType="end"/>
      </w:r>
    </w:p>
    <w:p>
      <w:pPr>
        <w:pStyle w:val="7"/>
        <w:tabs>
          <w:tab w:val="right" w:leader="dot" w:pos="8844"/>
        </w:tabs>
        <w:rPr>
          <w:color w:val="121212"/>
        </w:rPr>
      </w:pPr>
      <w:r>
        <w:rPr>
          <w:rFonts w:eastAsia="仿宋" w:asciiTheme="majorBidi" w:hAnsiTheme="majorBidi" w:cstheme="majorBidi"/>
          <w:color w:val="121212"/>
          <w:szCs w:val="32"/>
        </w:rPr>
        <w:fldChar w:fldCharType="end"/>
      </w:r>
      <w:r>
        <w:rPr>
          <w:rFonts w:hint="eastAsia" w:ascii="楷体" w:hAnsi="楷体" w:eastAsia="楷体" w:cs="楷体"/>
          <w:color w:val="121212"/>
          <w:sz w:val="32"/>
          <w:szCs w:val="32"/>
        </w:rPr>
        <w:fldChar w:fldCharType="begin"/>
      </w:r>
      <w:r>
        <w:rPr>
          <w:rFonts w:hint="eastAsia" w:ascii="楷体" w:hAnsi="楷体" w:eastAsia="楷体" w:cs="楷体"/>
          <w:color w:val="121212"/>
          <w:sz w:val="32"/>
          <w:szCs w:val="32"/>
        </w:rPr>
        <w:instrText xml:space="preserve"> HYPERLINK \l "_Toc27777" </w:instrText>
      </w:r>
      <w:r>
        <w:rPr>
          <w:rFonts w:hint="eastAsia" w:ascii="楷体" w:hAnsi="楷体" w:eastAsia="楷体" w:cs="楷体"/>
          <w:color w:val="121212"/>
          <w:sz w:val="32"/>
          <w:szCs w:val="32"/>
        </w:rPr>
        <w:fldChar w:fldCharType="separate"/>
      </w:r>
      <w:r>
        <w:rPr>
          <w:rFonts w:hint="eastAsia" w:ascii="楷体" w:hAnsi="楷体" w:eastAsia="楷体" w:cs="楷体"/>
          <w:color w:val="121212"/>
          <w:sz w:val="32"/>
          <w:szCs w:val="32"/>
        </w:rPr>
        <w:t>第</w:t>
      </w:r>
      <w:r>
        <w:rPr>
          <w:rFonts w:hint="eastAsia" w:ascii="楷体" w:hAnsi="楷体" w:eastAsia="楷体" w:cs="楷体"/>
          <w:color w:val="121212"/>
          <w:sz w:val="32"/>
          <w:szCs w:val="32"/>
          <w:lang w:eastAsia="zh-CN"/>
        </w:rPr>
        <w:t>五</w:t>
      </w:r>
      <w:r>
        <w:rPr>
          <w:rFonts w:hint="eastAsia" w:ascii="楷体" w:hAnsi="楷体" w:eastAsia="楷体" w:cs="楷体"/>
          <w:color w:val="121212"/>
          <w:sz w:val="32"/>
          <w:szCs w:val="32"/>
        </w:rPr>
        <w:t>节  加强监测督查</w:t>
      </w:r>
      <w:r>
        <w:rPr>
          <w:rFonts w:hint="eastAsia" w:ascii="楷体" w:hAnsi="楷体" w:eastAsia="楷体" w:cs="楷体"/>
          <w:color w:val="121212"/>
          <w:sz w:val="32"/>
          <w:szCs w:val="32"/>
        </w:rPr>
        <w:tab/>
      </w:r>
      <w:r>
        <w:rPr>
          <w:rFonts w:hint="eastAsia" w:ascii="楷体" w:hAnsi="楷体" w:eastAsia="楷体" w:cs="楷体"/>
          <w:color w:val="121212"/>
          <w:sz w:val="32"/>
          <w:szCs w:val="32"/>
        </w:rPr>
        <w:fldChar w:fldCharType="begin"/>
      </w:r>
      <w:r>
        <w:rPr>
          <w:rFonts w:hint="eastAsia" w:ascii="楷体" w:hAnsi="楷体" w:eastAsia="楷体" w:cs="楷体"/>
          <w:color w:val="121212"/>
          <w:sz w:val="32"/>
          <w:szCs w:val="32"/>
        </w:rPr>
        <w:instrText xml:space="preserve"> PAGEREF _Toc27777 </w:instrText>
      </w:r>
      <w:r>
        <w:rPr>
          <w:rFonts w:hint="eastAsia" w:ascii="楷体" w:hAnsi="楷体" w:eastAsia="楷体" w:cs="楷体"/>
          <w:color w:val="121212"/>
          <w:sz w:val="32"/>
          <w:szCs w:val="32"/>
        </w:rPr>
        <w:fldChar w:fldCharType="separate"/>
      </w:r>
      <w:r>
        <w:rPr>
          <w:rFonts w:hint="eastAsia" w:ascii="楷体" w:hAnsi="楷体" w:eastAsia="楷体" w:cs="楷体"/>
          <w:color w:val="121212"/>
          <w:sz w:val="32"/>
          <w:szCs w:val="32"/>
        </w:rPr>
        <w:t>38</w:t>
      </w:r>
      <w:r>
        <w:rPr>
          <w:rFonts w:hint="eastAsia" w:ascii="楷体" w:hAnsi="楷体" w:eastAsia="楷体" w:cs="楷体"/>
          <w:color w:val="121212"/>
          <w:sz w:val="32"/>
          <w:szCs w:val="32"/>
        </w:rPr>
        <w:fldChar w:fldCharType="end"/>
      </w:r>
      <w:r>
        <w:rPr>
          <w:rFonts w:hint="eastAsia" w:ascii="楷体" w:hAnsi="楷体" w:eastAsia="楷体" w:cs="楷体"/>
          <w:color w:val="121212"/>
          <w:sz w:val="32"/>
          <w:szCs w:val="32"/>
        </w:rPr>
        <w:fldChar w:fldCharType="end"/>
      </w:r>
    </w:p>
    <w:p>
      <w:pPr>
        <w:rPr>
          <w:rFonts w:ascii="仿宋" w:hAnsi="仿宋" w:eastAsia="仿宋"/>
          <w:color w:val="121212"/>
          <w:sz w:val="28"/>
          <w:szCs w:val="28"/>
        </w:rPr>
        <w:sectPr>
          <w:footerReference r:id="rId4" w:type="default"/>
          <w:footerReference r:id="rId5" w:type="even"/>
          <w:pgSz w:w="11906" w:h="16838"/>
          <w:pgMar w:top="2098" w:right="1474" w:bottom="1985" w:left="1588" w:header="851" w:footer="1417" w:gutter="0"/>
          <w:pgNumType w:fmt="upperRoman" w:start="1"/>
          <w:cols w:space="425" w:num="1"/>
          <w:docGrid w:type="lines" w:linePitch="312" w:charSpace="0"/>
        </w:sectPr>
      </w:pPr>
    </w:p>
    <w:p>
      <w:pPr>
        <w:ind w:firstLine="640" w:firstLineChars="200"/>
        <w:rPr>
          <w:rFonts w:hint="eastAsia" w:ascii="仿宋_GB2312" w:hAnsi="仿宋_GB2312" w:eastAsia="仿宋_GB2312" w:cs="仿宋_GB2312"/>
          <w:color w:val="121212"/>
          <w:sz w:val="32"/>
          <w:szCs w:val="32"/>
        </w:rPr>
      </w:pPr>
      <w:bookmarkStart w:id="0" w:name="_Toc68954485"/>
      <w:r>
        <w:rPr>
          <w:rFonts w:hint="eastAsia" w:ascii="仿宋_GB2312" w:hAnsi="仿宋_GB2312" w:eastAsia="仿宋_GB2312" w:cs="仿宋_GB2312"/>
          <w:color w:val="121212"/>
          <w:sz w:val="32"/>
          <w:szCs w:val="32"/>
        </w:rPr>
        <w:t>公共法律服务是政府公共职能的重要组成部分，是保障和改善民生的重要举措，是全面依法治国的基础性、服务性和保障性工作。推进公共法律服务体系建设，对于更好满足广大人民群众日益增长的美好生活需要，提高国家治理体系和治理能力现代化水平具有重要意义。根据《四川省国民经济和社会发展第十四个五年规划和二〇三五年远景目标纲要》</w:t>
      </w:r>
      <w:r>
        <w:rPr>
          <w:rFonts w:hint="eastAsia" w:ascii="仿宋_GB2312" w:hAnsi="仿宋_GB2312" w:eastAsia="仿宋_GB2312" w:cs="仿宋_GB2312"/>
          <w:color w:val="121212"/>
          <w:sz w:val="32"/>
          <w:szCs w:val="32"/>
          <w:lang w:eastAsia="zh-CN"/>
        </w:rPr>
        <w:t>、省委办公厅、省政府办公厅</w:t>
      </w:r>
      <w:r>
        <w:rPr>
          <w:rFonts w:hint="eastAsia" w:ascii="仿宋_GB2312" w:hAnsi="仿宋_GB2312" w:eastAsia="仿宋_GB2312" w:cs="仿宋_GB2312"/>
          <w:color w:val="121212"/>
          <w:sz w:val="32"/>
          <w:szCs w:val="32"/>
        </w:rPr>
        <w:t>《关于推进公共法律服务体系建设的实施意见》</w:t>
      </w:r>
      <w:r>
        <w:rPr>
          <w:rFonts w:hint="eastAsia" w:ascii="仿宋_GB2312" w:hAnsi="仿宋_GB2312" w:eastAsia="仿宋_GB2312" w:cs="仿宋_GB2312"/>
          <w:color w:val="121212"/>
          <w:sz w:val="32"/>
          <w:szCs w:val="32"/>
          <w:lang w:eastAsia="zh-CN"/>
        </w:rPr>
        <w:t>和省委全面依法治省委员会《关于推进公共法律服务体系建设行动方案》</w:t>
      </w:r>
      <w:r>
        <w:rPr>
          <w:rFonts w:hint="eastAsia" w:ascii="仿宋_GB2312" w:hAnsi="仿宋_GB2312" w:eastAsia="仿宋_GB2312" w:cs="仿宋_GB2312"/>
          <w:color w:val="121212"/>
          <w:sz w:val="32"/>
          <w:szCs w:val="32"/>
        </w:rPr>
        <w:t>有关部署，特编制本规划。</w:t>
      </w:r>
    </w:p>
    <w:p>
      <w:pPr>
        <w:pStyle w:val="3"/>
        <w:spacing w:beforeLines="50" w:afterLines="50" w:line="360" w:lineRule="auto"/>
        <w:jc w:val="center"/>
        <w:rPr>
          <w:rFonts w:hint="eastAsia" w:ascii="黑体" w:hAnsi="黑体" w:eastAsia="黑体" w:cs="黑体"/>
          <w:b w:val="0"/>
          <w:bCs w:val="0"/>
          <w:color w:val="121212"/>
          <w:kern w:val="2"/>
          <w:sz w:val="32"/>
          <w:szCs w:val="32"/>
          <w:lang w:val="en-US" w:eastAsia="zh-CN" w:bidi="ar-SA"/>
        </w:rPr>
      </w:pPr>
      <w:bookmarkStart w:id="1" w:name="_Toc30219"/>
      <w:r>
        <w:rPr>
          <w:rFonts w:hint="eastAsia" w:ascii="黑体" w:hAnsi="黑体" w:eastAsia="黑体" w:cs="黑体"/>
          <w:b w:val="0"/>
          <w:bCs w:val="0"/>
          <w:color w:val="121212"/>
          <w:kern w:val="2"/>
          <w:sz w:val="32"/>
          <w:szCs w:val="32"/>
          <w:lang w:val="en-US" w:eastAsia="zh-CN" w:bidi="ar-SA"/>
        </w:rPr>
        <w:t>第一章  规划背景</w:t>
      </w:r>
      <w:bookmarkEnd w:id="1"/>
    </w:p>
    <w:p>
      <w:pPr>
        <w:pStyle w:val="4"/>
        <w:spacing w:beforeLines="30" w:afterLines="30" w:line="360" w:lineRule="auto"/>
        <w:jc w:val="center"/>
        <w:rPr>
          <w:rFonts w:hint="eastAsia" w:ascii="楷体" w:hAnsi="楷体" w:eastAsia="楷体" w:cs="楷体"/>
          <w:b/>
          <w:bCs/>
          <w:color w:val="121212"/>
          <w:sz w:val="32"/>
          <w:szCs w:val="32"/>
        </w:rPr>
      </w:pPr>
      <w:bookmarkStart w:id="2" w:name="_Toc22950"/>
      <w:r>
        <w:rPr>
          <w:rFonts w:hint="eastAsia" w:ascii="楷体" w:hAnsi="楷体" w:eastAsia="楷体" w:cs="楷体"/>
          <w:b/>
          <w:bCs/>
          <w:color w:val="121212"/>
          <w:sz w:val="32"/>
          <w:szCs w:val="32"/>
        </w:rPr>
        <w:t>第一节  发展基础</w:t>
      </w:r>
      <w:bookmarkEnd w:id="2"/>
    </w:p>
    <w:p>
      <w:pPr>
        <w:ind w:firstLine="640" w:firstLineChars="200"/>
        <w:rPr>
          <w:rFonts w:hint="eastAsia" w:ascii="仿宋_GB2312" w:hAnsi="仿宋_GB2312" w:eastAsia="仿宋_GB2312" w:cs="仿宋_GB2312"/>
          <w:color w:val="121212"/>
          <w:sz w:val="32"/>
          <w:szCs w:val="32"/>
        </w:rPr>
      </w:pPr>
      <w:r>
        <w:rPr>
          <w:rFonts w:hint="eastAsia" w:ascii="仿宋_GB2312" w:hAnsi="仿宋_GB2312" w:eastAsia="仿宋_GB2312" w:cs="仿宋_GB2312"/>
          <w:color w:val="121212"/>
          <w:sz w:val="32"/>
          <w:szCs w:val="32"/>
        </w:rPr>
        <w:t>“十三五”期间，在省委、省政府的领导</w:t>
      </w:r>
      <w:r>
        <w:rPr>
          <w:rFonts w:hint="eastAsia" w:ascii="仿宋_GB2312" w:hAnsi="仿宋_GB2312" w:eastAsia="仿宋_GB2312" w:cs="仿宋_GB2312"/>
          <w:color w:val="121212"/>
          <w:sz w:val="32"/>
          <w:szCs w:val="32"/>
          <w:lang w:eastAsia="zh-CN"/>
        </w:rPr>
        <w:t>和关心</w:t>
      </w:r>
      <w:r>
        <w:rPr>
          <w:rFonts w:hint="eastAsia" w:ascii="仿宋_GB2312" w:hAnsi="仿宋_GB2312" w:eastAsia="仿宋_GB2312" w:cs="仿宋_GB2312"/>
          <w:color w:val="121212"/>
          <w:sz w:val="32"/>
          <w:szCs w:val="32"/>
        </w:rPr>
        <w:t>下，全省公共法律服务体系建设从无到有，由点及面，全面实现公共法律服务从“有没有”到“好不好”的转变。</w:t>
      </w:r>
    </w:p>
    <w:p>
      <w:pPr>
        <w:ind w:firstLine="643" w:firstLineChars="200"/>
        <w:rPr>
          <w:rFonts w:hint="eastAsia" w:ascii="仿宋_GB2312" w:hAnsi="仿宋_GB2312" w:eastAsia="仿宋_GB2312" w:cs="仿宋_GB2312"/>
          <w:color w:val="121212"/>
          <w:sz w:val="32"/>
          <w:szCs w:val="32"/>
        </w:rPr>
      </w:pPr>
      <w:r>
        <w:rPr>
          <w:rFonts w:hint="eastAsia" w:ascii="仿宋_GB2312" w:hAnsi="仿宋_GB2312" w:eastAsia="仿宋_GB2312" w:cs="仿宋_GB2312"/>
          <w:b/>
          <w:bCs/>
          <w:color w:val="121212"/>
          <w:sz w:val="32"/>
          <w:szCs w:val="32"/>
          <w:lang w:val="en-US" w:eastAsia="zh-CN"/>
        </w:rPr>
        <w:t>覆盖城乡的公共法律服务网络基本建成。</w:t>
      </w:r>
      <w:r>
        <w:rPr>
          <w:rFonts w:hint="eastAsia" w:ascii="仿宋_GB2312" w:hAnsi="仿宋_GB2312" w:eastAsia="仿宋_GB2312" w:cs="仿宋_GB2312"/>
          <w:color w:val="121212"/>
          <w:sz w:val="32"/>
          <w:szCs w:val="32"/>
        </w:rPr>
        <w:t>实体平台建设逐步完善，热线咨询数量快速增长，网络平台服务稳步提升。全省建成市、县两级公共法律服务中心216个，乡（镇、街道）公共法律服务站3116个，村（社区）公共法律服务室</w:t>
      </w:r>
      <w:r>
        <w:rPr>
          <w:rFonts w:hint="eastAsia" w:ascii="仿宋_GB2312" w:hAnsi="仿宋_GB2312" w:eastAsia="仿宋_GB2312" w:cs="仿宋_GB2312"/>
          <w:color w:val="121212"/>
          <w:sz w:val="32"/>
          <w:szCs w:val="32"/>
          <w:lang w:val="en-US" w:eastAsia="zh-CN"/>
        </w:rPr>
        <w:t>27710</w:t>
      </w:r>
      <w:r>
        <w:rPr>
          <w:rFonts w:hint="eastAsia" w:ascii="仿宋_GB2312" w:hAnsi="仿宋_GB2312" w:eastAsia="仿宋_GB2312" w:cs="仿宋_GB2312"/>
          <w:color w:val="121212"/>
          <w:sz w:val="32"/>
          <w:szCs w:val="32"/>
        </w:rPr>
        <w:t>个，基本实现市县乡村四级全覆盖。“12348”公共法律服务热线</w:t>
      </w:r>
      <w:r>
        <w:rPr>
          <w:rFonts w:hint="eastAsia" w:ascii="仿宋_GB2312" w:hAnsi="仿宋_GB2312" w:eastAsia="仿宋_GB2312" w:cs="仿宋_GB2312"/>
          <w:color w:val="121212"/>
          <w:sz w:val="32"/>
          <w:szCs w:val="32"/>
          <w:lang w:eastAsia="zh-CN"/>
        </w:rPr>
        <w:t>专席</w:t>
      </w:r>
      <w:r>
        <w:rPr>
          <w:rFonts w:hint="eastAsia" w:ascii="仿宋_GB2312" w:hAnsi="仿宋_GB2312" w:eastAsia="仿宋_GB2312" w:cs="仿宋_GB2312"/>
          <w:color w:val="121212"/>
          <w:sz w:val="32"/>
          <w:szCs w:val="32"/>
        </w:rPr>
        <w:t>全天候24小时响应，开设农民工、退役军人等专项坐席，“12348”四川法网与“12348”中国法网成功对接，司法行政审批事项基本实现网上流转。2020年全省接听咨询电话25.8万人次，同比增长95.03%，解答群众咨询6.04万件次，同比增长249%。</w:t>
      </w:r>
    </w:p>
    <w:p>
      <w:pPr>
        <w:ind w:firstLine="643" w:firstLineChars="200"/>
        <w:rPr>
          <w:rFonts w:hint="eastAsia" w:ascii="仿宋_GB2312" w:hAnsi="仿宋_GB2312" w:eastAsia="仿宋_GB2312" w:cs="仿宋_GB2312"/>
          <w:color w:val="121212"/>
          <w:sz w:val="32"/>
          <w:szCs w:val="32"/>
        </w:rPr>
      </w:pPr>
      <w:r>
        <w:rPr>
          <w:rFonts w:hint="eastAsia" w:ascii="仿宋_GB2312" w:hAnsi="仿宋_GB2312" w:eastAsia="仿宋_GB2312" w:cs="仿宋_GB2312"/>
          <w:b/>
          <w:bCs/>
          <w:color w:val="121212"/>
          <w:sz w:val="32"/>
          <w:szCs w:val="32"/>
        </w:rPr>
        <w:t>法律服务行业健康快速发展。</w:t>
      </w:r>
      <w:r>
        <w:rPr>
          <w:rFonts w:hint="eastAsia" w:ascii="仿宋_GB2312" w:hAnsi="仿宋_GB2312" w:eastAsia="仿宋_GB2312" w:cs="仿宋_GB2312"/>
          <w:color w:val="121212"/>
          <w:sz w:val="32"/>
          <w:szCs w:val="32"/>
        </w:rPr>
        <w:t>律师行业发展迅速，公证、司法鉴定、仲裁活力增强，法律服务质量和公信力不断提升。新时代大调解工作格局基本形成。全省律师、公证、司法鉴定、仲裁行业法律服务机构达1872家，法律服务人员2.9万人，办理案件209万件；人民调解组织达4.25万个，人民调解员23.61万名，调解各类矛盾纠纷36.81万件，调解成功率达98.98%。</w:t>
      </w:r>
    </w:p>
    <w:p>
      <w:pPr>
        <w:ind w:firstLine="643" w:firstLineChars="200"/>
        <w:rPr>
          <w:rFonts w:hint="eastAsia" w:ascii="仿宋_GB2312" w:hAnsi="仿宋_GB2312" w:eastAsia="仿宋_GB2312" w:cs="仿宋_GB2312"/>
          <w:color w:val="121212"/>
          <w:sz w:val="32"/>
          <w:szCs w:val="32"/>
        </w:rPr>
      </w:pPr>
      <w:r>
        <w:rPr>
          <w:rFonts w:hint="eastAsia" w:ascii="仿宋_GB2312" w:hAnsi="仿宋_GB2312" w:eastAsia="仿宋_GB2312" w:cs="仿宋_GB2312"/>
          <w:b/>
          <w:bCs/>
          <w:color w:val="121212"/>
          <w:sz w:val="32"/>
          <w:szCs w:val="32"/>
        </w:rPr>
        <w:t>公共法律服务供给能力稳步提升。</w:t>
      </w:r>
      <w:r>
        <w:rPr>
          <w:rFonts w:hint="eastAsia" w:ascii="仿宋_GB2312" w:hAnsi="仿宋_GB2312" w:eastAsia="仿宋_GB2312" w:cs="仿宋_GB2312"/>
          <w:color w:val="121212"/>
          <w:sz w:val="32"/>
          <w:szCs w:val="32"/>
        </w:rPr>
        <w:t>年均组织开展各类主题法治宣传活动4.3万余场（次），“法治四川行·一月一主题”法治公益广告覆盖人群超亿人次。“送法进寺庙”三年行动覆盖僧尼群众10万余人（次）。全省建成法治文化公园（广场）和法治宣传栏（长廊、书屋）6.6万个</w:t>
      </w:r>
      <w:r>
        <w:rPr>
          <w:rFonts w:hint="eastAsia" w:ascii="仿宋_GB2312" w:hAnsi="仿宋_GB2312" w:eastAsia="仿宋_GB2312" w:cs="仿宋_GB2312"/>
          <w:color w:val="121212"/>
          <w:sz w:val="32"/>
          <w:szCs w:val="32"/>
          <w:lang w:eastAsia="zh-CN"/>
        </w:rPr>
        <w:t>。</w:t>
      </w:r>
      <w:r>
        <w:rPr>
          <w:rFonts w:hint="eastAsia" w:ascii="仿宋_GB2312" w:hAnsi="仿宋_GB2312" w:eastAsia="仿宋_GB2312" w:cs="仿宋_GB2312"/>
          <w:color w:val="121212"/>
          <w:sz w:val="32"/>
          <w:szCs w:val="32"/>
        </w:rPr>
        <w:t>法律援助降槛扩面提质增效。办理法律援助案件63540件，为农民工讨回欠薪2.81亿元。远程</w:t>
      </w:r>
      <w:r>
        <w:rPr>
          <w:rFonts w:hint="eastAsia" w:ascii="仿宋_GB2312" w:hAnsi="仿宋_GB2312" w:eastAsia="仿宋_GB2312" w:cs="仿宋_GB2312"/>
          <w:color w:val="121212"/>
          <w:sz w:val="32"/>
          <w:szCs w:val="32"/>
          <w:lang w:eastAsia="zh-CN"/>
        </w:rPr>
        <w:t>视频</w:t>
      </w:r>
      <w:r>
        <w:rPr>
          <w:rFonts w:hint="eastAsia" w:ascii="仿宋_GB2312" w:hAnsi="仿宋_GB2312" w:eastAsia="仿宋_GB2312" w:cs="仿宋_GB2312"/>
          <w:color w:val="121212"/>
          <w:sz w:val="32"/>
          <w:szCs w:val="32"/>
        </w:rPr>
        <w:t>公证、在线调解、“智慧公共法律服务”平台试点工作稳步推进。刑事案件律师辩护全覆盖、律师调解、公证“最多跑一次”等改革试点取得良好成效。</w:t>
      </w:r>
      <w:r>
        <w:rPr>
          <w:rFonts w:hint="eastAsia" w:ascii="仿宋_GB2312" w:hAnsi="仿宋_GB2312" w:eastAsia="仿宋_GB2312" w:cs="仿宋_GB2312"/>
          <w:color w:val="121212"/>
          <w:sz w:val="32"/>
          <w:szCs w:val="32"/>
          <w:lang w:eastAsia="zh-CN"/>
        </w:rPr>
        <w:t>“温小法”等</w:t>
      </w:r>
      <w:r>
        <w:rPr>
          <w:rFonts w:hint="eastAsia" w:ascii="仿宋_GB2312" w:hAnsi="仿宋_GB2312" w:eastAsia="仿宋_GB2312" w:cs="仿宋_GB2312"/>
          <w:color w:val="121212"/>
          <w:sz w:val="32"/>
          <w:szCs w:val="32"/>
        </w:rPr>
        <w:t>一批优秀法律服务产品不断涌现。</w:t>
      </w:r>
    </w:p>
    <w:p>
      <w:pPr>
        <w:spacing w:line="360" w:lineRule="auto"/>
        <w:ind w:firstLine="640" w:firstLineChars="200"/>
        <w:rPr>
          <w:rFonts w:hint="eastAsia" w:ascii="仿宋_GB2312" w:hAnsi="仿宋_GB2312" w:eastAsia="仿宋_GB2312" w:cs="仿宋_GB2312"/>
          <w:color w:val="121212"/>
          <w:sz w:val="32"/>
          <w:szCs w:val="32"/>
        </w:rPr>
      </w:pPr>
      <w:r>
        <w:rPr>
          <w:rFonts w:hint="eastAsia" w:ascii="仿宋_GB2312" w:hAnsi="仿宋_GB2312" w:eastAsia="仿宋_GB2312" w:cs="仿宋_GB2312"/>
          <w:color w:val="121212"/>
          <w:sz w:val="32"/>
          <w:szCs w:val="32"/>
        </w:rPr>
        <w:t>“十三五”时期，全省公共法律体系建设仍然存在短板和不足：对公共法律服务体系建设认识还不到位；</w:t>
      </w:r>
      <w:r>
        <w:rPr>
          <w:rFonts w:hint="eastAsia" w:ascii="仿宋_GB2312" w:hAnsi="仿宋_GB2312" w:eastAsia="仿宋_GB2312" w:cs="仿宋_GB2312"/>
          <w:color w:val="121212"/>
          <w:sz w:val="32"/>
          <w:szCs w:val="32"/>
          <w:lang w:val="zh-CN"/>
        </w:rPr>
        <w:t>公共法律服务标准体系尚未建立，部门共同参与机制尚未形成；</w:t>
      </w:r>
      <w:r>
        <w:rPr>
          <w:rFonts w:hint="eastAsia" w:ascii="仿宋_GB2312" w:hAnsi="仿宋_GB2312" w:eastAsia="仿宋_GB2312" w:cs="仿宋_GB2312"/>
          <w:color w:val="121212"/>
          <w:sz w:val="32"/>
          <w:szCs w:val="32"/>
        </w:rPr>
        <w:t>发达地区与</w:t>
      </w:r>
      <w:r>
        <w:rPr>
          <w:rFonts w:hint="eastAsia" w:ascii="仿宋_GB2312" w:hAnsi="仿宋_GB2312" w:eastAsia="仿宋_GB2312" w:cs="仿宋_GB2312"/>
          <w:color w:val="121212"/>
          <w:sz w:val="32"/>
          <w:szCs w:val="32"/>
          <w:lang w:eastAsia="zh-CN"/>
        </w:rPr>
        <w:t>边远地区</w:t>
      </w:r>
      <w:r>
        <w:rPr>
          <w:rFonts w:hint="eastAsia" w:ascii="仿宋_GB2312" w:hAnsi="仿宋_GB2312" w:eastAsia="仿宋_GB2312" w:cs="仿宋_GB2312"/>
          <w:color w:val="121212"/>
          <w:sz w:val="32"/>
          <w:szCs w:val="32"/>
        </w:rPr>
        <w:t>、民族地区法律服务资源分布不平衡；公共法律服务信息化建设滞后</w:t>
      </w:r>
      <w:r>
        <w:rPr>
          <w:rFonts w:hint="eastAsia" w:ascii="仿宋_GB2312" w:hAnsi="仿宋_GB2312" w:eastAsia="仿宋_GB2312" w:cs="仿宋_GB2312"/>
          <w:color w:val="121212"/>
          <w:sz w:val="32"/>
          <w:szCs w:val="32"/>
          <w:lang w:val="zh-CN"/>
        </w:rPr>
        <w:t>，</w:t>
      </w:r>
      <w:r>
        <w:rPr>
          <w:rFonts w:hint="eastAsia" w:ascii="仿宋_GB2312" w:hAnsi="仿宋_GB2312" w:eastAsia="仿宋_GB2312" w:cs="仿宋_GB2312"/>
          <w:color w:val="121212"/>
          <w:sz w:val="32"/>
          <w:szCs w:val="32"/>
        </w:rPr>
        <w:t>服务精准性有待提高。</w:t>
      </w:r>
    </w:p>
    <w:p>
      <w:pPr>
        <w:pStyle w:val="2"/>
        <w:rPr>
          <w:rFonts w:hint="eastAsia"/>
          <w:color w:val="121212"/>
        </w:rPr>
      </w:pPr>
    </w:p>
    <w:p>
      <w:pPr>
        <w:pStyle w:val="4"/>
        <w:spacing w:beforeLines="30" w:afterLines="30" w:line="360" w:lineRule="auto"/>
        <w:jc w:val="center"/>
        <w:rPr>
          <w:rFonts w:hint="eastAsia" w:ascii="楷体_GB2312" w:hAnsi="楷体_GB2312" w:eastAsia="楷体_GB2312" w:cs="楷体_GB2312"/>
          <w:b/>
          <w:bCs/>
          <w:color w:val="121212"/>
          <w:sz w:val="32"/>
          <w:szCs w:val="32"/>
        </w:rPr>
      </w:pPr>
      <w:bookmarkStart w:id="3" w:name="_Toc28979"/>
      <w:r>
        <w:rPr>
          <w:rFonts w:hint="eastAsia" w:ascii="楷体_GB2312" w:hAnsi="楷体_GB2312" w:eastAsia="楷体_GB2312" w:cs="楷体_GB2312"/>
          <w:b/>
          <w:bCs/>
          <w:color w:val="121212"/>
          <w:sz w:val="32"/>
          <w:szCs w:val="32"/>
        </w:rPr>
        <w:t>第二节  面临形势</w:t>
      </w:r>
      <w:bookmarkEnd w:id="3"/>
    </w:p>
    <w:p>
      <w:pPr>
        <w:spacing w:line="360" w:lineRule="auto"/>
        <w:ind w:firstLine="640" w:firstLineChars="200"/>
        <w:rPr>
          <w:rFonts w:hint="eastAsia" w:ascii="仿宋_GB2312" w:hAnsi="仿宋_GB2312" w:eastAsia="仿宋_GB2312" w:cs="仿宋_GB2312"/>
          <w:color w:val="121212"/>
          <w:sz w:val="32"/>
          <w:szCs w:val="32"/>
        </w:rPr>
      </w:pPr>
      <w:r>
        <w:rPr>
          <w:rFonts w:hint="eastAsia" w:ascii="仿宋_GB2312" w:hAnsi="仿宋_GB2312" w:eastAsia="仿宋_GB2312" w:cs="仿宋_GB2312"/>
          <w:color w:val="121212"/>
          <w:sz w:val="32"/>
          <w:szCs w:val="32"/>
        </w:rPr>
        <w:t>“十四五”时期，全省公共法律服务体系建设面临新的机遇和挑战。</w:t>
      </w:r>
    </w:p>
    <w:p>
      <w:pPr>
        <w:spacing w:line="360" w:lineRule="auto"/>
        <w:ind w:firstLine="640" w:firstLineChars="200"/>
        <w:rPr>
          <w:rFonts w:hint="eastAsia" w:ascii="仿宋_GB2312" w:hAnsi="仿宋_GB2312" w:eastAsia="仿宋_GB2312" w:cs="仿宋_GB2312"/>
          <w:color w:val="121212"/>
          <w:sz w:val="32"/>
          <w:szCs w:val="32"/>
        </w:rPr>
      </w:pPr>
      <w:r>
        <w:rPr>
          <w:rFonts w:hint="eastAsia" w:ascii="仿宋_GB2312" w:hAnsi="仿宋_GB2312" w:eastAsia="仿宋_GB2312" w:cs="仿宋_GB2312"/>
          <w:color w:val="121212"/>
          <w:sz w:val="32"/>
          <w:szCs w:val="32"/>
        </w:rPr>
        <w:t>深刻复杂变化</w:t>
      </w:r>
      <w:r>
        <w:rPr>
          <w:rFonts w:hint="eastAsia" w:ascii="仿宋_GB2312" w:hAnsi="仿宋_GB2312" w:eastAsia="仿宋_GB2312" w:cs="仿宋_GB2312"/>
          <w:color w:val="121212"/>
          <w:sz w:val="32"/>
          <w:szCs w:val="32"/>
          <w:lang w:eastAsia="zh-CN"/>
        </w:rPr>
        <w:t>的</w:t>
      </w:r>
      <w:r>
        <w:rPr>
          <w:rFonts w:hint="eastAsia" w:ascii="仿宋_GB2312" w:hAnsi="仿宋_GB2312" w:eastAsia="仿宋_GB2312" w:cs="仿宋_GB2312"/>
          <w:color w:val="121212"/>
          <w:sz w:val="32"/>
          <w:szCs w:val="32"/>
        </w:rPr>
        <w:t>发展环境对公共法律服务作用发挥提出新要求。当今世界正经历百年未有之大变局，国际环境日趋复杂。我国改革发展任务艰巨繁重，社会治理风险挑战增多。城乡形态深刻重塑、社会结构深刻变化、利益格局深刻调整，繁重的基层治理任务对充分发挥公共法律服务职能作用、提升治理效能提出新的更高要求。</w:t>
      </w:r>
    </w:p>
    <w:p>
      <w:pPr>
        <w:spacing w:line="360" w:lineRule="auto"/>
        <w:ind w:firstLine="640" w:firstLineChars="200"/>
        <w:rPr>
          <w:rFonts w:hint="eastAsia" w:ascii="仿宋_GB2312" w:hAnsi="仿宋_GB2312" w:eastAsia="仿宋_GB2312" w:cs="仿宋_GB2312"/>
          <w:color w:val="121212"/>
          <w:sz w:val="32"/>
          <w:szCs w:val="32"/>
        </w:rPr>
      </w:pPr>
      <w:r>
        <w:rPr>
          <w:rFonts w:hint="eastAsia" w:ascii="仿宋_GB2312" w:hAnsi="仿宋_GB2312" w:eastAsia="仿宋_GB2312" w:cs="仿宋_GB2312"/>
          <w:color w:val="121212"/>
          <w:kern w:val="2"/>
          <w:sz w:val="32"/>
          <w:szCs w:val="32"/>
          <w:lang w:val="en-US" w:eastAsia="zh-CN" w:bidi="ar-SA"/>
        </w:rPr>
        <w:t>历史性跨越的</w:t>
      </w:r>
      <w:r>
        <w:rPr>
          <w:rFonts w:hint="eastAsia" w:ascii="仿宋_GB2312" w:hAnsi="仿宋_GB2312" w:eastAsia="仿宋_GB2312" w:cs="仿宋_GB2312"/>
          <w:color w:val="121212"/>
          <w:sz w:val="32"/>
          <w:szCs w:val="32"/>
        </w:rPr>
        <w:t>新阶段赋予公共法律服务体系建设新使命。我国进入全面建设社会主义现代化国家的新发展阶段，全省处于全面开启建设社会主义现代化四川新征程、实现高质量发展的关键时期。随着一带一路建设、新时代推进西部大开发形成新格局、成渝地区双城经济圈建设等国家战略的深入实施，经济高质量发展需要高质量法律服务护航。</w:t>
      </w:r>
    </w:p>
    <w:p>
      <w:pPr>
        <w:spacing w:line="360" w:lineRule="auto"/>
        <w:ind w:firstLine="640" w:firstLineChars="200"/>
        <w:rPr>
          <w:rFonts w:hint="eastAsia" w:ascii="仿宋_GB2312" w:hAnsi="仿宋_GB2312" w:eastAsia="仿宋_GB2312" w:cs="仿宋_GB2312"/>
          <w:color w:val="121212"/>
          <w:sz w:val="32"/>
          <w:szCs w:val="32"/>
        </w:rPr>
      </w:pPr>
      <w:r>
        <w:rPr>
          <w:rFonts w:hint="eastAsia" w:ascii="仿宋_GB2312" w:hAnsi="仿宋_GB2312" w:eastAsia="仿宋_GB2312" w:cs="仿宋_GB2312"/>
          <w:color w:val="121212"/>
          <w:sz w:val="32"/>
          <w:szCs w:val="32"/>
          <w:lang w:eastAsia="zh-CN"/>
        </w:rPr>
        <w:t>人民群众对美好生活的向往为</w:t>
      </w:r>
      <w:r>
        <w:rPr>
          <w:rFonts w:hint="eastAsia" w:ascii="仿宋_GB2312" w:hAnsi="仿宋_GB2312" w:eastAsia="仿宋_GB2312" w:cs="仿宋_GB2312"/>
          <w:color w:val="121212"/>
          <w:sz w:val="32"/>
          <w:szCs w:val="32"/>
        </w:rPr>
        <w:t>公共法律服务供给提出新期待。全省经济社会发展水平迈上新台阶，人均地区生产总值将突破1万美元，人民生活水平实现新跨越。人民群众在民主、法治、公平、正义、安全、环境等方面的要求日益增长，要求公共法律服务供给更加充分、优质、便捷。</w:t>
      </w:r>
    </w:p>
    <w:p>
      <w:pPr>
        <w:spacing w:line="360" w:lineRule="auto"/>
        <w:ind w:firstLine="640" w:firstLineChars="200"/>
        <w:rPr>
          <w:rFonts w:hint="eastAsia" w:ascii="仿宋_GB2312" w:hAnsi="仿宋_GB2312" w:eastAsia="仿宋_GB2312" w:cs="仿宋_GB2312"/>
          <w:color w:val="121212"/>
          <w:sz w:val="32"/>
          <w:szCs w:val="32"/>
        </w:rPr>
      </w:pPr>
      <w:r>
        <w:rPr>
          <w:rFonts w:hint="eastAsia" w:ascii="仿宋_GB2312" w:hAnsi="仿宋_GB2312" w:eastAsia="仿宋_GB2312" w:cs="仿宋_GB2312"/>
          <w:color w:val="121212"/>
          <w:sz w:val="32"/>
          <w:szCs w:val="32"/>
        </w:rPr>
        <w:t>广泛应用</w:t>
      </w:r>
      <w:r>
        <w:rPr>
          <w:rFonts w:hint="eastAsia" w:ascii="仿宋_GB2312" w:hAnsi="仿宋_GB2312" w:eastAsia="仿宋_GB2312" w:cs="仿宋_GB2312"/>
          <w:color w:val="121212"/>
          <w:sz w:val="32"/>
          <w:szCs w:val="32"/>
          <w:lang w:eastAsia="zh-CN"/>
        </w:rPr>
        <w:t>的</w:t>
      </w:r>
      <w:r>
        <w:rPr>
          <w:rFonts w:hint="eastAsia" w:ascii="仿宋_GB2312" w:hAnsi="仿宋_GB2312" w:eastAsia="仿宋_GB2312" w:cs="仿宋_GB2312"/>
          <w:color w:val="121212"/>
          <w:sz w:val="32"/>
          <w:szCs w:val="32"/>
        </w:rPr>
        <w:t>新技术为公共法律服务供给侧改革提供新支撑。以云计算、大数据、人工智能等为代表的新技术不断涌现，新型基层设施建设普及加快，能够创新公共法律服务供给方式，有效提升精准服务、主动响应的公共法律服务供给能力，有利于实现“人找服务”到“服务找人”的转变。</w:t>
      </w:r>
    </w:p>
    <w:p>
      <w:pPr>
        <w:spacing w:line="360" w:lineRule="auto"/>
        <w:ind w:firstLine="640" w:firstLineChars="200"/>
        <w:rPr>
          <w:rFonts w:hint="eastAsia" w:ascii="仿宋_GB2312" w:hAnsi="仿宋_GB2312" w:eastAsia="仿宋_GB2312" w:cs="仿宋_GB2312"/>
          <w:color w:val="121212"/>
          <w:sz w:val="32"/>
          <w:szCs w:val="32"/>
        </w:rPr>
      </w:pPr>
    </w:p>
    <w:bookmarkEnd w:id="0"/>
    <w:p>
      <w:pPr>
        <w:widowControl/>
        <w:ind w:firstLine="2880" w:firstLineChars="900"/>
        <w:jc w:val="both"/>
        <w:rPr>
          <w:rFonts w:hint="eastAsia" w:ascii="黑体" w:hAnsi="黑体" w:eastAsia="黑体" w:cs="黑体"/>
          <w:b w:val="0"/>
          <w:bCs w:val="0"/>
          <w:color w:val="121212"/>
          <w:sz w:val="32"/>
          <w:szCs w:val="32"/>
        </w:rPr>
      </w:pPr>
      <w:bookmarkStart w:id="4" w:name="_Toc994627646"/>
      <w:bookmarkStart w:id="5" w:name="_Toc1164730580_WPSOffice_Level1"/>
      <w:bookmarkStart w:id="6" w:name="_Toc68954486"/>
      <w:bookmarkStart w:id="7" w:name="_Toc17380"/>
      <w:r>
        <w:rPr>
          <w:rFonts w:hint="eastAsia" w:ascii="黑体" w:hAnsi="黑体" w:eastAsia="黑体" w:cs="黑体"/>
          <w:b w:val="0"/>
          <w:bCs w:val="0"/>
          <w:color w:val="121212"/>
          <w:sz w:val="32"/>
          <w:szCs w:val="32"/>
        </w:rPr>
        <w:t>第二章  总体要求</w:t>
      </w:r>
      <w:bookmarkEnd w:id="4"/>
      <w:bookmarkEnd w:id="5"/>
      <w:bookmarkEnd w:id="6"/>
      <w:bookmarkEnd w:id="7"/>
      <w:bookmarkStart w:id="8" w:name="_Toc68954487"/>
    </w:p>
    <w:p>
      <w:pPr>
        <w:pStyle w:val="4"/>
        <w:spacing w:beforeLines="30" w:afterLines="30" w:line="360" w:lineRule="auto"/>
        <w:jc w:val="center"/>
        <w:rPr>
          <w:rFonts w:hint="eastAsia" w:ascii="楷体_GB2312" w:hAnsi="楷体_GB2312" w:eastAsia="楷体_GB2312" w:cs="楷体_GB2312"/>
          <w:b/>
          <w:bCs/>
          <w:color w:val="121212"/>
          <w:sz w:val="32"/>
          <w:szCs w:val="32"/>
        </w:rPr>
      </w:pPr>
      <w:bookmarkStart w:id="9" w:name="_Toc7799"/>
      <w:bookmarkStart w:id="10" w:name="_Toc1313415655_WPSOffice_Level2"/>
      <w:bookmarkStart w:id="11" w:name="_Toc694138074"/>
      <w:r>
        <w:rPr>
          <w:rFonts w:hint="eastAsia" w:ascii="楷体_GB2312" w:hAnsi="楷体_GB2312" w:eastAsia="楷体_GB2312" w:cs="楷体_GB2312"/>
          <w:b/>
          <w:bCs/>
          <w:color w:val="121212"/>
          <w:sz w:val="32"/>
          <w:szCs w:val="32"/>
        </w:rPr>
        <w:t>第一节  指导思想</w:t>
      </w:r>
      <w:bookmarkEnd w:id="8"/>
      <w:bookmarkEnd w:id="9"/>
      <w:bookmarkEnd w:id="10"/>
      <w:bookmarkEnd w:id="11"/>
    </w:p>
    <w:p>
      <w:pPr>
        <w:spacing w:line="360" w:lineRule="auto"/>
        <w:ind w:firstLine="640" w:firstLineChars="200"/>
        <w:rPr>
          <w:rFonts w:hint="eastAsia" w:ascii="仿宋_GB2312" w:hAnsi="仿宋_GB2312" w:eastAsia="仿宋_GB2312" w:cs="仿宋_GB2312"/>
          <w:color w:val="121212"/>
          <w:sz w:val="32"/>
          <w:szCs w:val="32"/>
        </w:rPr>
      </w:pPr>
      <w:r>
        <w:rPr>
          <w:rFonts w:hint="eastAsia" w:ascii="仿宋_GB2312" w:hAnsi="仿宋_GB2312" w:eastAsia="仿宋_GB2312" w:cs="仿宋_GB2312"/>
          <w:color w:val="121212"/>
          <w:sz w:val="32"/>
          <w:szCs w:val="32"/>
        </w:rPr>
        <w:t>以习近平新时代中国特色社会主义思想为指导，深入学习贯彻习近平法治思想，全面贯彻落实党的十九大和十九届二中、三中、四中、五中全会精神和省委决策部署，坚持以人民为中心的发展思想，围绕更好满足广大人民群众日益增长的公共法律服务需求，加快推进覆盖城乡、便捷高效、均等普惠、智能精准的现代公共法律服务体系建设，持续增加和优化服务供给，稳步提升保障能力和水平，为推动新时代治蜀兴川再上新台阶提供优质高效的公共法律服务，切实增强人民群众的获得感、幸福感、安全感。</w:t>
      </w:r>
      <w:bookmarkStart w:id="12" w:name="_Toc68954488"/>
    </w:p>
    <w:p>
      <w:pPr>
        <w:keepNext/>
        <w:keepLines/>
        <w:spacing w:beforeLines="30" w:afterLines="30" w:line="360" w:lineRule="auto"/>
        <w:jc w:val="center"/>
        <w:outlineLvl w:val="1"/>
        <w:rPr>
          <w:rFonts w:hint="eastAsia" w:ascii="楷体_GB2312" w:hAnsi="楷体_GB2312" w:eastAsia="楷体_GB2312" w:cs="楷体_GB2312"/>
          <w:b/>
          <w:bCs/>
          <w:color w:val="121212"/>
          <w:sz w:val="32"/>
          <w:szCs w:val="32"/>
        </w:rPr>
      </w:pPr>
      <w:bookmarkStart w:id="13" w:name="_Toc31413"/>
      <w:bookmarkStart w:id="14" w:name="_Toc592506072_WPSOffice_Level2"/>
      <w:bookmarkStart w:id="15" w:name="_Toc1247439214"/>
      <w:r>
        <w:rPr>
          <w:rFonts w:hint="eastAsia" w:ascii="楷体_GB2312" w:hAnsi="楷体_GB2312" w:eastAsia="楷体_GB2312" w:cs="楷体_GB2312"/>
          <w:b/>
          <w:bCs/>
          <w:color w:val="121212"/>
          <w:sz w:val="32"/>
          <w:szCs w:val="32"/>
        </w:rPr>
        <w:t>第二节  基本原则</w:t>
      </w:r>
      <w:bookmarkEnd w:id="12"/>
      <w:bookmarkEnd w:id="13"/>
      <w:bookmarkEnd w:id="14"/>
      <w:bookmarkEnd w:id="15"/>
    </w:p>
    <w:p>
      <w:pPr>
        <w:spacing w:line="360" w:lineRule="auto"/>
        <w:ind w:firstLine="643" w:firstLineChars="200"/>
        <w:rPr>
          <w:rFonts w:hint="eastAsia" w:ascii="仿宋_GB2312" w:hAnsi="仿宋_GB2312" w:eastAsia="仿宋_GB2312" w:cs="仿宋_GB2312"/>
          <w:color w:val="121212"/>
          <w:sz w:val="32"/>
          <w:szCs w:val="32"/>
        </w:rPr>
      </w:pPr>
      <w:r>
        <w:rPr>
          <w:rFonts w:hint="eastAsia" w:ascii="仿宋_GB2312" w:hAnsi="仿宋_GB2312" w:eastAsia="仿宋_GB2312" w:cs="仿宋_GB2312"/>
          <w:b/>
          <w:bCs/>
          <w:color w:val="121212"/>
          <w:sz w:val="32"/>
          <w:szCs w:val="32"/>
        </w:rPr>
        <w:t>坚持党的全面领导。</w:t>
      </w:r>
      <w:r>
        <w:rPr>
          <w:rFonts w:hint="eastAsia" w:ascii="仿宋_GB2312" w:hAnsi="仿宋_GB2312" w:eastAsia="仿宋_GB2312" w:cs="仿宋_GB2312"/>
          <w:color w:val="121212"/>
          <w:sz w:val="32"/>
          <w:szCs w:val="32"/>
        </w:rPr>
        <w:t>牢牢把握党的全面领导是全面依法治国的根本保证，坚持和完善党领导公共法律服务工作的体制机制，把党的全面领导贯穿到公共法律服务体系建设的全方面全过程，为建设现代公共法律服务体系提供根本保证。</w:t>
      </w:r>
    </w:p>
    <w:p>
      <w:pPr>
        <w:spacing w:line="360" w:lineRule="auto"/>
        <w:ind w:firstLine="643" w:firstLineChars="200"/>
        <w:rPr>
          <w:rFonts w:hint="eastAsia" w:ascii="仿宋_GB2312" w:hAnsi="仿宋_GB2312" w:eastAsia="仿宋_GB2312" w:cs="仿宋_GB2312"/>
          <w:color w:val="121212"/>
          <w:sz w:val="32"/>
          <w:szCs w:val="32"/>
        </w:rPr>
      </w:pPr>
      <w:r>
        <w:rPr>
          <w:rFonts w:hint="eastAsia" w:ascii="仿宋_GB2312" w:hAnsi="仿宋_GB2312" w:eastAsia="仿宋_GB2312" w:cs="仿宋_GB2312"/>
          <w:b/>
          <w:bCs/>
          <w:color w:val="121212"/>
          <w:sz w:val="32"/>
          <w:szCs w:val="32"/>
        </w:rPr>
        <w:t>坚持以人民为中心。</w:t>
      </w:r>
      <w:r>
        <w:rPr>
          <w:rFonts w:hint="eastAsia" w:ascii="仿宋_GB2312" w:hAnsi="仿宋_GB2312" w:eastAsia="仿宋_GB2312" w:cs="仿宋_GB2312"/>
          <w:color w:val="121212"/>
          <w:sz w:val="32"/>
          <w:szCs w:val="32"/>
        </w:rPr>
        <w:t>始终把维护人民群众合法权益作为出发点和落脚点，通过优质、高效、便捷的公共法律服务着力解决人民群众的法律服务需求，使公共法律服务体系建设成果更多更公平惠及全体人民，不断增强人民群众的获得感、幸福感、安全感。</w:t>
      </w:r>
    </w:p>
    <w:p>
      <w:pPr>
        <w:spacing w:line="360" w:lineRule="auto"/>
        <w:ind w:firstLine="643" w:firstLineChars="200"/>
        <w:rPr>
          <w:rFonts w:hint="eastAsia" w:ascii="仿宋_GB2312" w:hAnsi="仿宋_GB2312" w:eastAsia="仿宋_GB2312" w:cs="仿宋_GB2312"/>
          <w:color w:val="121212"/>
          <w:sz w:val="32"/>
          <w:szCs w:val="32"/>
        </w:rPr>
      </w:pPr>
      <w:r>
        <w:rPr>
          <w:rFonts w:hint="eastAsia" w:ascii="仿宋_GB2312" w:hAnsi="仿宋_GB2312" w:eastAsia="仿宋_GB2312" w:cs="仿宋_GB2312"/>
          <w:b/>
          <w:bCs/>
          <w:color w:val="121212"/>
          <w:sz w:val="32"/>
          <w:szCs w:val="32"/>
        </w:rPr>
        <w:t>坚持统筹协调。</w:t>
      </w:r>
      <w:r>
        <w:rPr>
          <w:rFonts w:hint="eastAsia" w:ascii="仿宋_GB2312" w:hAnsi="仿宋_GB2312" w:eastAsia="仿宋_GB2312" w:cs="仿宋_GB2312"/>
          <w:color w:val="121212"/>
          <w:sz w:val="32"/>
          <w:szCs w:val="32"/>
        </w:rPr>
        <w:t>健全党委领导、政府主导、部门协同、社会参与的公共法律服务新格局，加强公共法律服务的整体统筹、协调推进。落实政府推进公共法律服务体系建设的主体责任，加大投入力度，激发各类社会主体参与公共法律服务的积极性。</w:t>
      </w:r>
    </w:p>
    <w:p>
      <w:pPr>
        <w:spacing w:line="360" w:lineRule="auto"/>
        <w:ind w:firstLine="643" w:firstLineChars="200"/>
        <w:rPr>
          <w:rFonts w:hint="eastAsia" w:ascii="仿宋_GB2312" w:hAnsi="仿宋_GB2312" w:eastAsia="仿宋_GB2312" w:cs="仿宋_GB2312"/>
          <w:color w:val="121212"/>
          <w:sz w:val="32"/>
          <w:szCs w:val="32"/>
        </w:rPr>
      </w:pPr>
      <w:r>
        <w:rPr>
          <w:rFonts w:hint="eastAsia" w:ascii="仿宋_GB2312" w:hAnsi="仿宋_GB2312" w:eastAsia="仿宋_GB2312" w:cs="仿宋_GB2312"/>
          <w:b/>
          <w:bCs/>
          <w:color w:val="121212"/>
          <w:sz w:val="32"/>
          <w:szCs w:val="32"/>
        </w:rPr>
        <w:t>坚持分类施策。</w:t>
      </w:r>
      <w:r>
        <w:rPr>
          <w:rFonts w:hint="eastAsia" w:ascii="仿宋_GB2312" w:hAnsi="仿宋_GB2312" w:eastAsia="仿宋_GB2312" w:cs="仿宋_GB2312"/>
          <w:color w:val="121212"/>
          <w:sz w:val="32"/>
          <w:szCs w:val="32"/>
        </w:rPr>
        <w:t>立足省情，根据各地经济社会发展水平和人民群众法律服务需求差异，因地制宜，分类推进，推进全省公共法律服务体系建设与经济社会协同发展。</w:t>
      </w:r>
    </w:p>
    <w:p>
      <w:pPr>
        <w:spacing w:line="360" w:lineRule="auto"/>
        <w:ind w:firstLine="643" w:firstLineChars="200"/>
        <w:rPr>
          <w:rFonts w:hint="eastAsia" w:ascii="仿宋_GB2312" w:hAnsi="仿宋_GB2312" w:eastAsia="仿宋_GB2312" w:cs="仿宋_GB2312"/>
          <w:color w:val="121212"/>
          <w:sz w:val="32"/>
          <w:szCs w:val="32"/>
        </w:rPr>
      </w:pPr>
      <w:r>
        <w:rPr>
          <w:rFonts w:hint="eastAsia" w:ascii="仿宋_GB2312" w:hAnsi="仿宋_GB2312" w:eastAsia="仿宋_GB2312" w:cs="仿宋_GB2312"/>
          <w:b/>
          <w:bCs/>
          <w:color w:val="121212"/>
          <w:sz w:val="32"/>
          <w:szCs w:val="32"/>
        </w:rPr>
        <w:t>坚持科技赋能。</w:t>
      </w:r>
      <w:r>
        <w:rPr>
          <w:rFonts w:hint="eastAsia" w:ascii="仿宋_GB2312" w:hAnsi="仿宋_GB2312" w:eastAsia="仿宋_GB2312" w:cs="仿宋_GB2312"/>
          <w:color w:val="121212"/>
          <w:sz w:val="32"/>
          <w:szCs w:val="32"/>
        </w:rPr>
        <w:t>充分发挥现代科技手段的重要作用，依托互联网、大数据、物联网、云计算、人工智能、区块链等新技术，推动公共法律服务供给内容和供给模式的创新，有效提升总体供给能力水平，实现公共法律服务体系建设新发展。</w:t>
      </w:r>
    </w:p>
    <w:p>
      <w:pPr>
        <w:keepNext/>
        <w:keepLines/>
        <w:spacing w:beforeLines="30" w:afterLines="30" w:line="360" w:lineRule="auto"/>
        <w:jc w:val="center"/>
        <w:outlineLvl w:val="1"/>
        <w:rPr>
          <w:rFonts w:hint="eastAsia" w:ascii="楷体_GB2312" w:hAnsi="楷体_GB2312" w:eastAsia="楷体_GB2312" w:cs="楷体_GB2312"/>
          <w:b/>
          <w:bCs/>
          <w:color w:val="121212"/>
          <w:sz w:val="32"/>
          <w:szCs w:val="32"/>
        </w:rPr>
      </w:pPr>
      <w:bookmarkStart w:id="16" w:name="_Toc13894"/>
      <w:bookmarkStart w:id="17" w:name="_Toc68954489"/>
      <w:bookmarkStart w:id="18" w:name="_Toc367880965_WPSOffice_Level2"/>
      <w:bookmarkStart w:id="19" w:name="_Toc1975507684"/>
      <w:r>
        <w:rPr>
          <w:rFonts w:hint="eastAsia" w:ascii="楷体_GB2312" w:hAnsi="楷体_GB2312" w:eastAsia="楷体_GB2312" w:cs="楷体_GB2312"/>
          <w:b/>
          <w:bCs/>
          <w:color w:val="121212"/>
          <w:sz w:val="32"/>
          <w:szCs w:val="32"/>
        </w:rPr>
        <w:t>第三节  主要目标</w:t>
      </w:r>
      <w:bookmarkEnd w:id="16"/>
      <w:bookmarkEnd w:id="17"/>
      <w:bookmarkEnd w:id="18"/>
      <w:bookmarkEnd w:id="19"/>
    </w:p>
    <w:p>
      <w:pPr>
        <w:spacing w:line="360" w:lineRule="auto"/>
        <w:ind w:firstLine="640" w:firstLineChars="200"/>
        <w:rPr>
          <w:rFonts w:hint="eastAsia" w:ascii="仿宋_GB2312" w:hAnsi="仿宋_GB2312" w:eastAsia="仿宋_GB2312" w:cs="仿宋_GB2312"/>
          <w:color w:val="121212"/>
          <w:sz w:val="32"/>
          <w:szCs w:val="32"/>
        </w:rPr>
      </w:pPr>
      <w:r>
        <w:rPr>
          <w:rFonts w:hint="eastAsia" w:ascii="仿宋_GB2312" w:hAnsi="仿宋_GB2312" w:eastAsia="仿宋_GB2312" w:cs="仿宋_GB2312"/>
          <w:color w:val="121212"/>
          <w:sz w:val="32"/>
          <w:szCs w:val="32"/>
        </w:rPr>
        <w:t>到2025年，全面建成覆盖城乡、便捷高效、均等普惠、智能精准的现代公共法律服务体系，服务设施全面覆盖,服务网络互联互通，服务供给持续优化，服务能力全面提升，实现全省从公共法律服务大省到公共法律服务强省的转变，为新时代治蜀兴川提供有力法治保障，有效满足人民群众日益增长的公共法律服务需求，为2035年基本形成与法治国家、法治政府、法治社会基本建成目标相适应的公共法律服务体系奠定坚实基础。</w:t>
      </w:r>
    </w:p>
    <w:p>
      <w:pPr>
        <w:pStyle w:val="2"/>
        <w:rPr>
          <w:rFonts w:hint="eastAsia"/>
          <w:color w:val="121212"/>
        </w:rPr>
      </w:pPr>
    </w:p>
    <w:p>
      <w:pPr>
        <w:keepNext/>
        <w:keepLines/>
        <w:spacing w:beforeLines="30" w:afterLines="30" w:line="360" w:lineRule="auto"/>
        <w:jc w:val="center"/>
        <w:outlineLvl w:val="1"/>
        <w:rPr>
          <w:rFonts w:hint="eastAsia" w:ascii="黑体" w:hAnsi="黑体" w:eastAsia="黑体" w:cs="黑体"/>
          <w:b/>
          <w:bCs/>
          <w:color w:val="121212"/>
          <w:sz w:val="30"/>
          <w:szCs w:val="30"/>
        </w:rPr>
      </w:pPr>
      <w:r>
        <w:rPr>
          <w:rFonts w:hint="eastAsia" w:ascii="黑体" w:hAnsi="黑体" w:eastAsia="黑体" w:cs="黑体"/>
          <w:b/>
          <w:bCs/>
          <w:color w:val="121212"/>
          <w:sz w:val="30"/>
          <w:szCs w:val="30"/>
        </w:rPr>
        <w:t>表1  “十四五”时期四川省公共法律服务体系建设主要发展指标</w:t>
      </w:r>
    </w:p>
    <w:tbl>
      <w:tblPr>
        <w:tblStyle w:val="9"/>
        <w:tblW w:w="94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2"/>
        <w:gridCol w:w="1123"/>
        <w:gridCol w:w="2466"/>
        <w:gridCol w:w="1581"/>
        <w:gridCol w:w="149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02" w:type="dxa"/>
            <w:tcBorders>
              <w:top w:val="single" w:color="auto" w:sz="4" w:space="0"/>
              <w:left w:val="single" w:color="auto" w:sz="4" w:space="0"/>
              <w:bottom w:val="single" w:color="auto" w:sz="4" w:space="0"/>
              <w:right w:val="single" w:color="auto" w:sz="4" w:space="0"/>
            </w:tcBorders>
            <w:vAlign w:val="center"/>
          </w:tcPr>
          <w:p>
            <w:pPr>
              <w:spacing w:line="360" w:lineRule="auto"/>
              <w:ind w:firstLine="241" w:firstLineChars="100"/>
              <w:rPr>
                <w:rFonts w:hint="eastAsia" w:ascii="仿宋_GB2312" w:hAnsi="仿宋_GB2312" w:eastAsia="仿宋_GB2312" w:cs="仿宋_GB2312"/>
                <w:color w:val="121212"/>
                <w:sz w:val="24"/>
                <w:szCs w:val="24"/>
              </w:rPr>
            </w:pPr>
            <w:r>
              <w:rPr>
                <w:rFonts w:hint="eastAsia" w:ascii="仿宋_GB2312" w:hAnsi="仿宋_GB2312" w:eastAsia="仿宋_GB2312" w:cs="仿宋_GB2312"/>
                <w:b/>
                <w:bCs/>
                <w:color w:val="121212"/>
                <w:sz w:val="24"/>
                <w:szCs w:val="24"/>
              </w:rPr>
              <w:t>类别</w:t>
            </w:r>
          </w:p>
        </w:tc>
        <w:tc>
          <w:tcPr>
            <w:tcW w:w="35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964" w:firstLineChars="400"/>
              <w:jc w:val="both"/>
              <w:rPr>
                <w:rFonts w:hint="eastAsia" w:ascii="仿宋_GB2312" w:hAnsi="仿宋_GB2312" w:eastAsia="仿宋_GB2312" w:cs="仿宋_GB2312"/>
                <w:b w:val="0"/>
                <w:bCs w:val="0"/>
                <w:color w:val="121212"/>
                <w:sz w:val="24"/>
                <w:szCs w:val="24"/>
              </w:rPr>
            </w:pPr>
            <w:r>
              <w:rPr>
                <w:rFonts w:hint="eastAsia" w:ascii="仿宋_GB2312" w:hAnsi="仿宋_GB2312" w:eastAsia="仿宋_GB2312" w:cs="仿宋_GB2312"/>
                <w:b/>
                <w:bCs/>
                <w:color w:val="121212"/>
                <w:sz w:val="24"/>
                <w:szCs w:val="24"/>
              </w:rPr>
              <w:t>指</w:t>
            </w:r>
            <w:r>
              <w:rPr>
                <w:rFonts w:hint="eastAsia" w:ascii="仿宋_GB2312" w:hAnsi="仿宋_GB2312" w:eastAsia="仿宋_GB2312" w:cs="仿宋_GB2312"/>
                <w:b/>
                <w:bCs/>
                <w:color w:val="121212"/>
                <w:sz w:val="24"/>
                <w:szCs w:val="24"/>
                <w:lang w:val="en-US" w:eastAsia="zh-CN"/>
              </w:rPr>
              <w:t xml:space="preserve"> </w:t>
            </w:r>
            <w:r>
              <w:rPr>
                <w:rFonts w:hint="eastAsia" w:ascii="仿宋_GB2312" w:hAnsi="仿宋_GB2312" w:eastAsia="仿宋_GB2312" w:cs="仿宋_GB2312"/>
                <w:b/>
                <w:bCs/>
                <w:color w:val="121212"/>
                <w:sz w:val="24"/>
                <w:szCs w:val="24"/>
              </w:rPr>
              <w:t>标</w:t>
            </w:r>
          </w:p>
        </w:tc>
        <w:tc>
          <w:tcPr>
            <w:tcW w:w="158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color w:val="121212"/>
                <w:sz w:val="24"/>
                <w:szCs w:val="24"/>
                <w:lang w:eastAsia="zh-CN"/>
              </w:rPr>
            </w:pPr>
            <w:r>
              <w:rPr>
                <w:rFonts w:hint="eastAsia" w:ascii="仿宋_GB2312" w:hAnsi="仿宋_GB2312" w:eastAsia="仿宋_GB2312" w:cs="仿宋_GB2312"/>
                <w:b/>
                <w:bCs/>
                <w:color w:val="121212"/>
                <w:sz w:val="24"/>
                <w:szCs w:val="24"/>
              </w:rPr>
              <w:t>2020年</w:t>
            </w:r>
            <w:r>
              <w:rPr>
                <w:rFonts w:hint="eastAsia" w:ascii="仿宋_GB2312" w:hAnsi="仿宋_GB2312" w:eastAsia="仿宋_GB2312" w:cs="仿宋_GB2312"/>
                <w:b/>
                <w:bCs/>
                <w:color w:val="121212"/>
                <w:sz w:val="24"/>
                <w:szCs w:val="24"/>
                <w:lang w:eastAsia="zh-CN"/>
              </w:rPr>
              <w:t>情况</w:t>
            </w:r>
          </w:p>
        </w:tc>
        <w:tc>
          <w:tcPr>
            <w:tcW w:w="149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color w:val="121212"/>
                <w:sz w:val="24"/>
                <w:szCs w:val="24"/>
                <w:lang w:eastAsia="zh-CN"/>
              </w:rPr>
            </w:pPr>
            <w:r>
              <w:rPr>
                <w:rFonts w:hint="eastAsia" w:ascii="仿宋_GB2312" w:hAnsi="仿宋_GB2312" w:eastAsia="仿宋_GB2312" w:cs="仿宋_GB2312"/>
                <w:b/>
                <w:bCs/>
                <w:color w:val="121212"/>
                <w:sz w:val="24"/>
                <w:szCs w:val="24"/>
              </w:rPr>
              <w:t>202</w:t>
            </w:r>
            <w:r>
              <w:rPr>
                <w:rFonts w:hint="eastAsia" w:ascii="仿宋_GB2312" w:hAnsi="仿宋_GB2312" w:eastAsia="仿宋_GB2312" w:cs="仿宋_GB2312"/>
                <w:b/>
                <w:bCs/>
                <w:color w:val="121212"/>
                <w:sz w:val="24"/>
                <w:szCs w:val="24"/>
                <w:lang w:val="en-US" w:eastAsia="zh-CN"/>
              </w:rPr>
              <w:t>5</w:t>
            </w:r>
            <w:r>
              <w:rPr>
                <w:rFonts w:hint="eastAsia" w:ascii="仿宋_GB2312" w:hAnsi="仿宋_GB2312" w:eastAsia="仿宋_GB2312" w:cs="仿宋_GB2312"/>
                <w:b/>
                <w:bCs/>
                <w:color w:val="121212"/>
                <w:sz w:val="24"/>
                <w:szCs w:val="24"/>
              </w:rPr>
              <w:t>年</w:t>
            </w:r>
            <w:r>
              <w:rPr>
                <w:rFonts w:hint="eastAsia" w:ascii="仿宋_GB2312" w:hAnsi="仿宋_GB2312" w:eastAsia="仿宋_GB2312" w:cs="仿宋_GB2312"/>
                <w:b/>
                <w:bCs/>
                <w:color w:val="121212"/>
                <w:sz w:val="24"/>
                <w:szCs w:val="24"/>
                <w:lang w:eastAsia="zh-CN"/>
              </w:rPr>
              <w:t>目标</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color w:val="121212"/>
                <w:sz w:val="24"/>
                <w:szCs w:val="24"/>
              </w:rPr>
            </w:pPr>
            <w:r>
              <w:rPr>
                <w:rFonts w:hint="eastAsia" w:ascii="仿宋_GB2312" w:hAnsi="仿宋_GB2312" w:eastAsia="仿宋_GB2312" w:cs="仿宋_GB2312"/>
                <w:b/>
                <w:bCs/>
                <w:color w:val="121212"/>
                <w:sz w:val="24"/>
                <w:szCs w:val="24"/>
              </w:rPr>
              <w:t>指标性质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1402"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b w:val="0"/>
                <w:bCs w:val="0"/>
                <w:color w:val="121212"/>
                <w:sz w:val="24"/>
                <w:szCs w:val="24"/>
              </w:rPr>
            </w:pPr>
            <w:r>
              <w:rPr>
                <w:rFonts w:hint="eastAsia" w:ascii="仿宋_GB2312" w:hAnsi="仿宋_GB2312" w:eastAsia="仿宋_GB2312" w:cs="仿宋_GB2312"/>
                <w:b w:val="0"/>
                <w:bCs w:val="0"/>
                <w:color w:val="121212"/>
                <w:sz w:val="24"/>
                <w:szCs w:val="24"/>
              </w:rPr>
              <w:t>1.普法依法治理</w:t>
            </w:r>
          </w:p>
        </w:tc>
        <w:tc>
          <w:tcPr>
            <w:tcW w:w="112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b w:val="0"/>
                <w:bCs w:val="0"/>
                <w:color w:val="121212"/>
                <w:sz w:val="24"/>
                <w:szCs w:val="24"/>
              </w:rPr>
            </w:pPr>
            <w:r>
              <w:rPr>
                <w:rFonts w:hint="eastAsia" w:ascii="仿宋_GB2312" w:hAnsi="仿宋_GB2312" w:eastAsia="仿宋_GB2312" w:cs="仿宋_GB2312"/>
                <w:b w:val="0"/>
                <w:bCs w:val="0"/>
                <w:color w:val="121212"/>
                <w:sz w:val="24"/>
                <w:szCs w:val="24"/>
              </w:rPr>
              <w:t>法治文化阵地</w:t>
            </w:r>
          </w:p>
          <w:p>
            <w:pPr>
              <w:spacing w:line="360" w:lineRule="auto"/>
              <w:rPr>
                <w:rFonts w:hint="eastAsia" w:ascii="仿宋_GB2312" w:hAnsi="仿宋_GB2312" w:eastAsia="仿宋_GB2312" w:cs="仿宋_GB2312"/>
                <w:b w:val="0"/>
                <w:bCs w:val="0"/>
                <w:color w:val="121212"/>
                <w:sz w:val="24"/>
                <w:szCs w:val="24"/>
              </w:rPr>
            </w:pPr>
            <w:r>
              <w:rPr>
                <w:rFonts w:hint="eastAsia" w:ascii="仿宋_GB2312" w:hAnsi="仿宋_GB2312" w:eastAsia="仿宋_GB2312" w:cs="仿宋_GB2312"/>
                <w:b w:val="0"/>
                <w:bCs w:val="0"/>
                <w:color w:val="121212"/>
                <w:sz w:val="24"/>
                <w:szCs w:val="24"/>
              </w:rPr>
              <w:t>覆盖率（%）</w:t>
            </w:r>
          </w:p>
        </w:tc>
        <w:tc>
          <w:tcPr>
            <w:tcW w:w="246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b w:val="0"/>
                <w:bCs w:val="0"/>
                <w:color w:val="121212"/>
                <w:sz w:val="24"/>
                <w:szCs w:val="24"/>
              </w:rPr>
            </w:pPr>
            <w:r>
              <w:rPr>
                <w:rFonts w:hint="eastAsia" w:ascii="仿宋_GB2312" w:hAnsi="仿宋_GB2312" w:eastAsia="仿宋_GB2312" w:cs="仿宋_GB2312"/>
                <w:b w:val="0"/>
                <w:bCs w:val="0"/>
                <w:color w:val="121212"/>
                <w:sz w:val="24"/>
                <w:szCs w:val="24"/>
              </w:rPr>
              <w:t>市级青少年法治教育基地覆盖率（%）</w:t>
            </w:r>
          </w:p>
        </w:tc>
        <w:tc>
          <w:tcPr>
            <w:tcW w:w="15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val="0"/>
                <w:bCs w:val="0"/>
                <w:color w:val="121212"/>
                <w:sz w:val="24"/>
                <w:szCs w:val="24"/>
                <w:lang w:val="en-US" w:eastAsia="zh-CN"/>
              </w:rPr>
            </w:pPr>
            <w:r>
              <w:rPr>
                <w:rFonts w:hint="eastAsia" w:ascii="仿宋_GB2312" w:hAnsi="仿宋_GB2312" w:eastAsia="仿宋_GB2312" w:cs="仿宋_GB2312"/>
                <w:b w:val="0"/>
                <w:bCs w:val="0"/>
                <w:color w:val="121212"/>
                <w:sz w:val="24"/>
                <w:szCs w:val="24"/>
              </w:rPr>
              <w:t>62</w:t>
            </w:r>
          </w:p>
        </w:tc>
        <w:tc>
          <w:tcPr>
            <w:tcW w:w="1492"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b w:val="0"/>
                <w:bCs w:val="0"/>
                <w:color w:val="121212"/>
                <w:sz w:val="24"/>
                <w:szCs w:val="24"/>
              </w:rPr>
            </w:pPr>
            <w:r>
              <w:rPr>
                <w:rFonts w:hint="eastAsia" w:ascii="仿宋_GB2312" w:hAnsi="仿宋_GB2312" w:eastAsia="仿宋_GB2312" w:cs="仿宋_GB2312"/>
                <w:b w:val="0"/>
                <w:bCs w:val="0"/>
                <w:color w:val="121212"/>
                <w:sz w:val="24"/>
                <w:szCs w:val="24"/>
              </w:rPr>
              <w:t>均达到100</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b/>
                <w:bCs/>
                <w:color w:val="121212"/>
                <w:sz w:val="24"/>
                <w:szCs w:val="24"/>
              </w:rPr>
            </w:pPr>
            <w:r>
              <w:rPr>
                <w:rFonts w:hint="eastAsia" w:ascii="仿宋_GB2312" w:hAnsi="仿宋_GB2312" w:eastAsia="仿宋_GB2312" w:cs="仿宋_GB2312"/>
                <w:b w:val="0"/>
                <w:bCs w:val="0"/>
                <w:color w:val="121212"/>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0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82" w:firstLineChars="200"/>
              <w:rPr>
                <w:rFonts w:hint="eastAsia" w:ascii="仿宋_GB2312" w:hAnsi="仿宋_GB2312" w:eastAsia="仿宋_GB2312" w:cs="仿宋_GB2312"/>
                <w:b/>
                <w:bCs/>
                <w:color w:val="121212"/>
                <w:sz w:val="24"/>
                <w:szCs w:val="24"/>
              </w:rPr>
            </w:pPr>
          </w:p>
        </w:tc>
        <w:tc>
          <w:tcPr>
            <w:tcW w:w="112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82" w:firstLineChars="200"/>
              <w:rPr>
                <w:rFonts w:hint="eastAsia" w:ascii="仿宋_GB2312" w:hAnsi="仿宋_GB2312" w:eastAsia="仿宋_GB2312" w:cs="仿宋_GB2312"/>
                <w:b/>
                <w:bCs/>
                <w:color w:val="121212"/>
                <w:sz w:val="24"/>
                <w:szCs w:val="24"/>
              </w:rPr>
            </w:pPr>
          </w:p>
        </w:tc>
        <w:tc>
          <w:tcPr>
            <w:tcW w:w="246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b w:val="0"/>
                <w:bCs w:val="0"/>
                <w:color w:val="121212"/>
                <w:sz w:val="24"/>
                <w:szCs w:val="24"/>
              </w:rPr>
            </w:pPr>
            <w:r>
              <w:rPr>
                <w:rFonts w:hint="eastAsia" w:ascii="仿宋_GB2312" w:hAnsi="仿宋_GB2312" w:eastAsia="仿宋_GB2312" w:cs="仿宋_GB2312"/>
                <w:b w:val="0"/>
                <w:bCs w:val="0"/>
                <w:color w:val="121212"/>
                <w:sz w:val="24"/>
                <w:szCs w:val="24"/>
              </w:rPr>
              <w:t>县（市、区）级青少年法治教育基地覆盖率（%）</w:t>
            </w:r>
          </w:p>
        </w:tc>
        <w:tc>
          <w:tcPr>
            <w:tcW w:w="15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val="0"/>
                <w:bCs w:val="0"/>
                <w:color w:val="121212"/>
                <w:sz w:val="24"/>
                <w:szCs w:val="24"/>
                <w:lang w:val="en-US" w:eastAsia="zh-CN"/>
              </w:rPr>
            </w:pPr>
            <w:r>
              <w:rPr>
                <w:rFonts w:hint="eastAsia" w:ascii="仿宋_GB2312" w:hAnsi="仿宋_GB2312" w:eastAsia="仿宋_GB2312" w:cs="仿宋_GB2312"/>
                <w:b w:val="0"/>
                <w:bCs w:val="0"/>
                <w:color w:val="121212"/>
                <w:sz w:val="24"/>
                <w:szCs w:val="24"/>
              </w:rPr>
              <w:t>46</w:t>
            </w:r>
          </w:p>
        </w:tc>
        <w:tc>
          <w:tcPr>
            <w:tcW w:w="149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_GB2312" w:hAnsi="仿宋_GB2312" w:eastAsia="仿宋_GB2312" w:cs="仿宋_GB2312"/>
                <w:b w:val="0"/>
                <w:bCs w:val="0"/>
                <w:color w:val="121212"/>
                <w:sz w:val="24"/>
                <w:szCs w:val="24"/>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_GB2312" w:hAnsi="仿宋_GB2312" w:eastAsia="仿宋_GB2312" w:cs="仿宋_GB2312"/>
                <w:b w:val="0"/>
                <w:bCs w:val="0"/>
                <w:color w:val="1212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0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82" w:firstLineChars="200"/>
              <w:rPr>
                <w:rFonts w:hint="eastAsia" w:ascii="仿宋_GB2312" w:hAnsi="仿宋_GB2312" w:eastAsia="仿宋_GB2312" w:cs="仿宋_GB2312"/>
                <w:b/>
                <w:bCs/>
                <w:color w:val="121212"/>
                <w:sz w:val="24"/>
                <w:szCs w:val="24"/>
              </w:rPr>
            </w:pPr>
          </w:p>
        </w:tc>
        <w:tc>
          <w:tcPr>
            <w:tcW w:w="112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82" w:firstLineChars="200"/>
              <w:rPr>
                <w:rFonts w:hint="eastAsia" w:ascii="仿宋_GB2312" w:hAnsi="仿宋_GB2312" w:eastAsia="仿宋_GB2312" w:cs="仿宋_GB2312"/>
                <w:b/>
                <w:bCs/>
                <w:color w:val="121212"/>
                <w:sz w:val="24"/>
                <w:szCs w:val="24"/>
              </w:rPr>
            </w:pPr>
          </w:p>
        </w:tc>
        <w:tc>
          <w:tcPr>
            <w:tcW w:w="246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b w:val="0"/>
                <w:bCs w:val="0"/>
                <w:color w:val="121212"/>
                <w:sz w:val="24"/>
                <w:szCs w:val="24"/>
              </w:rPr>
            </w:pPr>
            <w:r>
              <w:rPr>
                <w:rFonts w:hint="eastAsia" w:ascii="仿宋_GB2312" w:hAnsi="仿宋_GB2312" w:eastAsia="仿宋_GB2312" w:cs="仿宋_GB2312"/>
                <w:b w:val="0"/>
                <w:bCs w:val="0"/>
                <w:color w:val="121212"/>
                <w:sz w:val="24"/>
                <w:szCs w:val="24"/>
              </w:rPr>
              <w:t>乡镇（街道）宪法或民法典主题阵地覆盖率达（%）</w:t>
            </w:r>
          </w:p>
        </w:tc>
        <w:tc>
          <w:tcPr>
            <w:tcW w:w="15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val="0"/>
                <w:bCs w:val="0"/>
                <w:color w:val="121212"/>
                <w:sz w:val="24"/>
                <w:szCs w:val="24"/>
                <w:lang w:val="en-US" w:eastAsia="zh-CN"/>
              </w:rPr>
            </w:pPr>
            <w:r>
              <w:rPr>
                <w:rFonts w:hint="eastAsia" w:ascii="仿宋_GB2312" w:hAnsi="仿宋_GB2312" w:eastAsia="仿宋_GB2312" w:cs="仿宋_GB2312"/>
                <w:b w:val="0"/>
                <w:bCs w:val="0"/>
                <w:color w:val="121212"/>
                <w:sz w:val="24"/>
                <w:szCs w:val="24"/>
              </w:rPr>
              <w:t>25</w:t>
            </w:r>
          </w:p>
        </w:tc>
        <w:tc>
          <w:tcPr>
            <w:tcW w:w="149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_GB2312" w:hAnsi="仿宋_GB2312" w:eastAsia="仿宋_GB2312" w:cs="仿宋_GB2312"/>
                <w:b w:val="0"/>
                <w:bCs w:val="0"/>
                <w:color w:val="121212"/>
                <w:sz w:val="24"/>
                <w:szCs w:val="24"/>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_GB2312" w:hAnsi="仿宋_GB2312" w:eastAsia="仿宋_GB2312" w:cs="仿宋_GB2312"/>
                <w:b w:val="0"/>
                <w:bCs w:val="0"/>
                <w:color w:val="1212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0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82" w:firstLineChars="200"/>
              <w:rPr>
                <w:rFonts w:hint="eastAsia" w:ascii="仿宋_GB2312" w:hAnsi="仿宋_GB2312" w:eastAsia="仿宋_GB2312" w:cs="仿宋_GB2312"/>
                <w:b/>
                <w:bCs/>
                <w:color w:val="121212"/>
                <w:sz w:val="24"/>
                <w:szCs w:val="24"/>
              </w:rPr>
            </w:pPr>
          </w:p>
        </w:tc>
        <w:tc>
          <w:tcPr>
            <w:tcW w:w="35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b w:val="0"/>
                <w:bCs w:val="0"/>
                <w:color w:val="121212"/>
                <w:sz w:val="24"/>
                <w:szCs w:val="24"/>
              </w:rPr>
            </w:pPr>
            <w:r>
              <w:rPr>
                <w:rFonts w:hint="eastAsia" w:ascii="仿宋_GB2312" w:hAnsi="仿宋_GB2312" w:eastAsia="仿宋_GB2312" w:cs="仿宋_GB2312"/>
                <w:b w:val="0"/>
                <w:bCs w:val="0"/>
                <w:color w:val="121212"/>
                <w:sz w:val="24"/>
                <w:szCs w:val="24"/>
              </w:rPr>
              <w:t>村（社区）骨干“法律明白人”数量（人）</w:t>
            </w:r>
          </w:p>
        </w:tc>
        <w:tc>
          <w:tcPr>
            <w:tcW w:w="158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_GB2312" w:hAnsi="仿宋_GB2312" w:eastAsia="仿宋_GB2312" w:cs="仿宋_GB2312"/>
                <w:b w:val="0"/>
                <w:bCs w:val="0"/>
                <w:color w:val="121212"/>
                <w:sz w:val="24"/>
                <w:szCs w:val="24"/>
              </w:rPr>
            </w:pPr>
            <w:r>
              <w:rPr>
                <w:rFonts w:hint="eastAsia" w:ascii="仿宋_GB2312" w:hAnsi="仿宋_GB2312" w:eastAsia="仿宋_GB2312" w:cs="仿宋_GB2312"/>
                <w:b w:val="0"/>
                <w:bCs w:val="0"/>
                <w:color w:val="121212"/>
                <w:sz w:val="24"/>
                <w:szCs w:val="24"/>
              </w:rPr>
              <w:t>2</w:t>
            </w:r>
          </w:p>
        </w:tc>
        <w:tc>
          <w:tcPr>
            <w:tcW w:w="149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_GB2312" w:hAnsi="仿宋_GB2312" w:eastAsia="仿宋_GB2312" w:cs="仿宋_GB2312"/>
                <w:b w:val="0"/>
                <w:bCs w:val="0"/>
                <w:color w:val="121212"/>
                <w:sz w:val="24"/>
                <w:szCs w:val="24"/>
              </w:rPr>
            </w:pPr>
            <w:r>
              <w:rPr>
                <w:rFonts w:hint="eastAsia" w:ascii="仿宋_GB2312" w:hAnsi="仿宋_GB2312" w:eastAsia="仿宋_GB2312" w:cs="仿宋_GB2312"/>
                <w:b w:val="0"/>
                <w:bCs w:val="0"/>
                <w:color w:val="121212"/>
                <w:sz w:val="24"/>
                <w:szCs w:val="24"/>
              </w:rPr>
              <w:t>5</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b w:val="0"/>
                <w:bCs w:val="0"/>
                <w:color w:val="121212"/>
                <w:sz w:val="24"/>
                <w:szCs w:val="24"/>
              </w:rPr>
            </w:pPr>
            <w:r>
              <w:rPr>
                <w:rFonts w:hint="eastAsia" w:ascii="仿宋_GB2312" w:hAnsi="仿宋_GB2312" w:eastAsia="仿宋_GB2312" w:cs="仿宋_GB2312"/>
                <w:b w:val="0"/>
                <w:bCs w:val="0"/>
                <w:color w:val="121212"/>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0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82" w:firstLineChars="200"/>
              <w:rPr>
                <w:rFonts w:hint="eastAsia" w:ascii="仿宋_GB2312" w:hAnsi="仿宋_GB2312" w:eastAsia="仿宋_GB2312" w:cs="仿宋_GB2312"/>
                <w:b/>
                <w:bCs/>
                <w:color w:val="121212"/>
                <w:sz w:val="24"/>
                <w:szCs w:val="24"/>
              </w:rPr>
            </w:pPr>
          </w:p>
        </w:tc>
        <w:tc>
          <w:tcPr>
            <w:tcW w:w="35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b w:val="0"/>
                <w:bCs w:val="0"/>
                <w:color w:val="121212"/>
                <w:sz w:val="24"/>
                <w:szCs w:val="24"/>
              </w:rPr>
            </w:pPr>
            <w:r>
              <w:rPr>
                <w:rFonts w:hint="eastAsia" w:ascii="仿宋_GB2312" w:hAnsi="仿宋_GB2312" w:eastAsia="仿宋_GB2312" w:cs="仿宋_GB2312"/>
                <w:b w:val="0"/>
                <w:bCs w:val="0"/>
                <w:color w:val="121212"/>
                <w:sz w:val="24"/>
                <w:szCs w:val="24"/>
              </w:rPr>
              <w:t>村民小组（小区楼栋）普通“法律明白人”培养率（%）</w:t>
            </w:r>
          </w:p>
        </w:tc>
        <w:tc>
          <w:tcPr>
            <w:tcW w:w="158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_GB2312" w:hAnsi="仿宋_GB2312" w:eastAsia="仿宋_GB2312" w:cs="仿宋_GB2312"/>
                <w:b w:val="0"/>
                <w:bCs w:val="0"/>
                <w:color w:val="121212"/>
                <w:sz w:val="24"/>
                <w:szCs w:val="24"/>
              </w:rPr>
            </w:pPr>
            <w:r>
              <w:rPr>
                <w:rFonts w:hint="eastAsia" w:ascii="仿宋_GB2312" w:hAnsi="仿宋_GB2312" w:eastAsia="仿宋_GB2312" w:cs="仿宋_GB2312"/>
                <w:b w:val="0"/>
                <w:bCs w:val="0"/>
                <w:color w:val="121212"/>
                <w:sz w:val="24"/>
                <w:szCs w:val="24"/>
              </w:rPr>
              <w:t>30</w:t>
            </w:r>
          </w:p>
        </w:tc>
        <w:tc>
          <w:tcPr>
            <w:tcW w:w="149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_GB2312" w:hAnsi="仿宋_GB2312" w:eastAsia="仿宋_GB2312" w:cs="仿宋_GB2312"/>
                <w:b w:val="0"/>
                <w:bCs w:val="0"/>
                <w:color w:val="121212"/>
                <w:sz w:val="24"/>
                <w:szCs w:val="24"/>
              </w:rPr>
            </w:pPr>
            <w:r>
              <w:rPr>
                <w:rFonts w:hint="eastAsia" w:ascii="仿宋_GB2312" w:hAnsi="仿宋_GB2312" w:eastAsia="仿宋_GB2312" w:cs="仿宋_GB2312"/>
                <w:b w:val="0"/>
                <w:bCs w:val="0"/>
                <w:color w:val="121212"/>
                <w:sz w:val="24"/>
                <w:szCs w:val="24"/>
              </w:rPr>
              <w:t>100</w:t>
            </w: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_GB2312" w:hAnsi="仿宋_GB2312" w:eastAsia="仿宋_GB2312" w:cs="仿宋_GB2312"/>
                <w:b w:val="0"/>
                <w:bCs w:val="0"/>
                <w:color w:val="1212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0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b w:val="0"/>
                <w:bCs w:val="0"/>
                <w:color w:val="121212"/>
                <w:sz w:val="24"/>
                <w:szCs w:val="24"/>
              </w:rPr>
            </w:pPr>
            <w:r>
              <w:rPr>
                <w:rFonts w:hint="eastAsia" w:ascii="仿宋_GB2312" w:hAnsi="仿宋_GB2312" w:eastAsia="仿宋_GB2312" w:cs="仿宋_GB2312"/>
                <w:b w:val="0"/>
                <w:bCs w:val="0"/>
                <w:color w:val="121212"/>
                <w:sz w:val="24"/>
                <w:szCs w:val="24"/>
              </w:rPr>
              <w:t>2.法律援助服务</w:t>
            </w:r>
          </w:p>
        </w:tc>
        <w:tc>
          <w:tcPr>
            <w:tcW w:w="35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b w:val="0"/>
                <w:bCs w:val="0"/>
                <w:color w:val="121212"/>
                <w:sz w:val="24"/>
                <w:szCs w:val="24"/>
              </w:rPr>
            </w:pPr>
            <w:r>
              <w:rPr>
                <w:rFonts w:hint="eastAsia" w:ascii="仿宋_GB2312" w:hAnsi="仿宋_GB2312" w:eastAsia="仿宋_GB2312" w:cs="仿宋_GB2312"/>
                <w:b w:val="0"/>
                <w:bCs w:val="0"/>
                <w:color w:val="121212"/>
                <w:sz w:val="24"/>
                <w:szCs w:val="24"/>
              </w:rPr>
              <w:t>人均法律援助经费（元）</w:t>
            </w:r>
          </w:p>
        </w:tc>
        <w:tc>
          <w:tcPr>
            <w:tcW w:w="158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_GB2312" w:hAnsi="仿宋_GB2312" w:eastAsia="仿宋_GB2312" w:cs="仿宋_GB2312"/>
                <w:color w:val="121212"/>
                <w:sz w:val="24"/>
                <w:szCs w:val="24"/>
              </w:rPr>
            </w:pPr>
            <w:r>
              <w:rPr>
                <w:rFonts w:hint="eastAsia" w:ascii="仿宋_GB2312" w:hAnsi="仿宋_GB2312" w:eastAsia="仿宋_GB2312" w:cs="仿宋_GB2312"/>
                <w:color w:val="121212"/>
                <w:sz w:val="24"/>
                <w:szCs w:val="24"/>
              </w:rPr>
              <w:t>1.6</w:t>
            </w:r>
          </w:p>
        </w:tc>
        <w:tc>
          <w:tcPr>
            <w:tcW w:w="149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_GB2312" w:hAnsi="仿宋_GB2312" w:eastAsia="仿宋_GB2312" w:cs="仿宋_GB2312"/>
                <w:b w:val="0"/>
                <w:bCs w:val="0"/>
                <w:color w:val="121212"/>
                <w:sz w:val="24"/>
                <w:szCs w:val="24"/>
              </w:rPr>
            </w:pPr>
            <w:r>
              <w:rPr>
                <w:rFonts w:hint="eastAsia" w:ascii="仿宋_GB2312" w:hAnsi="仿宋_GB2312" w:eastAsia="仿宋_GB2312" w:cs="仿宋_GB2312"/>
                <w:b w:val="0"/>
                <w:bCs w:val="0"/>
                <w:color w:val="121212"/>
                <w:sz w:val="24"/>
                <w:szCs w:val="24"/>
              </w:rPr>
              <w:t>2.1</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b w:val="0"/>
                <w:bCs w:val="0"/>
                <w:color w:val="121212"/>
                <w:sz w:val="24"/>
                <w:szCs w:val="24"/>
              </w:rPr>
            </w:pPr>
            <w:r>
              <w:rPr>
                <w:rFonts w:hint="eastAsia" w:ascii="仿宋_GB2312" w:hAnsi="仿宋_GB2312" w:eastAsia="仿宋_GB2312" w:cs="仿宋_GB2312"/>
                <w:b w:val="0"/>
                <w:bCs w:val="0"/>
                <w:color w:val="121212"/>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0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b w:val="0"/>
                <w:bCs w:val="0"/>
                <w:color w:val="121212"/>
                <w:sz w:val="24"/>
                <w:szCs w:val="24"/>
              </w:rPr>
            </w:pPr>
            <w:r>
              <w:rPr>
                <w:rFonts w:hint="eastAsia" w:ascii="仿宋_GB2312" w:hAnsi="仿宋_GB2312" w:eastAsia="仿宋_GB2312" w:cs="仿宋_GB2312"/>
                <w:b w:val="0"/>
                <w:bCs w:val="0"/>
                <w:color w:val="121212"/>
                <w:sz w:val="24"/>
                <w:szCs w:val="24"/>
              </w:rPr>
              <w:t>3.人民调解服务</w:t>
            </w:r>
          </w:p>
        </w:tc>
        <w:tc>
          <w:tcPr>
            <w:tcW w:w="35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b w:val="0"/>
                <w:bCs w:val="0"/>
                <w:color w:val="121212"/>
                <w:sz w:val="24"/>
                <w:szCs w:val="24"/>
              </w:rPr>
            </w:pPr>
            <w:r>
              <w:rPr>
                <w:rFonts w:hint="eastAsia" w:ascii="仿宋_GB2312" w:hAnsi="仿宋_GB2312" w:eastAsia="仿宋_GB2312" w:cs="仿宋_GB2312"/>
                <w:b w:val="0"/>
                <w:bCs w:val="0"/>
                <w:color w:val="121212"/>
                <w:sz w:val="24"/>
                <w:szCs w:val="24"/>
              </w:rPr>
              <w:t>全省专职人民调解员数（名）</w:t>
            </w:r>
          </w:p>
        </w:tc>
        <w:tc>
          <w:tcPr>
            <w:tcW w:w="158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_GB2312" w:hAnsi="仿宋_GB2312" w:eastAsia="仿宋_GB2312" w:cs="仿宋_GB2312"/>
                <w:b w:val="0"/>
                <w:bCs w:val="0"/>
                <w:color w:val="121212"/>
                <w:sz w:val="24"/>
                <w:szCs w:val="24"/>
              </w:rPr>
            </w:pPr>
            <w:r>
              <w:rPr>
                <w:rFonts w:hint="eastAsia" w:ascii="仿宋_GB2312" w:hAnsi="仿宋_GB2312" w:eastAsia="仿宋_GB2312" w:cs="仿宋_GB2312"/>
                <w:b w:val="0"/>
                <w:bCs w:val="0"/>
                <w:color w:val="121212"/>
                <w:sz w:val="24"/>
                <w:szCs w:val="24"/>
              </w:rPr>
              <w:t>8000</w:t>
            </w:r>
          </w:p>
        </w:tc>
        <w:tc>
          <w:tcPr>
            <w:tcW w:w="1492" w:type="dxa"/>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rPr>
                <w:rFonts w:hint="eastAsia" w:ascii="仿宋_GB2312" w:hAnsi="仿宋_GB2312" w:eastAsia="仿宋_GB2312" w:cs="仿宋_GB2312"/>
                <w:b w:val="0"/>
                <w:bCs w:val="0"/>
                <w:color w:val="121212"/>
                <w:sz w:val="24"/>
                <w:szCs w:val="24"/>
              </w:rPr>
            </w:pPr>
            <w:r>
              <w:rPr>
                <w:rFonts w:hint="eastAsia" w:ascii="仿宋_GB2312" w:hAnsi="仿宋_GB2312" w:eastAsia="仿宋_GB2312" w:cs="仿宋_GB2312"/>
                <w:b w:val="0"/>
                <w:bCs w:val="0"/>
                <w:color w:val="121212"/>
                <w:sz w:val="24"/>
                <w:szCs w:val="24"/>
              </w:rPr>
              <w:t>20000</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b w:val="0"/>
                <w:bCs w:val="0"/>
                <w:color w:val="121212"/>
                <w:sz w:val="24"/>
                <w:szCs w:val="24"/>
              </w:rPr>
            </w:pPr>
            <w:r>
              <w:rPr>
                <w:rFonts w:hint="eastAsia" w:ascii="仿宋_GB2312" w:hAnsi="仿宋_GB2312" w:eastAsia="仿宋_GB2312" w:cs="仿宋_GB2312"/>
                <w:b w:val="0"/>
                <w:bCs w:val="0"/>
                <w:color w:val="121212"/>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0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b w:val="0"/>
                <w:bCs w:val="0"/>
                <w:color w:val="121212"/>
                <w:sz w:val="24"/>
                <w:szCs w:val="24"/>
              </w:rPr>
            </w:pPr>
            <w:r>
              <w:rPr>
                <w:rFonts w:hint="eastAsia" w:ascii="仿宋_GB2312" w:hAnsi="仿宋_GB2312" w:eastAsia="仿宋_GB2312" w:cs="仿宋_GB2312"/>
                <w:b w:val="0"/>
                <w:bCs w:val="0"/>
                <w:color w:val="121212"/>
                <w:sz w:val="24"/>
                <w:szCs w:val="24"/>
              </w:rPr>
              <w:t>4.律师法律服务</w:t>
            </w:r>
          </w:p>
        </w:tc>
        <w:tc>
          <w:tcPr>
            <w:tcW w:w="35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b w:val="0"/>
                <w:bCs w:val="0"/>
                <w:color w:val="121212"/>
                <w:sz w:val="24"/>
                <w:szCs w:val="24"/>
              </w:rPr>
            </w:pPr>
            <w:r>
              <w:rPr>
                <w:rFonts w:hint="eastAsia" w:ascii="仿宋_GB2312" w:hAnsi="仿宋_GB2312" w:eastAsia="仿宋_GB2312" w:cs="仿宋_GB2312"/>
                <w:b w:val="0"/>
                <w:bCs w:val="0"/>
                <w:color w:val="121212"/>
                <w:sz w:val="24"/>
                <w:szCs w:val="24"/>
              </w:rPr>
              <w:t>每万人拥有律师数（名）</w:t>
            </w:r>
          </w:p>
        </w:tc>
        <w:tc>
          <w:tcPr>
            <w:tcW w:w="158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_GB2312" w:hAnsi="仿宋_GB2312" w:eastAsia="仿宋_GB2312" w:cs="仿宋_GB2312"/>
                <w:b w:val="0"/>
                <w:bCs w:val="0"/>
                <w:color w:val="121212"/>
                <w:sz w:val="24"/>
                <w:szCs w:val="24"/>
              </w:rPr>
            </w:pPr>
            <w:r>
              <w:rPr>
                <w:rFonts w:hint="eastAsia" w:ascii="仿宋_GB2312" w:hAnsi="仿宋_GB2312" w:eastAsia="仿宋_GB2312" w:cs="仿宋_GB2312"/>
                <w:b w:val="0"/>
                <w:bCs w:val="0"/>
                <w:color w:val="121212"/>
                <w:sz w:val="24"/>
                <w:szCs w:val="24"/>
              </w:rPr>
              <w:t>3.34</w:t>
            </w:r>
          </w:p>
        </w:tc>
        <w:tc>
          <w:tcPr>
            <w:tcW w:w="149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_GB2312" w:hAnsi="仿宋_GB2312" w:eastAsia="仿宋_GB2312" w:cs="仿宋_GB2312"/>
                <w:b w:val="0"/>
                <w:bCs w:val="0"/>
                <w:color w:val="121212"/>
                <w:sz w:val="24"/>
                <w:szCs w:val="24"/>
              </w:rPr>
            </w:pPr>
            <w:r>
              <w:rPr>
                <w:rFonts w:hint="eastAsia" w:ascii="仿宋_GB2312" w:hAnsi="仿宋_GB2312" w:eastAsia="仿宋_GB2312" w:cs="仿宋_GB2312"/>
                <w:b w:val="0"/>
                <w:bCs w:val="0"/>
                <w:color w:val="121212"/>
                <w:sz w:val="24"/>
                <w:szCs w:val="24"/>
              </w:rPr>
              <w:t>4</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b w:val="0"/>
                <w:bCs w:val="0"/>
                <w:color w:val="121212"/>
                <w:sz w:val="24"/>
                <w:szCs w:val="24"/>
              </w:rPr>
            </w:pPr>
            <w:r>
              <w:rPr>
                <w:rFonts w:hint="eastAsia" w:ascii="仿宋_GB2312" w:hAnsi="仿宋_GB2312" w:eastAsia="仿宋_GB2312" w:cs="仿宋_GB2312"/>
                <w:b w:val="0"/>
                <w:bCs w:val="0"/>
                <w:color w:val="121212"/>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0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b w:val="0"/>
                <w:bCs w:val="0"/>
                <w:color w:val="121212"/>
                <w:sz w:val="24"/>
                <w:szCs w:val="24"/>
              </w:rPr>
            </w:pPr>
            <w:r>
              <w:rPr>
                <w:rFonts w:hint="eastAsia" w:ascii="仿宋_GB2312" w:hAnsi="仿宋_GB2312" w:eastAsia="仿宋_GB2312" w:cs="仿宋_GB2312"/>
                <w:b w:val="0"/>
                <w:bCs w:val="0"/>
                <w:color w:val="121212"/>
                <w:sz w:val="24"/>
                <w:szCs w:val="24"/>
              </w:rPr>
              <w:t>5.公证服务</w:t>
            </w:r>
          </w:p>
        </w:tc>
        <w:tc>
          <w:tcPr>
            <w:tcW w:w="35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b w:val="0"/>
                <w:bCs w:val="0"/>
                <w:color w:val="121212"/>
                <w:sz w:val="24"/>
                <w:szCs w:val="24"/>
              </w:rPr>
            </w:pPr>
            <w:r>
              <w:rPr>
                <w:rFonts w:hint="eastAsia" w:ascii="仿宋_GB2312" w:hAnsi="仿宋_GB2312" w:eastAsia="仿宋_GB2312" w:cs="仿宋_GB2312"/>
                <w:b w:val="0"/>
                <w:bCs w:val="0"/>
                <w:color w:val="121212"/>
                <w:sz w:val="24"/>
                <w:szCs w:val="24"/>
              </w:rPr>
              <w:t>标准化公证机构覆盖率 （%）</w:t>
            </w:r>
          </w:p>
        </w:tc>
        <w:tc>
          <w:tcPr>
            <w:tcW w:w="158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_GB2312" w:hAnsi="仿宋_GB2312" w:eastAsia="仿宋_GB2312" w:cs="仿宋_GB2312"/>
                <w:b w:val="0"/>
                <w:bCs w:val="0"/>
                <w:color w:val="121212"/>
                <w:sz w:val="24"/>
                <w:szCs w:val="24"/>
              </w:rPr>
            </w:pPr>
            <w:r>
              <w:rPr>
                <w:rFonts w:hint="eastAsia" w:ascii="仿宋_GB2312" w:hAnsi="仿宋_GB2312" w:eastAsia="仿宋_GB2312" w:cs="仿宋_GB2312"/>
                <w:b w:val="0"/>
                <w:bCs w:val="0"/>
                <w:color w:val="121212"/>
                <w:sz w:val="24"/>
                <w:szCs w:val="24"/>
              </w:rPr>
              <w:t>7</w:t>
            </w:r>
          </w:p>
        </w:tc>
        <w:tc>
          <w:tcPr>
            <w:tcW w:w="149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_GB2312" w:hAnsi="仿宋_GB2312" w:eastAsia="仿宋_GB2312" w:cs="仿宋_GB2312"/>
                <w:b w:val="0"/>
                <w:bCs w:val="0"/>
                <w:color w:val="121212"/>
                <w:sz w:val="24"/>
                <w:szCs w:val="24"/>
              </w:rPr>
            </w:pPr>
            <w:r>
              <w:rPr>
                <w:rFonts w:hint="eastAsia" w:ascii="仿宋_GB2312" w:hAnsi="仿宋_GB2312" w:eastAsia="仿宋_GB2312" w:cs="仿宋_GB2312"/>
                <w:b w:val="0"/>
                <w:bCs w:val="0"/>
                <w:color w:val="121212"/>
                <w:sz w:val="24"/>
                <w:szCs w:val="24"/>
              </w:rPr>
              <w:t>90</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b w:val="0"/>
                <w:bCs w:val="0"/>
                <w:color w:val="121212"/>
                <w:sz w:val="24"/>
                <w:szCs w:val="24"/>
              </w:rPr>
            </w:pPr>
            <w:r>
              <w:rPr>
                <w:rFonts w:hint="eastAsia" w:ascii="仿宋_GB2312" w:hAnsi="仿宋_GB2312" w:eastAsia="仿宋_GB2312" w:cs="仿宋_GB2312"/>
                <w:b w:val="0"/>
                <w:bCs w:val="0"/>
                <w:color w:val="121212"/>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0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b w:val="0"/>
                <w:bCs w:val="0"/>
                <w:color w:val="121212"/>
                <w:sz w:val="24"/>
                <w:szCs w:val="24"/>
              </w:rPr>
            </w:pPr>
            <w:r>
              <w:rPr>
                <w:rFonts w:hint="eastAsia" w:ascii="仿宋_GB2312" w:hAnsi="仿宋_GB2312" w:eastAsia="仿宋_GB2312" w:cs="仿宋_GB2312"/>
                <w:b w:val="0"/>
                <w:bCs w:val="0"/>
                <w:color w:val="121212"/>
                <w:sz w:val="24"/>
                <w:szCs w:val="24"/>
                <w:lang w:val="en-US" w:eastAsia="zh-CN"/>
              </w:rPr>
              <w:t>6</w:t>
            </w:r>
            <w:r>
              <w:rPr>
                <w:rFonts w:hint="eastAsia" w:ascii="仿宋_GB2312" w:hAnsi="仿宋_GB2312" w:eastAsia="仿宋_GB2312" w:cs="仿宋_GB2312"/>
                <w:b w:val="0"/>
                <w:bCs w:val="0"/>
                <w:color w:val="121212"/>
                <w:sz w:val="24"/>
                <w:szCs w:val="24"/>
              </w:rPr>
              <w:t>.司法鉴定服务</w:t>
            </w:r>
          </w:p>
        </w:tc>
        <w:tc>
          <w:tcPr>
            <w:tcW w:w="35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b w:val="0"/>
                <w:bCs w:val="0"/>
                <w:color w:val="121212"/>
                <w:sz w:val="24"/>
                <w:szCs w:val="24"/>
              </w:rPr>
            </w:pPr>
            <w:r>
              <w:rPr>
                <w:rFonts w:hint="eastAsia" w:ascii="仿宋_GB2312" w:hAnsi="仿宋_GB2312" w:eastAsia="仿宋_GB2312" w:cs="仿宋_GB2312"/>
                <w:b w:val="0"/>
                <w:bCs w:val="0"/>
                <w:color w:val="121212"/>
                <w:sz w:val="24"/>
                <w:szCs w:val="24"/>
              </w:rPr>
              <w:t>通过国家级资质</w:t>
            </w:r>
            <w:r>
              <w:rPr>
                <w:rFonts w:hint="eastAsia" w:ascii="仿宋_GB2312" w:hAnsi="仿宋_GB2312" w:eastAsia="仿宋_GB2312" w:cs="仿宋_GB2312"/>
                <w:b w:val="0"/>
                <w:bCs w:val="0"/>
                <w:color w:val="121212"/>
                <w:sz w:val="24"/>
                <w:szCs w:val="24"/>
                <w:lang w:eastAsia="zh-CN"/>
              </w:rPr>
              <w:t>认证</w:t>
            </w:r>
            <w:r>
              <w:rPr>
                <w:rFonts w:hint="eastAsia" w:ascii="仿宋_GB2312" w:hAnsi="仿宋_GB2312" w:eastAsia="仿宋_GB2312" w:cs="仿宋_GB2312"/>
                <w:b w:val="0"/>
                <w:bCs w:val="0"/>
                <w:color w:val="121212"/>
                <w:sz w:val="24"/>
                <w:szCs w:val="24"/>
              </w:rPr>
              <w:t>认可（CMA</w:t>
            </w:r>
            <w:r>
              <w:rPr>
                <w:rFonts w:hint="eastAsia" w:ascii="仿宋_GB2312" w:hAnsi="仿宋_GB2312" w:eastAsia="仿宋_GB2312" w:cs="仿宋_GB2312"/>
                <w:b w:val="0"/>
                <w:bCs w:val="0"/>
                <w:color w:val="121212"/>
                <w:sz w:val="24"/>
                <w:szCs w:val="24"/>
                <w:lang w:eastAsia="zh-CN"/>
              </w:rPr>
              <w:t>、</w:t>
            </w:r>
            <w:r>
              <w:rPr>
                <w:rFonts w:hint="eastAsia" w:ascii="仿宋_GB2312" w:hAnsi="仿宋_GB2312" w:eastAsia="仿宋_GB2312" w:cs="仿宋_GB2312"/>
                <w:b w:val="0"/>
                <w:bCs w:val="0"/>
                <w:color w:val="121212"/>
                <w:sz w:val="24"/>
                <w:szCs w:val="24"/>
              </w:rPr>
              <w:t>CNAS）的</w:t>
            </w:r>
            <w:r>
              <w:rPr>
                <w:rFonts w:hint="eastAsia" w:ascii="仿宋_GB2312" w:hAnsi="仿宋_GB2312" w:eastAsia="仿宋_GB2312" w:cs="仿宋_GB2312"/>
                <w:b w:val="0"/>
                <w:bCs w:val="0"/>
                <w:color w:val="121212"/>
                <w:sz w:val="24"/>
                <w:szCs w:val="24"/>
                <w:lang w:eastAsia="zh-CN"/>
              </w:rPr>
              <w:t>司法</w:t>
            </w:r>
            <w:r>
              <w:rPr>
                <w:rFonts w:hint="eastAsia" w:ascii="仿宋_GB2312" w:hAnsi="仿宋_GB2312" w:eastAsia="仿宋_GB2312" w:cs="仿宋_GB2312"/>
                <w:b w:val="0"/>
                <w:bCs w:val="0"/>
                <w:color w:val="121212"/>
                <w:sz w:val="24"/>
                <w:szCs w:val="24"/>
              </w:rPr>
              <w:t>鉴定机构</w:t>
            </w:r>
            <w:r>
              <w:rPr>
                <w:rFonts w:hint="eastAsia" w:ascii="仿宋_GB2312" w:hAnsi="仿宋_GB2312" w:eastAsia="仿宋_GB2312" w:cs="仿宋_GB2312"/>
                <w:b w:val="0"/>
                <w:bCs w:val="0"/>
                <w:color w:val="121212"/>
                <w:sz w:val="24"/>
                <w:szCs w:val="24"/>
                <w:lang w:eastAsia="zh-CN"/>
              </w:rPr>
              <w:t>数</w:t>
            </w:r>
          </w:p>
        </w:tc>
        <w:tc>
          <w:tcPr>
            <w:tcW w:w="158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_GB2312" w:hAnsi="仿宋_GB2312" w:eastAsia="仿宋_GB2312" w:cs="仿宋_GB2312"/>
                <w:b w:val="0"/>
                <w:bCs w:val="0"/>
                <w:color w:val="121212"/>
                <w:sz w:val="24"/>
                <w:szCs w:val="24"/>
                <w:lang w:val="en-US" w:eastAsia="zh-CN"/>
              </w:rPr>
            </w:pPr>
            <w:r>
              <w:rPr>
                <w:rFonts w:hint="eastAsia" w:ascii="仿宋_GB2312" w:hAnsi="仿宋_GB2312" w:eastAsia="仿宋_GB2312" w:cs="仿宋_GB2312"/>
                <w:b w:val="0"/>
                <w:bCs w:val="0"/>
                <w:color w:val="121212"/>
                <w:sz w:val="24"/>
                <w:szCs w:val="24"/>
                <w:lang w:val="en-US" w:eastAsia="zh-CN"/>
              </w:rPr>
              <w:t>9</w:t>
            </w:r>
          </w:p>
        </w:tc>
        <w:tc>
          <w:tcPr>
            <w:tcW w:w="149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_GB2312" w:hAnsi="仿宋_GB2312" w:eastAsia="仿宋_GB2312" w:cs="仿宋_GB2312"/>
                <w:b w:val="0"/>
                <w:bCs w:val="0"/>
                <w:color w:val="121212"/>
                <w:sz w:val="24"/>
                <w:szCs w:val="24"/>
                <w:lang w:val="en-US" w:eastAsia="zh-CN"/>
              </w:rPr>
            </w:pPr>
            <w:r>
              <w:rPr>
                <w:rFonts w:hint="eastAsia" w:ascii="仿宋_GB2312" w:hAnsi="仿宋_GB2312" w:eastAsia="仿宋_GB2312" w:cs="仿宋_GB2312"/>
                <w:b w:val="0"/>
                <w:bCs w:val="0"/>
                <w:color w:val="121212"/>
                <w:sz w:val="24"/>
                <w:szCs w:val="24"/>
                <w:lang w:val="en-US" w:eastAsia="zh-CN"/>
              </w:rPr>
              <w:t>15</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b w:val="0"/>
                <w:bCs w:val="0"/>
                <w:color w:val="121212"/>
                <w:sz w:val="24"/>
                <w:szCs w:val="24"/>
              </w:rPr>
            </w:pPr>
            <w:r>
              <w:rPr>
                <w:rFonts w:hint="eastAsia" w:ascii="仿宋_GB2312" w:hAnsi="仿宋_GB2312" w:eastAsia="仿宋_GB2312" w:cs="仿宋_GB2312"/>
                <w:b w:val="0"/>
                <w:bCs w:val="0"/>
                <w:color w:val="121212"/>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0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b w:val="0"/>
                <w:bCs w:val="0"/>
                <w:color w:val="121212"/>
                <w:sz w:val="24"/>
                <w:szCs w:val="24"/>
              </w:rPr>
            </w:pPr>
            <w:r>
              <w:rPr>
                <w:rFonts w:hint="eastAsia" w:ascii="仿宋_GB2312" w:hAnsi="仿宋_GB2312" w:eastAsia="仿宋_GB2312" w:cs="仿宋_GB2312"/>
                <w:b w:val="0"/>
                <w:bCs w:val="0"/>
                <w:color w:val="121212"/>
                <w:sz w:val="24"/>
                <w:szCs w:val="24"/>
                <w:lang w:val="en-US" w:eastAsia="zh-CN"/>
              </w:rPr>
              <w:t>7</w:t>
            </w:r>
            <w:r>
              <w:rPr>
                <w:rFonts w:hint="eastAsia" w:ascii="仿宋_GB2312" w:hAnsi="仿宋_GB2312" w:eastAsia="仿宋_GB2312" w:cs="仿宋_GB2312"/>
                <w:b w:val="0"/>
                <w:bCs w:val="0"/>
                <w:color w:val="121212"/>
                <w:sz w:val="24"/>
                <w:szCs w:val="24"/>
              </w:rPr>
              <w:t>.仲裁服务</w:t>
            </w:r>
          </w:p>
        </w:tc>
        <w:tc>
          <w:tcPr>
            <w:tcW w:w="35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b w:val="0"/>
                <w:bCs w:val="0"/>
                <w:color w:val="121212"/>
                <w:sz w:val="24"/>
                <w:szCs w:val="24"/>
              </w:rPr>
            </w:pPr>
            <w:r>
              <w:rPr>
                <w:rFonts w:hint="eastAsia" w:ascii="仿宋_GB2312" w:hAnsi="仿宋_GB2312" w:eastAsia="仿宋_GB2312" w:cs="仿宋_GB2312"/>
                <w:b w:val="0"/>
                <w:bCs w:val="0"/>
                <w:color w:val="121212"/>
                <w:sz w:val="24"/>
                <w:szCs w:val="24"/>
              </w:rPr>
              <w:t>标准化、信息化仲裁机构覆盖率（%）</w:t>
            </w:r>
          </w:p>
        </w:tc>
        <w:tc>
          <w:tcPr>
            <w:tcW w:w="158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_GB2312" w:hAnsi="仿宋_GB2312" w:eastAsia="仿宋_GB2312" w:cs="仿宋_GB2312"/>
                <w:b w:val="0"/>
                <w:bCs w:val="0"/>
                <w:color w:val="121212"/>
                <w:sz w:val="24"/>
                <w:szCs w:val="24"/>
              </w:rPr>
            </w:pPr>
            <w:r>
              <w:rPr>
                <w:rFonts w:hint="eastAsia" w:ascii="仿宋_GB2312" w:hAnsi="仿宋_GB2312" w:eastAsia="仿宋_GB2312" w:cs="仿宋_GB2312"/>
                <w:b w:val="0"/>
                <w:bCs w:val="0"/>
                <w:color w:val="121212"/>
                <w:sz w:val="24"/>
                <w:szCs w:val="24"/>
              </w:rPr>
              <w:t>6</w:t>
            </w:r>
          </w:p>
        </w:tc>
        <w:tc>
          <w:tcPr>
            <w:tcW w:w="149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default" w:ascii="仿宋_GB2312" w:hAnsi="仿宋_GB2312" w:eastAsia="仿宋_GB2312" w:cs="仿宋_GB2312"/>
                <w:b w:val="0"/>
                <w:bCs w:val="0"/>
                <w:color w:val="121212"/>
                <w:sz w:val="24"/>
                <w:szCs w:val="24"/>
                <w:lang w:val="en-US" w:eastAsia="zh-CN"/>
              </w:rPr>
            </w:pPr>
            <w:r>
              <w:rPr>
                <w:rFonts w:hint="eastAsia" w:ascii="仿宋_GB2312" w:hAnsi="仿宋_GB2312" w:eastAsia="仿宋_GB2312" w:cs="仿宋_GB2312"/>
                <w:b w:val="0"/>
                <w:bCs w:val="0"/>
                <w:color w:val="121212"/>
                <w:sz w:val="24"/>
                <w:szCs w:val="24"/>
                <w:lang w:val="en-US" w:eastAsia="zh-CN"/>
              </w:rPr>
              <w:t>90</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b w:val="0"/>
                <w:bCs w:val="0"/>
                <w:color w:val="121212"/>
                <w:sz w:val="24"/>
                <w:szCs w:val="24"/>
              </w:rPr>
            </w:pPr>
            <w:r>
              <w:rPr>
                <w:rFonts w:hint="eastAsia" w:ascii="仿宋_GB2312" w:hAnsi="仿宋_GB2312" w:eastAsia="仿宋_GB2312" w:cs="仿宋_GB2312"/>
                <w:b w:val="0"/>
                <w:bCs w:val="0"/>
                <w:color w:val="121212"/>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02"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b w:val="0"/>
                <w:bCs w:val="0"/>
                <w:color w:val="121212"/>
                <w:sz w:val="24"/>
                <w:szCs w:val="24"/>
              </w:rPr>
            </w:pPr>
            <w:r>
              <w:rPr>
                <w:rFonts w:hint="eastAsia" w:ascii="仿宋_GB2312" w:hAnsi="仿宋_GB2312" w:eastAsia="仿宋_GB2312" w:cs="仿宋_GB2312"/>
                <w:b w:val="0"/>
                <w:bCs w:val="0"/>
                <w:color w:val="121212"/>
                <w:sz w:val="24"/>
                <w:szCs w:val="24"/>
                <w:lang w:val="en-US" w:eastAsia="zh-CN"/>
              </w:rPr>
              <w:t>8</w:t>
            </w:r>
            <w:r>
              <w:rPr>
                <w:rFonts w:hint="eastAsia" w:ascii="仿宋_GB2312" w:hAnsi="仿宋_GB2312" w:eastAsia="仿宋_GB2312" w:cs="仿宋_GB2312"/>
                <w:b w:val="0"/>
                <w:bCs w:val="0"/>
                <w:color w:val="121212"/>
                <w:sz w:val="24"/>
                <w:szCs w:val="24"/>
              </w:rPr>
              <w:t>.监狱服务</w:t>
            </w:r>
          </w:p>
        </w:tc>
        <w:tc>
          <w:tcPr>
            <w:tcW w:w="35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b w:val="0"/>
                <w:bCs w:val="0"/>
                <w:color w:val="121212"/>
                <w:sz w:val="24"/>
                <w:szCs w:val="24"/>
              </w:rPr>
            </w:pPr>
            <w:r>
              <w:rPr>
                <w:rFonts w:hint="eastAsia" w:ascii="仿宋_GB2312" w:hAnsi="仿宋_GB2312" w:eastAsia="仿宋_GB2312" w:cs="仿宋_GB2312"/>
                <w:b w:val="0"/>
                <w:bCs w:val="0"/>
                <w:color w:val="121212"/>
                <w:sz w:val="24"/>
                <w:szCs w:val="24"/>
              </w:rPr>
              <w:t>全省押犯监狱公共法律服务中心建成率（%）</w:t>
            </w:r>
          </w:p>
        </w:tc>
        <w:tc>
          <w:tcPr>
            <w:tcW w:w="158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_GB2312" w:hAnsi="仿宋_GB2312" w:eastAsia="仿宋_GB2312" w:cs="仿宋_GB2312"/>
                <w:b w:val="0"/>
                <w:bCs w:val="0"/>
                <w:color w:val="121212"/>
                <w:sz w:val="24"/>
                <w:szCs w:val="24"/>
              </w:rPr>
            </w:pPr>
            <w:r>
              <w:rPr>
                <w:rFonts w:hint="eastAsia" w:ascii="仿宋_GB2312" w:hAnsi="仿宋_GB2312" w:eastAsia="仿宋_GB2312" w:cs="仿宋_GB2312"/>
                <w:b w:val="0"/>
                <w:bCs w:val="0"/>
                <w:color w:val="121212"/>
                <w:sz w:val="24"/>
                <w:szCs w:val="24"/>
              </w:rPr>
              <w:t>69</w:t>
            </w:r>
          </w:p>
        </w:tc>
        <w:tc>
          <w:tcPr>
            <w:tcW w:w="149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_GB2312" w:hAnsi="仿宋_GB2312" w:eastAsia="仿宋_GB2312" w:cs="仿宋_GB2312"/>
                <w:b w:val="0"/>
                <w:bCs w:val="0"/>
                <w:color w:val="121212"/>
                <w:sz w:val="24"/>
                <w:szCs w:val="24"/>
              </w:rPr>
            </w:pPr>
            <w:r>
              <w:rPr>
                <w:rFonts w:hint="eastAsia" w:ascii="仿宋_GB2312" w:hAnsi="仿宋_GB2312" w:eastAsia="仿宋_GB2312" w:cs="仿宋_GB2312"/>
                <w:b w:val="0"/>
                <w:bCs w:val="0"/>
                <w:color w:val="121212"/>
                <w:sz w:val="24"/>
                <w:szCs w:val="24"/>
              </w:rPr>
              <w:t>100</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b w:val="0"/>
                <w:bCs w:val="0"/>
                <w:color w:val="121212"/>
                <w:sz w:val="24"/>
                <w:szCs w:val="24"/>
              </w:rPr>
            </w:pPr>
            <w:r>
              <w:rPr>
                <w:rFonts w:hint="eastAsia" w:ascii="仿宋_GB2312" w:hAnsi="仿宋_GB2312" w:eastAsia="仿宋_GB2312" w:cs="仿宋_GB2312"/>
                <w:b w:val="0"/>
                <w:bCs w:val="0"/>
                <w:color w:val="121212"/>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0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_GB2312" w:hAnsi="仿宋_GB2312" w:eastAsia="仿宋_GB2312" w:cs="仿宋_GB2312"/>
                <w:b w:val="0"/>
                <w:bCs w:val="0"/>
                <w:color w:val="121212"/>
                <w:sz w:val="24"/>
                <w:szCs w:val="24"/>
              </w:rPr>
            </w:pPr>
          </w:p>
        </w:tc>
        <w:tc>
          <w:tcPr>
            <w:tcW w:w="35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b w:val="0"/>
                <w:bCs w:val="0"/>
                <w:color w:val="121212"/>
                <w:sz w:val="24"/>
                <w:szCs w:val="24"/>
              </w:rPr>
            </w:pPr>
            <w:r>
              <w:rPr>
                <w:rFonts w:hint="eastAsia" w:ascii="仿宋_GB2312" w:hAnsi="仿宋_GB2312" w:eastAsia="仿宋_GB2312" w:cs="仿宋_GB2312"/>
                <w:b w:val="0"/>
                <w:bCs w:val="0"/>
                <w:color w:val="121212"/>
                <w:sz w:val="24"/>
                <w:szCs w:val="24"/>
              </w:rPr>
              <w:t>智能服务覆盖率（%）</w:t>
            </w:r>
          </w:p>
        </w:tc>
        <w:tc>
          <w:tcPr>
            <w:tcW w:w="158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_GB2312" w:hAnsi="仿宋_GB2312" w:eastAsia="仿宋_GB2312" w:cs="仿宋_GB2312"/>
                <w:b w:val="0"/>
                <w:bCs w:val="0"/>
                <w:color w:val="121212"/>
                <w:sz w:val="24"/>
                <w:szCs w:val="24"/>
              </w:rPr>
            </w:pPr>
            <w:r>
              <w:rPr>
                <w:rFonts w:hint="eastAsia" w:ascii="仿宋_GB2312" w:hAnsi="仿宋_GB2312" w:eastAsia="仿宋_GB2312" w:cs="仿宋_GB2312"/>
                <w:b w:val="0"/>
                <w:bCs w:val="0"/>
                <w:color w:val="121212"/>
                <w:sz w:val="24"/>
                <w:szCs w:val="24"/>
              </w:rPr>
              <w:t>9</w:t>
            </w:r>
          </w:p>
        </w:tc>
        <w:tc>
          <w:tcPr>
            <w:tcW w:w="149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_GB2312" w:hAnsi="仿宋_GB2312" w:eastAsia="仿宋_GB2312" w:cs="仿宋_GB2312"/>
                <w:b w:val="0"/>
                <w:bCs w:val="0"/>
                <w:color w:val="121212"/>
                <w:sz w:val="24"/>
                <w:szCs w:val="24"/>
              </w:rPr>
            </w:pPr>
            <w:r>
              <w:rPr>
                <w:rFonts w:hint="eastAsia" w:ascii="仿宋_GB2312" w:hAnsi="仿宋_GB2312" w:eastAsia="仿宋_GB2312" w:cs="仿宋_GB2312"/>
                <w:b w:val="0"/>
                <w:bCs w:val="0"/>
                <w:color w:val="121212"/>
                <w:sz w:val="24"/>
                <w:szCs w:val="24"/>
              </w:rPr>
              <w:t>100</w:t>
            </w: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_GB2312" w:hAnsi="仿宋_GB2312" w:eastAsia="仿宋_GB2312" w:cs="仿宋_GB2312"/>
                <w:b w:val="0"/>
                <w:bCs w:val="0"/>
                <w:color w:val="1212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0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b w:val="0"/>
                <w:bCs w:val="0"/>
                <w:color w:val="121212"/>
                <w:sz w:val="24"/>
                <w:szCs w:val="24"/>
              </w:rPr>
            </w:pPr>
            <w:r>
              <w:rPr>
                <w:rFonts w:hint="eastAsia" w:ascii="仿宋_GB2312" w:hAnsi="仿宋_GB2312" w:eastAsia="仿宋_GB2312" w:cs="仿宋_GB2312"/>
                <w:b w:val="0"/>
                <w:bCs w:val="0"/>
                <w:color w:val="121212"/>
                <w:sz w:val="24"/>
                <w:szCs w:val="24"/>
                <w:lang w:val="en-US" w:eastAsia="zh-CN"/>
              </w:rPr>
              <w:t>9</w:t>
            </w:r>
            <w:r>
              <w:rPr>
                <w:rFonts w:hint="eastAsia" w:ascii="仿宋_GB2312" w:hAnsi="仿宋_GB2312" w:eastAsia="仿宋_GB2312" w:cs="仿宋_GB2312"/>
                <w:b w:val="0"/>
                <w:bCs w:val="0"/>
                <w:color w:val="121212"/>
                <w:sz w:val="24"/>
                <w:szCs w:val="24"/>
              </w:rPr>
              <w:t>.戒毒服务</w:t>
            </w:r>
          </w:p>
        </w:tc>
        <w:tc>
          <w:tcPr>
            <w:tcW w:w="35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b w:val="0"/>
                <w:bCs w:val="0"/>
                <w:color w:val="121212"/>
                <w:sz w:val="24"/>
                <w:szCs w:val="24"/>
              </w:rPr>
            </w:pPr>
            <w:r>
              <w:rPr>
                <w:rFonts w:hint="eastAsia" w:ascii="仿宋_GB2312" w:hAnsi="仿宋_GB2312" w:eastAsia="仿宋_GB2312" w:cs="仿宋_GB2312"/>
                <w:b w:val="0"/>
                <w:bCs w:val="0"/>
                <w:color w:val="121212"/>
                <w:sz w:val="24"/>
                <w:szCs w:val="24"/>
              </w:rPr>
              <w:t>司法行政戒毒场所</w:t>
            </w:r>
            <w:r>
              <w:rPr>
                <w:rFonts w:hint="eastAsia" w:ascii="仿宋_GB2312" w:hAnsi="仿宋_GB2312" w:eastAsia="仿宋_GB2312" w:cs="仿宋_GB2312"/>
                <w:b w:val="0"/>
                <w:bCs w:val="0"/>
                <w:color w:val="121212"/>
                <w:sz w:val="24"/>
                <w:szCs w:val="24"/>
                <w:lang w:eastAsia="zh-CN"/>
              </w:rPr>
              <w:t>（</w:t>
            </w:r>
            <w:r>
              <w:rPr>
                <w:rFonts w:hint="eastAsia" w:ascii="仿宋_GB2312" w:hAnsi="仿宋_GB2312" w:eastAsia="仿宋_GB2312" w:cs="仿宋_GB2312"/>
                <w:b w:val="0"/>
                <w:bCs w:val="0"/>
                <w:color w:val="121212"/>
                <w:sz w:val="24"/>
                <w:szCs w:val="24"/>
              </w:rPr>
              <w:t>实现收治</w:t>
            </w:r>
            <w:r>
              <w:rPr>
                <w:rFonts w:hint="eastAsia" w:ascii="仿宋_GB2312" w:hAnsi="仿宋_GB2312" w:eastAsia="仿宋_GB2312" w:cs="仿宋_GB2312"/>
                <w:b w:val="0"/>
                <w:bCs w:val="0"/>
                <w:color w:val="121212"/>
                <w:sz w:val="24"/>
                <w:szCs w:val="24"/>
                <w:lang w:val="en-US" w:eastAsia="zh-CN"/>
              </w:rPr>
              <w:t>）</w:t>
            </w:r>
            <w:r>
              <w:rPr>
                <w:rFonts w:hint="eastAsia" w:ascii="仿宋_GB2312" w:hAnsi="仿宋_GB2312" w:eastAsia="仿宋_GB2312" w:cs="仿宋_GB2312"/>
                <w:b w:val="0"/>
                <w:bCs w:val="0"/>
                <w:color w:val="121212"/>
                <w:sz w:val="24"/>
                <w:szCs w:val="24"/>
              </w:rPr>
              <w:t>公共法律服务中心建成率（%）</w:t>
            </w:r>
          </w:p>
        </w:tc>
        <w:tc>
          <w:tcPr>
            <w:tcW w:w="158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_GB2312" w:hAnsi="仿宋_GB2312" w:eastAsia="仿宋_GB2312" w:cs="仿宋_GB2312"/>
                <w:b w:val="0"/>
                <w:bCs w:val="0"/>
                <w:color w:val="121212"/>
                <w:sz w:val="24"/>
                <w:szCs w:val="24"/>
              </w:rPr>
            </w:pPr>
            <w:r>
              <w:rPr>
                <w:rFonts w:hint="eastAsia" w:ascii="仿宋_GB2312" w:hAnsi="仿宋_GB2312" w:eastAsia="仿宋_GB2312" w:cs="仿宋_GB2312"/>
                <w:b w:val="0"/>
                <w:bCs w:val="0"/>
                <w:color w:val="121212"/>
                <w:sz w:val="24"/>
                <w:szCs w:val="24"/>
              </w:rPr>
              <w:t>50</w:t>
            </w:r>
          </w:p>
        </w:tc>
        <w:tc>
          <w:tcPr>
            <w:tcW w:w="149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_GB2312" w:hAnsi="仿宋_GB2312" w:eastAsia="仿宋_GB2312" w:cs="仿宋_GB2312"/>
                <w:b w:val="0"/>
                <w:bCs w:val="0"/>
                <w:color w:val="121212"/>
                <w:sz w:val="24"/>
                <w:szCs w:val="24"/>
              </w:rPr>
            </w:pPr>
            <w:r>
              <w:rPr>
                <w:rFonts w:hint="eastAsia" w:ascii="仿宋_GB2312" w:hAnsi="仿宋_GB2312" w:eastAsia="仿宋_GB2312" w:cs="仿宋_GB2312"/>
                <w:b w:val="0"/>
                <w:bCs w:val="0"/>
                <w:color w:val="121212"/>
                <w:sz w:val="24"/>
                <w:szCs w:val="24"/>
              </w:rPr>
              <w:t>100</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b w:val="0"/>
                <w:bCs w:val="0"/>
                <w:color w:val="121212"/>
                <w:sz w:val="24"/>
                <w:szCs w:val="24"/>
              </w:rPr>
            </w:pPr>
            <w:r>
              <w:rPr>
                <w:rFonts w:hint="eastAsia" w:ascii="仿宋_GB2312" w:hAnsi="仿宋_GB2312" w:eastAsia="仿宋_GB2312" w:cs="仿宋_GB2312"/>
                <w:b w:val="0"/>
                <w:bCs w:val="0"/>
                <w:color w:val="121212"/>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40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b w:val="0"/>
                <w:bCs w:val="0"/>
                <w:color w:val="121212"/>
                <w:sz w:val="24"/>
                <w:szCs w:val="24"/>
              </w:rPr>
            </w:pPr>
            <w:r>
              <w:rPr>
                <w:rFonts w:hint="eastAsia" w:ascii="仿宋_GB2312" w:hAnsi="仿宋_GB2312" w:eastAsia="仿宋_GB2312" w:cs="仿宋_GB2312"/>
                <w:b w:val="0"/>
                <w:bCs w:val="0"/>
                <w:color w:val="121212"/>
                <w:sz w:val="24"/>
                <w:szCs w:val="24"/>
                <w:lang w:val="en-US" w:eastAsia="zh-CN"/>
              </w:rPr>
              <w:t>10</w:t>
            </w:r>
            <w:r>
              <w:rPr>
                <w:rFonts w:hint="eastAsia" w:ascii="仿宋_GB2312" w:hAnsi="仿宋_GB2312" w:eastAsia="仿宋_GB2312" w:cs="仿宋_GB2312"/>
                <w:b w:val="0"/>
                <w:bCs w:val="0"/>
                <w:color w:val="121212"/>
                <w:sz w:val="24"/>
                <w:szCs w:val="24"/>
              </w:rPr>
              <w:t>.公共法律服务平台建设</w:t>
            </w:r>
          </w:p>
        </w:tc>
        <w:tc>
          <w:tcPr>
            <w:tcW w:w="35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b w:val="0"/>
                <w:bCs w:val="0"/>
                <w:color w:val="121212"/>
                <w:sz w:val="24"/>
                <w:szCs w:val="24"/>
              </w:rPr>
            </w:pPr>
            <w:r>
              <w:rPr>
                <w:rFonts w:hint="eastAsia" w:ascii="仿宋_GB2312" w:hAnsi="仿宋_GB2312" w:eastAsia="仿宋_GB2312" w:cs="仿宋_GB2312"/>
                <w:b w:val="0"/>
                <w:bCs w:val="0"/>
                <w:color w:val="121212"/>
                <w:sz w:val="24"/>
                <w:szCs w:val="24"/>
              </w:rPr>
              <w:t>热线</w:t>
            </w:r>
            <w:r>
              <w:rPr>
                <w:rFonts w:hint="eastAsia" w:ascii="仿宋_GB2312" w:hAnsi="仿宋_GB2312" w:eastAsia="仿宋_GB2312" w:cs="仿宋_GB2312"/>
                <w:b w:val="0"/>
                <w:bCs w:val="0"/>
                <w:color w:val="121212"/>
                <w:sz w:val="24"/>
                <w:szCs w:val="24"/>
                <w:lang w:eastAsia="zh-CN"/>
              </w:rPr>
              <w:t>专席</w:t>
            </w:r>
            <w:r>
              <w:rPr>
                <w:rFonts w:hint="eastAsia" w:ascii="仿宋_GB2312" w:hAnsi="仿宋_GB2312" w:eastAsia="仿宋_GB2312" w:cs="仿宋_GB2312"/>
                <w:b w:val="0"/>
                <w:bCs w:val="0"/>
                <w:color w:val="121212"/>
                <w:sz w:val="24"/>
                <w:szCs w:val="24"/>
              </w:rPr>
              <w:t>接通率（%）</w:t>
            </w:r>
          </w:p>
          <w:p>
            <w:pPr>
              <w:spacing w:line="360" w:lineRule="auto"/>
              <w:ind w:firstLine="480" w:firstLineChars="200"/>
              <w:rPr>
                <w:rFonts w:hint="eastAsia" w:ascii="仿宋_GB2312" w:hAnsi="仿宋_GB2312" w:eastAsia="仿宋_GB2312" w:cs="仿宋_GB2312"/>
                <w:b w:val="0"/>
                <w:bCs w:val="0"/>
                <w:color w:val="121212"/>
                <w:sz w:val="24"/>
                <w:szCs w:val="24"/>
              </w:rPr>
            </w:pPr>
          </w:p>
        </w:tc>
        <w:tc>
          <w:tcPr>
            <w:tcW w:w="158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_GB2312" w:hAnsi="仿宋_GB2312" w:eastAsia="仿宋_GB2312" w:cs="仿宋_GB2312"/>
                <w:b w:val="0"/>
                <w:bCs w:val="0"/>
                <w:color w:val="121212"/>
                <w:sz w:val="24"/>
                <w:szCs w:val="24"/>
              </w:rPr>
            </w:pPr>
            <w:r>
              <w:rPr>
                <w:rFonts w:hint="eastAsia" w:ascii="仿宋_GB2312" w:hAnsi="仿宋_GB2312" w:eastAsia="仿宋_GB2312" w:cs="仿宋_GB2312"/>
                <w:b w:val="0"/>
                <w:bCs w:val="0"/>
                <w:color w:val="121212"/>
                <w:sz w:val="24"/>
                <w:szCs w:val="24"/>
              </w:rPr>
              <w:t>72</w:t>
            </w:r>
          </w:p>
        </w:tc>
        <w:tc>
          <w:tcPr>
            <w:tcW w:w="149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_GB2312" w:hAnsi="仿宋_GB2312" w:eastAsia="仿宋_GB2312" w:cs="仿宋_GB2312"/>
                <w:b w:val="0"/>
                <w:bCs w:val="0"/>
                <w:color w:val="121212"/>
                <w:sz w:val="24"/>
                <w:szCs w:val="24"/>
              </w:rPr>
            </w:pPr>
            <w:r>
              <w:rPr>
                <w:rFonts w:hint="eastAsia" w:ascii="仿宋_GB2312" w:hAnsi="仿宋_GB2312" w:eastAsia="仿宋_GB2312" w:cs="仿宋_GB2312"/>
                <w:b w:val="0"/>
                <w:bCs w:val="0"/>
                <w:color w:val="121212"/>
                <w:sz w:val="24"/>
                <w:szCs w:val="24"/>
              </w:rPr>
              <w:t>90</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b w:val="0"/>
                <w:bCs w:val="0"/>
                <w:color w:val="121212"/>
                <w:sz w:val="24"/>
                <w:szCs w:val="24"/>
              </w:rPr>
            </w:pPr>
            <w:r>
              <w:rPr>
                <w:rFonts w:hint="eastAsia" w:ascii="仿宋_GB2312" w:hAnsi="仿宋_GB2312" w:eastAsia="仿宋_GB2312" w:cs="仿宋_GB2312"/>
                <w:b w:val="0"/>
                <w:bCs w:val="0"/>
                <w:color w:val="121212"/>
                <w:sz w:val="24"/>
                <w:szCs w:val="24"/>
              </w:rPr>
              <w:t>预期性</w:t>
            </w:r>
          </w:p>
        </w:tc>
      </w:tr>
    </w:tbl>
    <w:p>
      <w:pPr>
        <w:spacing w:line="360" w:lineRule="auto"/>
        <w:ind w:firstLine="480" w:firstLineChars="200"/>
        <w:rPr>
          <w:rFonts w:hint="eastAsia" w:ascii="仿宋_GB2312" w:hAnsi="仿宋_GB2312" w:eastAsia="仿宋_GB2312" w:cs="仿宋_GB2312"/>
          <w:b w:val="0"/>
          <w:bCs w:val="0"/>
          <w:color w:val="121212"/>
          <w:sz w:val="24"/>
          <w:szCs w:val="24"/>
        </w:rPr>
      </w:pPr>
    </w:p>
    <w:p>
      <w:pPr>
        <w:spacing w:line="360" w:lineRule="auto"/>
        <w:ind w:firstLine="1600" w:firstLineChars="500"/>
        <w:rPr>
          <w:rFonts w:hint="eastAsia" w:ascii="黑体" w:hAnsi="黑体" w:eastAsia="黑体" w:cs="黑体"/>
          <w:color w:val="121212"/>
          <w:kern w:val="44"/>
          <w:sz w:val="32"/>
          <w:szCs w:val="32"/>
          <w:lang w:eastAsia="zh-CN"/>
        </w:rPr>
      </w:pPr>
      <w:bookmarkStart w:id="20" w:name="_Toc5670"/>
      <w:r>
        <w:rPr>
          <w:rFonts w:hint="eastAsia" w:ascii="黑体" w:hAnsi="黑体" w:eastAsia="黑体" w:cs="黑体"/>
          <w:color w:val="121212"/>
          <w:kern w:val="44"/>
          <w:sz w:val="32"/>
          <w:szCs w:val="32"/>
        </w:rPr>
        <w:t>第三章  完善公共法律服务基础设施</w:t>
      </w:r>
      <w:bookmarkEnd w:id="20"/>
      <w:r>
        <w:rPr>
          <w:rFonts w:hint="eastAsia" w:ascii="黑体" w:hAnsi="黑体" w:eastAsia="黑体" w:cs="黑体"/>
          <w:color w:val="121212"/>
          <w:kern w:val="44"/>
          <w:sz w:val="32"/>
          <w:szCs w:val="32"/>
          <w:lang w:eastAsia="zh-CN"/>
        </w:rPr>
        <w:t>条件</w:t>
      </w:r>
    </w:p>
    <w:p>
      <w:pPr>
        <w:spacing w:line="360" w:lineRule="auto"/>
        <w:ind w:firstLine="1606" w:firstLineChars="500"/>
        <w:rPr>
          <w:rFonts w:hint="eastAsia" w:ascii="楷体_GB2312" w:hAnsi="楷体_GB2312" w:eastAsia="楷体_GB2312" w:cs="楷体_GB2312"/>
          <w:b/>
          <w:bCs/>
          <w:color w:val="121212"/>
          <w:sz w:val="32"/>
          <w:szCs w:val="32"/>
        </w:rPr>
      </w:pPr>
      <w:bookmarkStart w:id="21" w:name="_Toc32373"/>
      <w:r>
        <w:rPr>
          <w:rFonts w:hint="eastAsia" w:ascii="楷体_GB2312" w:hAnsi="楷体_GB2312" w:eastAsia="楷体_GB2312" w:cs="楷体_GB2312"/>
          <w:b/>
          <w:bCs/>
          <w:color w:val="121212"/>
          <w:sz w:val="32"/>
          <w:szCs w:val="32"/>
        </w:rPr>
        <w:t>第</w:t>
      </w:r>
      <w:r>
        <w:rPr>
          <w:rFonts w:hint="eastAsia" w:ascii="楷体_GB2312" w:hAnsi="楷体_GB2312" w:eastAsia="楷体_GB2312" w:cs="楷体_GB2312"/>
          <w:b/>
          <w:bCs/>
          <w:color w:val="121212"/>
          <w:sz w:val="32"/>
          <w:szCs w:val="32"/>
          <w:lang w:eastAsia="zh-CN"/>
        </w:rPr>
        <w:t>一</w:t>
      </w:r>
      <w:r>
        <w:rPr>
          <w:rFonts w:hint="eastAsia" w:ascii="楷体_GB2312" w:hAnsi="楷体_GB2312" w:eastAsia="楷体_GB2312" w:cs="楷体_GB2312"/>
          <w:b/>
          <w:bCs/>
          <w:color w:val="121212"/>
          <w:sz w:val="32"/>
          <w:szCs w:val="32"/>
        </w:rPr>
        <w:t>节  加强公共法律服务实体平台建设</w:t>
      </w:r>
      <w:bookmarkEnd w:id="21"/>
    </w:p>
    <w:p>
      <w:pPr>
        <w:spacing w:line="360" w:lineRule="auto"/>
        <w:ind w:firstLine="640" w:firstLineChars="200"/>
        <w:rPr>
          <w:rFonts w:hint="eastAsia" w:ascii="仿宋_GB2312" w:hAnsi="仿宋_GB2312" w:eastAsia="仿宋_GB2312" w:cs="仿宋_GB2312"/>
          <w:b/>
          <w:bCs/>
          <w:color w:val="121212"/>
          <w:sz w:val="32"/>
          <w:szCs w:val="32"/>
        </w:rPr>
      </w:pPr>
      <w:r>
        <w:rPr>
          <w:rFonts w:hint="eastAsia" w:ascii="仿宋_GB2312" w:hAnsi="仿宋_GB2312" w:eastAsia="仿宋_GB2312" w:cs="仿宋_GB2312"/>
          <w:b w:val="0"/>
          <w:bCs w:val="0"/>
          <w:color w:val="121212"/>
          <w:sz w:val="32"/>
          <w:szCs w:val="32"/>
        </w:rPr>
        <w:t>推进省、市、县、乡、村五级公共法律服务平台建设，构建以省级公共法律服务中心为龙头、市（州）公共法律服务中心为枢纽、县（市区）公共法律服务中心为支撑、乡（镇、街道）公共法律服务站为基础、村（社区）公共法律服务室为基点的公共法律服务网络。</w:t>
      </w:r>
    </w:p>
    <w:p>
      <w:pPr>
        <w:spacing w:line="360" w:lineRule="auto"/>
        <w:ind w:firstLine="643" w:firstLineChars="200"/>
        <w:rPr>
          <w:rFonts w:hint="eastAsia" w:ascii="仿宋_GB2312" w:hAnsi="仿宋_GB2312" w:eastAsia="仿宋_GB2312" w:cs="仿宋_GB2312"/>
          <w:b w:val="0"/>
          <w:bCs w:val="0"/>
          <w:color w:val="121212"/>
          <w:sz w:val="32"/>
          <w:szCs w:val="32"/>
          <w:lang w:eastAsia="zh-CN"/>
        </w:rPr>
      </w:pPr>
      <w:r>
        <w:rPr>
          <w:rFonts w:hint="eastAsia" w:ascii="仿宋_GB2312" w:hAnsi="仿宋_GB2312" w:eastAsia="仿宋_GB2312" w:cs="仿宋_GB2312"/>
          <w:b/>
          <w:bCs/>
          <w:color w:val="121212"/>
          <w:sz w:val="32"/>
          <w:szCs w:val="32"/>
        </w:rPr>
        <w:t>建设省级公共法律服务中心。</w:t>
      </w:r>
      <w:r>
        <w:rPr>
          <w:rFonts w:hint="eastAsia" w:ascii="仿宋_GB2312" w:hAnsi="仿宋_GB2312" w:eastAsia="仿宋_GB2312" w:cs="仿宋_GB2312"/>
          <w:b w:val="0"/>
          <w:bCs w:val="0"/>
          <w:color w:val="121212"/>
          <w:sz w:val="32"/>
          <w:szCs w:val="32"/>
        </w:rPr>
        <w:t>按照“大平台共享、大系统共治、大数据慧治”一体化建设思路，以网络平台为统领，以信息技术为支撑，建设具有“创新实现线上线下法律咨询+办事、数据业务流程三网融合、全领域全时空全业务、建设四川省法治化营商环境、多语种公共法律服务能力、依法治省专家法律顾问团、法律大数据综合分析研判、公共法律服务信息定向送达、对内对外服务流程跟踪督办”九大功能的省级公共法律服务中心。加强公共法律服务运营管理</w:t>
      </w:r>
      <w:r>
        <w:rPr>
          <w:rFonts w:hint="eastAsia" w:ascii="仿宋_GB2312" w:hAnsi="仿宋_GB2312" w:eastAsia="仿宋_GB2312" w:cs="仿宋_GB2312"/>
          <w:b w:val="0"/>
          <w:bCs w:val="0"/>
          <w:color w:val="121212"/>
          <w:sz w:val="32"/>
          <w:szCs w:val="32"/>
          <w:lang w:eastAsia="zh-CN"/>
        </w:rPr>
        <w:t>，统筹安排法律服务资源，汇聚形成公共法律服务管理、运行、服务、分析大数据，实现公共法律服务高效、智慧、精准。</w:t>
      </w:r>
    </w:p>
    <w:p>
      <w:pPr>
        <w:spacing w:line="360" w:lineRule="auto"/>
        <w:ind w:firstLine="643" w:firstLineChars="200"/>
        <w:rPr>
          <w:rFonts w:hint="eastAsia" w:ascii="仿宋_GB2312" w:hAnsi="仿宋_GB2312" w:eastAsia="仿宋_GB2312" w:cs="仿宋_GB2312"/>
          <w:b w:val="0"/>
          <w:bCs w:val="0"/>
          <w:color w:val="121212"/>
          <w:sz w:val="32"/>
          <w:szCs w:val="32"/>
        </w:rPr>
      </w:pPr>
      <w:r>
        <w:rPr>
          <w:rFonts w:hint="eastAsia" w:ascii="仿宋_GB2312" w:hAnsi="仿宋_GB2312" w:eastAsia="仿宋_GB2312" w:cs="仿宋_GB2312"/>
          <w:b/>
          <w:bCs/>
          <w:color w:val="121212"/>
          <w:sz w:val="32"/>
          <w:szCs w:val="32"/>
        </w:rPr>
        <w:t>推动市（州）、县（市区）公共法律服务中心提档升级。</w:t>
      </w:r>
      <w:r>
        <w:rPr>
          <w:rFonts w:hint="eastAsia" w:ascii="仿宋_GB2312" w:hAnsi="仿宋_GB2312" w:eastAsia="仿宋_GB2312" w:cs="仿宋_GB2312"/>
          <w:b w:val="0"/>
          <w:bCs w:val="0"/>
          <w:color w:val="121212"/>
          <w:sz w:val="32"/>
          <w:szCs w:val="32"/>
        </w:rPr>
        <w:t>高标准建设一批市（州）县（区）公共法律服务中心，突出综合性、专业性法律服务功能，全面提升服务能力。发挥县（市、区）公共法律服务中心提供综合服务、统筹调配资源、指导监管乡（镇、街道）和村（社区）平台运行等职能，将其打造成县域公共法律服务综合枢纽和指挥协调平台。</w:t>
      </w:r>
    </w:p>
    <w:p>
      <w:pPr>
        <w:spacing w:line="360" w:lineRule="auto"/>
        <w:ind w:firstLine="643" w:firstLineChars="200"/>
        <w:rPr>
          <w:rFonts w:hint="eastAsia" w:ascii="仿宋_GB2312" w:hAnsi="仿宋_GB2312" w:eastAsia="仿宋_GB2312" w:cs="仿宋_GB2312"/>
          <w:b w:val="0"/>
          <w:bCs w:val="0"/>
          <w:color w:val="121212"/>
          <w:sz w:val="32"/>
          <w:szCs w:val="32"/>
        </w:rPr>
      </w:pPr>
      <w:r>
        <w:rPr>
          <w:rFonts w:hint="eastAsia" w:ascii="仿宋_GB2312" w:hAnsi="仿宋_GB2312" w:eastAsia="仿宋_GB2312" w:cs="仿宋_GB2312"/>
          <w:b/>
          <w:bCs/>
          <w:color w:val="121212"/>
          <w:sz w:val="32"/>
          <w:szCs w:val="32"/>
        </w:rPr>
        <w:t>深化乡（镇、街道）、村（社区）公共法律服务站（室）功能发挥。</w:t>
      </w:r>
      <w:r>
        <w:rPr>
          <w:rFonts w:hint="eastAsia" w:ascii="仿宋_GB2312" w:hAnsi="仿宋_GB2312" w:eastAsia="仿宋_GB2312" w:cs="仿宋_GB2312"/>
          <w:b w:val="0"/>
          <w:bCs w:val="0"/>
          <w:color w:val="121212"/>
          <w:sz w:val="32"/>
          <w:szCs w:val="32"/>
        </w:rPr>
        <w:t>以司法所为依托，推动乡镇公共法律服务工作站与司法所一体规划、一体建设、资源共享。深入推进“枫桥式司法所”创建，试点探索司法所负责乡（镇、街道）依法行政、执法规范和执法监督机制，持续完善公共法律服务工作站功能，将其打造成服务群众的主阵地和</w:t>
      </w:r>
      <w:r>
        <w:rPr>
          <w:rFonts w:hint="eastAsia" w:ascii="仿宋_GB2312" w:hAnsi="仿宋_GB2312" w:eastAsia="仿宋_GB2312" w:cs="仿宋_GB2312"/>
          <w:b w:val="0"/>
          <w:bCs w:val="0"/>
          <w:color w:val="121212"/>
          <w:sz w:val="32"/>
          <w:szCs w:val="32"/>
          <w:lang w:eastAsia="zh-CN"/>
        </w:rPr>
        <w:t>基层</w:t>
      </w:r>
      <w:r>
        <w:rPr>
          <w:rFonts w:hint="eastAsia" w:ascii="仿宋_GB2312" w:hAnsi="仿宋_GB2312" w:eastAsia="仿宋_GB2312" w:cs="仿宋_GB2312"/>
          <w:b w:val="0"/>
          <w:bCs w:val="0"/>
          <w:color w:val="121212"/>
          <w:sz w:val="32"/>
          <w:szCs w:val="32"/>
        </w:rPr>
        <w:t>法律服务</w:t>
      </w:r>
      <w:r>
        <w:rPr>
          <w:rFonts w:hint="eastAsia" w:ascii="仿宋_GB2312" w:hAnsi="仿宋_GB2312" w:eastAsia="仿宋_GB2312" w:cs="仿宋_GB2312"/>
          <w:b w:val="0"/>
          <w:bCs w:val="0"/>
          <w:color w:val="121212"/>
          <w:sz w:val="32"/>
          <w:szCs w:val="32"/>
          <w:lang w:eastAsia="zh-CN"/>
        </w:rPr>
        <w:t>的主</w:t>
      </w:r>
      <w:r>
        <w:rPr>
          <w:rFonts w:hint="eastAsia" w:ascii="仿宋_GB2312" w:hAnsi="仿宋_GB2312" w:eastAsia="仿宋_GB2312" w:cs="仿宋_GB2312"/>
          <w:b w:val="0"/>
          <w:bCs w:val="0"/>
          <w:color w:val="121212"/>
          <w:sz w:val="32"/>
          <w:szCs w:val="32"/>
        </w:rPr>
        <w:t>平台。推进撤并后的乡镇公共法律服务站（室）调整、巩固、提高，强化村（社区）公共法律服务工作室服务指引功能。打造一批退役军人公共法律服务示范工作站。</w:t>
      </w:r>
    </w:p>
    <w:p>
      <w:pPr>
        <w:keepNext/>
        <w:keepLines/>
        <w:spacing w:beforeLines="30" w:afterLines="30" w:line="360" w:lineRule="auto"/>
        <w:jc w:val="center"/>
        <w:outlineLvl w:val="1"/>
        <w:rPr>
          <w:rFonts w:hint="eastAsia" w:ascii="楷体_GB2312" w:hAnsi="楷体_GB2312" w:eastAsia="楷体_GB2312" w:cs="楷体_GB2312"/>
          <w:b/>
          <w:bCs/>
          <w:color w:val="121212"/>
          <w:sz w:val="32"/>
          <w:szCs w:val="32"/>
        </w:rPr>
      </w:pPr>
      <w:bookmarkStart w:id="22" w:name="_Toc21701"/>
      <w:r>
        <w:rPr>
          <w:rFonts w:hint="eastAsia" w:ascii="楷体_GB2312" w:hAnsi="楷体_GB2312" w:eastAsia="楷体_GB2312" w:cs="楷体_GB2312"/>
          <w:b/>
          <w:bCs/>
          <w:color w:val="121212"/>
          <w:sz w:val="32"/>
          <w:szCs w:val="32"/>
        </w:rPr>
        <w:t>第</w:t>
      </w:r>
      <w:r>
        <w:rPr>
          <w:rFonts w:hint="eastAsia" w:ascii="楷体_GB2312" w:hAnsi="楷体_GB2312" w:eastAsia="楷体_GB2312" w:cs="楷体_GB2312"/>
          <w:b/>
          <w:bCs/>
          <w:color w:val="121212"/>
          <w:sz w:val="32"/>
          <w:szCs w:val="32"/>
          <w:lang w:eastAsia="zh-CN"/>
        </w:rPr>
        <w:t>二</w:t>
      </w:r>
      <w:r>
        <w:rPr>
          <w:rFonts w:hint="eastAsia" w:ascii="楷体_GB2312" w:hAnsi="楷体_GB2312" w:eastAsia="楷体_GB2312" w:cs="楷体_GB2312"/>
          <w:b/>
          <w:bCs/>
          <w:color w:val="121212"/>
          <w:sz w:val="32"/>
          <w:szCs w:val="32"/>
        </w:rPr>
        <w:t>节  加强公共法律服务热线平台建设</w:t>
      </w:r>
      <w:bookmarkEnd w:id="22"/>
    </w:p>
    <w:p>
      <w:pPr>
        <w:spacing w:line="360" w:lineRule="auto"/>
        <w:ind w:firstLine="640" w:firstLineChars="200"/>
        <w:rPr>
          <w:rFonts w:hint="eastAsia" w:ascii="仿宋_GB2312" w:hAnsi="仿宋_GB2312" w:eastAsia="仿宋_GB2312" w:cs="仿宋_GB2312"/>
          <w:b w:val="0"/>
          <w:bCs w:val="0"/>
          <w:color w:val="121212"/>
          <w:sz w:val="32"/>
          <w:szCs w:val="32"/>
        </w:rPr>
      </w:pPr>
      <w:r>
        <w:rPr>
          <w:rFonts w:hint="eastAsia" w:ascii="仿宋_GB2312" w:hAnsi="仿宋_GB2312" w:eastAsia="仿宋_GB2312" w:cs="仿宋_GB2312"/>
          <w:b w:val="0"/>
          <w:bCs w:val="0"/>
          <w:color w:val="121212"/>
          <w:sz w:val="32"/>
          <w:szCs w:val="32"/>
        </w:rPr>
        <w:t>推进公共法律服务热线平台升级改造。统筹整合“12348”公共法律服务热线融入“12345”政务热线平台，统一规划、统一标准、统一服务，统一设立</w:t>
      </w:r>
      <w:r>
        <w:rPr>
          <w:rFonts w:hint="eastAsia" w:ascii="仿宋_GB2312" w:hAnsi="仿宋_GB2312" w:eastAsia="仿宋_GB2312" w:cs="仿宋_GB2312"/>
          <w:b w:val="0"/>
          <w:bCs w:val="0"/>
          <w:color w:val="121212"/>
          <w:sz w:val="32"/>
          <w:szCs w:val="32"/>
          <w:lang w:eastAsia="zh-CN"/>
        </w:rPr>
        <w:t>法律服务专家</w:t>
      </w:r>
      <w:r>
        <w:rPr>
          <w:rFonts w:hint="eastAsia" w:ascii="仿宋_GB2312" w:hAnsi="仿宋_GB2312" w:eastAsia="仿宋_GB2312" w:cs="仿宋_GB2312"/>
          <w:b w:val="0"/>
          <w:bCs w:val="0"/>
          <w:color w:val="121212"/>
          <w:sz w:val="32"/>
          <w:szCs w:val="32"/>
        </w:rPr>
        <w:t>坐席接听</w:t>
      </w:r>
      <w:r>
        <w:rPr>
          <w:rFonts w:hint="eastAsia" w:ascii="仿宋_GB2312" w:hAnsi="仿宋_GB2312" w:eastAsia="仿宋_GB2312" w:cs="仿宋_GB2312"/>
          <w:b w:val="0"/>
          <w:bCs w:val="0"/>
          <w:color w:val="121212"/>
          <w:sz w:val="32"/>
          <w:szCs w:val="32"/>
          <w:lang w:eastAsia="zh-CN"/>
        </w:rPr>
        <w:t>，实现全天候</w:t>
      </w:r>
      <w:r>
        <w:rPr>
          <w:rFonts w:hint="eastAsia" w:ascii="仿宋_GB2312" w:hAnsi="仿宋_GB2312" w:eastAsia="仿宋_GB2312" w:cs="仿宋_GB2312"/>
          <w:b w:val="0"/>
          <w:bCs w:val="0"/>
          <w:color w:val="121212"/>
          <w:sz w:val="32"/>
          <w:szCs w:val="32"/>
          <w:lang w:val="en-US" w:eastAsia="zh-CN"/>
        </w:rPr>
        <w:t>24小时服务。</w:t>
      </w:r>
      <w:r>
        <w:rPr>
          <w:rFonts w:hint="eastAsia" w:ascii="仿宋_GB2312" w:hAnsi="仿宋_GB2312" w:eastAsia="仿宋_GB2312" w:cs="仿宋_GB2312"/>
          <w:b w:val="0"/>
          <w:bCs w:val="0"/>
          <w:color w:val="121212"/>
          <w:sz w:val="32"/>
          <w:szCs w:val="32"/>
        </w:rPr>
        <w:t>拓宽公共法律服务热线平台的法律咨询、法律服务、纠纷调解、法治宣传、法律援助、服务投诉等综合性服务功能。</w:t>
      </w:r>
      <w:r>
        <w:rPr>
          <w:rFonts w:hint="eastAsia" w:ascii="仿宋_GB2312" w:hAnsi="仿宋_GB2312" w:eastAsia="仿宋_GB2312" w:cs="仿宋_GB2312"/>
          <w:b w:val="0"/>
          <w:bCs w:val="0"/>
          <w:color w:val="121212"/>
          <w:sz w:val="32"/>
          <w:szCs w:val="32"/>
          <w:lang w:eastAsia="zh-CN"/>
        </w:rPr>
        <w:t>针对不同地区</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需求</w:t>
      </w:r>
      <w:r>
        <w:rPr>
          <w:rFonts w:hint="eastAsia" w:ascii="仿宋_GB2312" w:hAnsi="仿宋_GB2312" w:eastAsia="仿宋_GB2312" w:cs="仿宋_GB2312"/>
          <w:b w:val="0"/>
          <w:bCs w:val="0"/>
          <w:color w:val="121212"/>
          <w:sz w:val="32"/>
          <w:szCs w:val="32"/>
          <w:lang w:eastAsia="zh-CN"/>
        </w:rPr>
        <w:t>，</w:t>
      </w:r>
      <w:r>
        <w:rPr>
          <w:rFonts w:hint="eastAsia" w:ascii="仿宋_GB2312" w:hAnsi="仿宋_GB2312" w:eastAsia="仿宋_GB2312" w:cs="仿宋_GB2312"/>
          <w:b w:val="0"/>
          <w:bCs w:val="0"/>
          <w:color w:val="121212"/>
          <w:sz w:val="32"/>
          <w:szCs w:val="32"/>
        </w:rPr>
        <w:t>完善坐席分类，提供藏汉双语、彝汉双语和英、韩、日、俄等多语种热线法律服务。</w:t>
      </w:r>
    </w:p>
    <w:p>
      <w:pPr>
        <w:keepNext/>
        <w:keepLines/>
        <w:spacing w:beforeLines="30" w:afterLines="30" w:line="360" w:lineRule="auto"/>
        <w:jc w:val="center"/>
        <w:outlineLvl w:val="1"/>
        <w:rPr>
          <w:rFonts w:hint="eastAsia" w:ascii="楷体_GB2312" w:hAnsi="楷体_GB2312" w:eastAsia="楷体_GB2312" w:cs="楷体_GB2312"/>
          <w:b/>
          <w:bCs/>
          <w:color w:val="121212"/>
          <w:sz w:val="32"/>
          <w:szCs w:val="32"/>
        </w:rPr>
      </w:pPr>
      <w:bookmarkStart w:id="23" w:name="_Toc2989"/>
      <w:r>
        <w:rPr>
          <w:rFonts w:hint="eastAsia" w:ascii="楷体_GB2312" w:hAnsi="楷体_GB2312" w:eastAsia="楷体_GB2312" w:cs="楷体_GB2312"/>
          <w:b/>
          <w:bCs/>
          <w:color w:val="121212"/>
          <w:sz w:val="32"/>
          <w:szCs w:val="32"/>
        </w:rPr>
        <w:t>第</w:t>
      </w:r>
      <w:r>
        <w:rPr>
          <w:rFonts w:hint="eastAsia" w:ascii="楷体_GB2312" w:hAnsi="楷体_GB2312" w:eastAsia="楷体_GB2312" w:cs="楷体_GB2312"/>
          <w:b/>
          <w:bCs/>
          <w:color w:val="121212"/>
          <w:sz w:val="32"/>
          <w:szCs w:val="32"/>
          <w:lang w:eastAsia="zh-CN"/>
        </w:rPr>
        <w:t>三</w:t>
      </w:r>
      <w:r>
        <w:rPr>
          <w:rFonts w:hint="eastAsia" w:ascii="楷体_GB2312" w:hAnsi="楷体_GB2312" w:eastAsia="楷体_GB2312" w:cs="楷体_GB2312"/>
          <w:b/>
          <w:bCs/>
          <w:color w:val="121212"/>
          <w:sz w:val="32"/>
          <w:szCs w:val="32"/>
        </w:rPr>
        <w:t>节  加强公共法律服务网络平台建设</w:t>
      </w:r>
      <w:bookmarkEnd w:id="23"/>
    </w:p>
    <w:p>
      <w:pPr>
        <w:spacing w:line="360" w:lineRule="auto"/>
        <w:ind w:firstLine="640" w:firstLineChars="200"/>
        <w:rPr>
          <w:rFonts w:hint="eastAsia" w:ascii="仿宋_GB2312" w:hAnsi="仿宋_GB2312" w:eastAsia="仿宋_GB2312" w:cs="仿宋_GB2312"/>
          <w:b w:val="0"/>
          <w:bCs w:val="0"/>
          <w:color w:val="121212"/>
          <w:sz w:val="32"/>
          <w:szCs w:val="32"/>
        </w:rPr>
      </w:pPr>
      <w:r>
        <w:rPr>
          <w:rFonts w:hint="eastAsia" w:ascii="仿宋_GB2312" w:hAnsi="仿宋_GB2312" w:eastAsia="仿宋_GB2312" w:cs="仿宋_GB2312"/>
          <w:b w:val="0"/>
          <w:bCs w:val="0"/>
          <w:color w:val="121212"/>
          <w:sz w:val="32"/>
          <w:szCs w:val="32"/>
        </w:rPr>
        <w:t>推进公共法律服务网络平台互联互通。在公共法律服务综合业务平台框架下</w:t>
      </w:r>
      <w:r>
        <w:rPr>
          <w:rFonts w:hint="eastAsia" w:ascii="仿宋_GB2312" w:hAnsi="仿宋_GB2312" w:eastAsia="仿宋_GB2312" w:cs="仿宋_GB2312"/>
          <w:b w:val="0"/>
          <w:bCs w:val="0"/>
          <w:color w:val="121212"/>
          <w:sz w:val="32"/>
          <w:szCs w:val="32"/>
          <w:lang w:eastAsia="zh-CN"/>
        </w:rPr>
        <w:t>，</w:t>
      </w:r>
      <w:r>
        <w:rPr>
          <w:rFonts w:hint="eastAsia" w:ascii="仿宋_GB2312" w:hAnsi="仿宋_GB2312" w:eastAsia="仿宋_GB2312" w:cs="仿宋_GB2312"/>
          <w:b w:val="0"/>
          <w:bCs w:val="0"/>
          <w:color w:val="121212"/>
          <w:sz w:val="32"/>
          <w:szCs w:val="32"/>
        </w:rPr>
        <w:t>迭代升级“12348”四川法网和“12348”四川藏汉双语法网，推进公共法律服务网络平台与业务办理系统深度对接，健全完善部省两级公共法律服务网数据对接、业务联动机制，优化沟通渠道。升级一村（社区）一法律顾问微信平台，推进公共法律服务网络平台向基层延伸，为广大群众提供法律咨询、法治宣传、法律服务机构查询和导航等在线公共法律服务产品供给，打通法律服务群众的“最后一公里”。</w:t>
      </w:r>
    </w:p>
    <w:p>
      <w:pPr>
        <w:keepNext/>
        <w:keepLines/>
        <w:spacing w:beforeLines="30" w:afterLines="30" w:line="360" w:lineRule="auto"/>
        <w:jc w:val="center"/>
        <w:outlineLvl w:val="1"/>
        <w:rPr>
          <w:rFonts w:hint="eastAsia" w:ascii="楷体_GB2312" w:hAnsi="楷体_GB2312" w:eastAsia="楷体_GB2312" w:cs="楷体_GB2312"/>
          <w:b/>
          <w:bCs/>
          <w:color w:val="000000" w:themeColor="text1"/>
          <w:sz w:val="32"/>
          <w:szCs w:val="32"/>
          <w14:textFill>
            <w14:solidFill>
              <w14:schemeClr w14:val="tx1"/>
            </w14:solidFill>
          </w14:textFill>
        </w:rPr>
      </w:pPr>
      <w:bookmarkStart w:id="24" w:name="_Toc13855"/>
      <w:r>
        <w:rPr>
          <w:rFonts w:hint="eastAsia" w:ascii="楷体_GB2312" w:hAnsi="楷体_GB2312" w:eastAsia="楷体_GB2312" w:cs="楷体_GB2312"/>
          <w:b/>
          <w:bCs/>
          <w:color w:val="000000" w:themeColor="text1"/>
          <w:sz w:val="32"/>
          <w:szCs w:val="32"/>
          <w14:textFill>
            <w14:solidFill>
              <w14:schemeClr w14:val="tx1"/>
            </w14:solidFill>
          </w14:textFill>
        </w:rPr>
        <w:t>第</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四</w:t>
      </w:r>
      <w:r>
        <w:rPr>
          <w:rFonts w:hint="eastAsia" w:ascii="楷体_GB2312" w:hAnsi="楷体_GB2312" w:eastAsia="楷体_GB2312" w:cs="楷体_GB2312"/>
          <w:b/>
          <w:bCs/>
          <w:color w:val="000000" w:themeColor="text1"/>
          <w:sz w:val="32"/>
          <w:szCs w:val="32"/>
          <w14:textFill>
            <w14:solidFill>
              <w14:schemeClr w14:val="tx1"/>
            </w14:solidFill>
          </w14:textFill>
        </w:rPr>
        <w:t>节  加快推进</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公共法律服务</w:t>
      </w:r>
      <w:r>
        <w:rPr>
          <w:rFonts w:hint="eastAsia" w:ascii="楷体_GB2312" w:hAnsi="楷体_GB2312" w:eastAsia="楷体_GB2312" w:cs="楷体_GB2312"/>
          <w:b/>
          <w:bCs/>
          <w:color w:val="000000" w:themeColor="text1"/>
          <w:sz w:val="32"/>
          <w:szCs w:val="32"/>
          <w14:textFill>
            <w14:solidFill>
              <w14:schemeClr w14:val="tx1"/>
            </w14:solidFill>
          </w14:textFill>
        </w:rPr>
        <w:t>融合发展</w:t>
      </w:r>
      <w:bookmarkEnd w:id="24"/>
    </w:p>
    <w:p>
      <w:pPr>
        <w:spacing w:line="360" w:lineRule="auto"/>
        <w:ind w:firstLine="643" w:firstLineChars="200"/>
        <w:rPr>
          <w:rFonts w:hint="eastAsia" w:ascii="仿宋_GB2312" w:hAnsi="仿宋_GB2312" w:eastAsia="仿宋_GB2312" w:cs="仿宋_GB2312"/>
          <w:b w:val="0"/>
          <w:bCs w:val="0"/>
          <w:color w:val="121212"/>
          <w:sz w:val="32"/>
          <w:szCs w:val="32"/>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加强</w:t>
      </w:r>
      <w:r>
        <w:rPr>
          <w:rFonts w:hint="eastAsia" w:ascii="仿宋_GB2312" w:hAnsi="仿宋_GB2312" w:eastAsia="仿宋_GB2312" w:cs="仿宋_GB2312"/>
          <w:b/>
          <w:bCs/>
          <w:color w:val="000000" w:themeColor="text1"/>
          <w:sz w:val="32"/>
          <w:szCs w:val="32"/>
          <w14:textFill>
            <w14:solidFill>
              <w14:schemeClr w14:val="tx1"/>
            </w14:solidFill>
          </w14:textFill>
        </w:rPr>
        <w:t>实体、热线、网络</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平台</w:t>
      </w:r>
      <w:r>
        <w:rPr>
          <w:rFonts w:hint="eastAsia" w:ascii="仿宋_GB2312" w:hAnsi="仿宋_GB2312" w:eastAsia="仿宋_GB2312" w:cs="仿宋_GB2312"/>
          <w:b/>
          <w:bCs/>
          <w:color w:val="000000" w:themeColor="text1"/>
          <w:sz w:val="32"/>
          <w:szCs w:val="32"/>
          <w14:textFill>
            <w14:solidFill>
              <w14:schemeClr w14:val="tx1"/>
            </w14:solidFill>
          </w14:textFill>
        </w:rPr>
        <w:t>“三台”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融合。</w:t>
      </w:r>
      <w:r>
        <w:rPr>
          <w:rFonts w:hint="eastAsia" w:ascii="仿宋_GB2312" w:hAnsi="仿宋_GB2312" w:eastAsia="仿宋_GB2312" w:cs="仿宋_GB2312"/>
          <w:b w:val="0"/>
          <w:bCs w:val="0"/>
          <w:color w:val="000000" w:themeColor="text1"/>
          <w:sz w:val="32"/>
          <w:szCs w:val="32"/>
          <w14:textFill>
            <w14:solidFill>
              <w14:schemeClr w14:val="tx1"/>
            </w14:solidFill>
          </w14:textFill>
        </w:rPr>
        <w:t>加强公共</w:t>
      </w:r>
      <w:r>
        <w:rPr>
          <w:rFonts w:hint="eastAsia" w:ascii="仿宋_GB2312" w:hAnsi="仿宋_GB2312" w:eastAsia="仿宋_GB2312" w:cs="仿宋_GB2312"/>
          <w:b w:val="0"/>
          <w:bCs w:val="0"/>
          <w:color w:val="121212"/>
          <w:sz w:val="32"/>
          <w:szCs w:val="32"/>
        </w:rPr>
        <w:t>法律服务运营管理，将实体、热线、网络平台提供服务的信息全部数据化，以数据集中和数据共享为桥梁，让数据在不同平台间流转，</w:t>
      </w:r>
      <w:r>
        <w:rPr>
          <w:rFonts w:hint="eastAsia" w:ascii="仿宋_GB2312" w:hAnsi="仿宋_GB2312" w:eastAsia="仿宋_GB2312" w:cs="仿宋_GB2312"/>
          <w:b w:val="0"/>
          <w:bCs w:val="0"/>
          <w:color w:val="121212"/>
          <w:sz w:val="32"/>
          <w:szCs w:val="32"/>
          <w:lang w:eastAsia="zh-CN"/>
        </w:rPr>
        <w:t>通过扁平化模式</w:t>
      </w:r>
      <w:r>
        <w:rPr>
          <w:rFonts w:hint="eastAsia" w:ascii="仿宋_GB2312" w:hAnsi="仿宋_GB2312" w:eastAsia="仿宋_GB2312" w:cs="仿宋_GB2312"/>
          <w:b w:val="0"/>
          <w:bCs w:val="0"/>
          <w:color w:val="121212"/>
          <w:sz w:val="32"/>
          <w:szCs w:val="32"/>
        </w:rPr>
        <w:t>实现公共法律服务事项跨平台、跨层级、跨业务协同办理，形成“统一受理、统一指挥、统一调度、统一反馈”的服务闭环，运用统一的监管模式和监管标准对三大平台服务事项进行全流程动态监督，实现三大平台互联互通、融合发展。利用信息化手段创新服务模式。提供“主题式、套餐式”集成服务，构建“人工智能+法律服务”新型法律服务供给方式，加大村（社区）、居民小区、新农村集聚区自助法律服务设备供给，实现公共法律服务“抬头能见、举手能及、扫码能得”。</w:t>
      </w:r>
    </w:p>
    <w:p>
      <w:pPr>
        <w:spacing w:line="360" w:lineRule="auto"/>
        <w:ind w:firstLine="643" w:firstLineChars="200"/>
        <w:rPr>
          <w:rFonts w:hint="eastAsia" w:ascii="仿宋_GB2312" w:hAnsi="仿宋_GB2312" w:eastAsia="仿宋_GB2312" w:cs="仿宋_GB2312"/>
          <w:b w:val="0"/>
          <w:bCs w:val="0"/>
          <w:color w:val="121212"/>
          <w:sz w:val="32"/>
          <w:szCs w:val="32"/>
        </w:rPr>
      </w:pPr>
      <w:r>
        <w:rPr>
          <w:rFonts w:hint="eastAsia" w:ascii="仿宋_GB2312" w:hAnsi="仿宋_GB2312" w:eastAsia="仿宋_GB2312" w:cs="仿宋_GB2312"/>
          <w:b/>
          <w:bCs/>
          <w:color w:val="121212"/>
          <w:sz w:val="32"/>
          <w:szCs w:val="32"/>
        </w:rPr>
        <w:t>推动基层实体平台与热线坐席、网络终端相互融合。</w:t>
      </w:r>
      <w:r>
        <w:rPr>
          <w:rFonts w:hint="eastAsia" w:ascii="仿宋_GB2312" w:hAnsi="仿宋_GB2312" w:eastAsia="仿宋_GB2312" w:cs="仿宋_GB2312"/>
          <w:b w:val="0"/>
          <w:bCs w:val="0"/>
          <w:color w:val="121212"/>
          <w:sz w:val="32"/>
          <w:szCs w:val="32"/>
        </w:rPr>
        <w:t>推动基层实体平台与网络平台无缝衔接，共享网上公共法律服务资源，贴近基层群众需求做好法律咨询和办事服务。在县（市、区）公共法律服务中心和乡镇（街道）公共法律服务工作站配置网络平台终端设备，优化智能终端音频视频咨询、网上传输材料等功能。</w:t>
      </w:r>
    </w:p>
    <w:p>
      <w:pPr>
        <w:pStyle w:val="2"/>
        <w:ind w:firstLine="643" w:firstLineChars="200"/>
        <w:rPr>
          <w:rFonts w:hint="default" w:ascii="仿宋_GB2312" w:hAnsi="仿宋_GB2312" w:eastAsia="仿宋_GB2312" w:cs="仿宋_GB2312"/>
          <w:color w:val="121212"/>
          <w:kern w:val="2"/>
          <w:sz w:val="32"/>
          <w:szCs w:val="32"/>
          <w:lang w:val="en-US" w:eastAsia="zh-CN" w:bidi="ar-SA"/>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加强公共法律服务与其他公共服务互联互通。</w:t>
      </w:r>
      <w:r>
        <w:rPr>
          <w:rFonts w:hint="eastAsia" w:ascii="仿宋_GB2312" w:hAnsi="仿宋_GB2312" w:eastAsia="仿宋_GB2312" w:cs="仿宋_GB2312"/>
          <w:color w:val="121212"/>
          <w:kern w:val="2"/>
          <w:sz w:val="32"/>
          <w:szCs w:val="32"/>
          <w:lang w:val="en-US" w:eastAsia="zh-CN" w:bidi="ar-SA"/>
        </w:rPr>
        <w:t>逐步健全完善公共法律服务与诉讼服务、公共安全服务、检察服务、诉源治理、基层综合治理、政务服务以及其他公共服务的对接机制，实现资源整合和互联互通。加强公共法律服务网络平台与政务服务平台融合对接、“天府通办”融合对接。适应互联网时代在线诉讼发展和人民群众新需求，加强公共法律服务体系建设与诉讼服务的协同发展，探索在公共法律服务中心建立诉讼服务站、共享法庭，推动公共法律服务平台与人民法院诉讼服务平台数据共享共同，探索形成统一规范、互联互通、安全可靠的法律大数据供应链和在线诉讼统一数据技术标准。</w:t>
      </w:r>
    </w:p>
    <w:p>
      <w:pPr>
        <w:keepNext/>
        <w:keepLines/>
        <w:spacing w:beforeLines="30" w:afterLines="30" w:line="360" w:lineRule="auto"/>
        <w:ind w:firstLine="1285" w:firstLineChars="400"/>
        <w:jc w:val="both"/>
        <w:outlineLvl w:val="1"/>
        <w:rPr>
          <w:rFonts w:ascii="黑体" w:hAnsi="黑体" w:eastAsia="黑体"/>
          <w:color w:val="121212"/>
          <w:sz w:val="36"/>
          <w:szCs w:val="36"/>
        </w:rPr>
      </w:pPr>
      <w:bookmarkStart w:id="25" w:name="_Toc4924"/>
      <w:r>
        <w:rPr>
          <w:rFonts w:hint="eastAsia" w:ascii="楷体_GB2312" w:hAnsi="楷体_GB2312" w:eastAsia="楷体_GB2312" w:cs="楷体_GB2312"/>
          <w:b/>
          <w:bCs/>
          <w:color w:val="121212"/>
          <w:sz w:val="32"/>
          <w:szCs w:val="32"/>
        </w:rPr>
        <w:t>第</w:t>
      </w:r>
      <w:r>
        <w:rPr>
          <w:rFonts w:hint="eastAsia" w:ascii="楷体_GB2312" w:hAnsi="楷体_GB2312" w:eastAsia="楷体_GB2312" w:cs="楷体_GB2312"/>
          <w:b/>
          <w:bCs/>
          <w:color w:val="121212"/>
          <w:sz w:val="32"/>
          <w:szCs w:val="32"/>
          <w:lang w:eastAsia="zh-CN"/>
        </w:rPr>
        <w:t>五</w:t>
      </w:r>
      <w:r>
        <w:rPr>
          <w:rFonts w:hint="eastAsia" w:ascii="楷体_GB2312" w:hAnsi="楷体_GB2312" w:eastAsia="楷体_GB2312" w:cs="楷体_GB2312"/>
          <w:b/>
          <w:bCs/>
          <w:color w:val="121212"/>
          <w:sz w:val="32"/>
          <w:szCs w:val="32"/>
        </w:rPr>
        <w:t>节  加强公共法律服务科技信息化建设</w:t>
      </w:r>
      <w:bookmarkEnd w:id="25"/>
    </w:p>
    <w:p>
      <w:pPr>
        <w:spacing w:line="360" w:lineRule="auto"/>
        <w:ind w:firstLine="643" w:firstLineChars="200"/>
        <w:rPr>
          <w:rFonts w:hint="eastAsia" w:ascii="仿宋_GB2312" w:hAnsi="仿宋_GB2312" w:eastAsia="仿宋_GB2312" w:cs="仿宋_GB2312"/>
          <w:b/>
          <w:bCs/>
          <w:color w:val="121212"/>
          <w:sz w:val="32"/>
          <w:szCs w:val="32"/>
        </w:rPr>
      </w:pPr>
      <w:r>
        <w:rPr>
          <w:rFonts w:hint="eastAsia" w:ascii="仿宋_GB2312" w:hAnsi="仿宋_GB2312" w:eastAsia="仿宋_GB2312" w:cs="仿宋_GB2312"/>
          <w:b/>
          <w:bCs/>
          <w:color w:val="121212"/>
          <w:sz w:val="32"/>
          <w:szCs w:val="32"/>
        </w:rPr>
        <w:t>完善公共法律服务综合业务应用体系。</w:t>
      </w:r>
      <w:r>
        <w:rPr>
          <w:rFonts w:hint="eastAsia" w:ascii="仿宋_GB2312" w:hAnsi="仿宋_GB2312" w:eastAsia="仿宋_GB2312" w:cs="仿宋_GB2312"/>
          <w:b w:val="0"/>
          <w:bCs w:val="0"/>
          <w:color w:val="121212"/>
          <w:sz w:val="32"/>
          <w:szCs w:val="32"/>
        </w:rPr>
        <w:t>加快推进现代信息技术与公共法律服务深度融合，</w:t>
      </w:r>
      <w:r>
        <w:rPr>
          <w:rFonts w:hint="eastAsia" w:ascii="仿宋_GB2312" w:hAnsi="仿宋_GB2312" w:eastAsia="仿宋_GB2312" w:cs="仿宋_GB2312"/>
          <w:b w:val="0"/>
          <w:bCs w:val="0"/>
          <w:color w:val="121212"/>
          <w:sz w:val="32"/>
          <w:szCs w:val="32"/>
          <w:lang w:eastAsia="zh-CN"/>
        </w:rPr>
        <w:t>搭建公共法律服务综合业务一体化平台，</w:t>
      </w:r>
      <w:r>
        <w:rPr>
          <w:rFonts w:hint="eastAsia" w:ascii="仿宋_GB2312" w:hAnsi="仿宋_GB2312" w:eastAsia="仿宋_GB2312" w:cs="仿宋_GB2312"/>
          <w:b w:val="0"/>
          <w:bCs w:val="0"/>
          <w:color w:val="121212"/>
          <w:sz w:val="32"/>
          <w:szCs w:val="32"/>
        </w:rPr>
        <w:t>深化律师、公证、司法鉴定、仲裁、人民调解、法律援助、远程会见、综合指挥等</w:t>
      </w:r>
      <w:r>
        <w:rPr>
          <w:rFonts w:hint="eastAsia" w:ascii="仿宋_GB2312" w:hAnsi="仿宋_GB2312" w:eastAsia="仿宋_GB2312" w:cs="仿宋_GB2312"/>
          <w:b w:val="0"/>
          <w:bCs w:val="0"/>
          <w:color w:val="121212"/>
          <w:sz w:val="32"/>
          <w:szCs w:val="32"/>
          <w:lang w:eastAsia="zh-CN"/>
        </w:rPr>
        <w:t>子</w:t>
      </w:r>
      <w:r>
        <w:rPr>
          <w:rFonts w:hint="eastAsia" w:ascii="仿宋_GB2312" w:hAnsi="仿宋_GB2312" w:eastAsia="仿宋_GB2312" w:cs="仿宋_GB2312"/>
          <w:b w:val="0"/>
          <w:bCs w:val="0"/>
          <w:color w:val="121212"/>
          <w:sz w:val="32"/>
          <w:szCs w:val="32"/>
        </w:rPr>
        <w:t>应用智慧化建设，推进重要业务应用省、市两级分布式部署，提升业务应用智慧化水平。加强公共法律服务电子证照亮照应用，推进公共法律服务“网上办、指尖办、掌上办”，支持市（州）发展灵活多样的远程服务、自助服务、个性服务。</w:t>
      </w:r>
    </w:p>
    <w:p>
      <w:pPr>
        <w:spacing w:line="360" w:lineRule="auto"/>
        <w:ind w:firstLine="643" w:firstLineChars="200"/>
        <w:rPr>
          <w:rFonts w:hint="eastAsia" w:ascii="仿宋_GB2312" w:hAnsi="仿宋_GB2312" w:eastAsia="仿宋_GB2312" w:cs="仿宋_GB2312"/>
          <w:b w:val="0"/>
          <w:bCs w:val="0"/>
          <w:color w:val="121212"/>
          <w:sz w:val="32"/>
          <w:szCs w:val="32"/>
        </w:rPr>
      </w:pPr>
      <w:r>
        <w:rPr>
          <w:rFonts w:hint="eastAsia" w:ascii="仿宋_GB2312" w:hAnsi="仿宋_GB2312" w:eastAsia="仿宋_GB2312" w:cs="仿宋_GB2312"/>
          <w:b/>
          <w:bCs/>
          <w:color w:val="121212"/>
          <w:sz w:val="32"/>
          <w:szCs w:val="32"/>
        </w:rPr>
        <w:t>加强公共法律服务基础支撑能力建设。</w:t>
      </w:r>
      <w:r>
        <w:rPr>
          <w:rFonts w:hint="eastAsia" w:ascii="仿宋_GB2312" w:hAnsi="仿宋_GB2312" w:eastAsia="仿宋_GB2312" w:cs="仿宋_GB2312"/>
          <w:b w:val="0"/>
          <w:bCs w:val="0"/>
          <w:color w:val="121212"/>
          <w:sz w:val="32"/>
          <w:szCs w:val="32"/>
        </w:rPr>
        <w:t>迭代升级基础网络，推动公共法律服务网络横向、纵向贯通对接。推进</w:t>
      </w:r>
      <w:r>
        <w:rPr>
          <w:rFonts w:hint="eastAsia" w:ascii="仿宋_GB2312" w:hAnsi="仿宋_GB2312" w:eastAsia="仿宋_GB2312" w:cs="仿宋_GB2312"/>
          <w:b w:val="0"/>
          <w:bCs w:val="0"/>
          <w:color w:val="121212"/>
          <w:sz w:val="32"/>
          <w:szCs w:val="32"/>
          <w:lang w:eastAsia="zh-CN"/>
        </w:rPr>
        <w:t>推进</w:t>
      </w:r>
      <w:r>
        <w:rPr>
          <w:rFonts w:hint="eastAsia" w:ascii="仿宋_GB2312" w:hAnsi="仿宋_GB2312" w:eastAsia="仿宋_GB2312" w:cs="仿宋_GB2312"/>
          <w:b w:val="0"/>
          <w:bCs w:val="0"/>
          <w:color w:val="121212"/>
          <w:sz w:val="32"/>
          <w:szCs w:val="32"/>
        </w:rPr>
        <w:t>“区块链+法律服务”</w:t>
      </w:r>
      <w:r>
        <w:rPr>
          <w:rFonts w:hint="eastAsia" w:ascii="仿宋_GB2312" w:hAnsi="仿宋_GB2312" w:eastAsia="仿宋_GB2312" w:cs="仿宋_GB2312"/>
          <w:b w:val="0"/>
          <w:bCs w:val="0"/>
          <w:color w:val="121212"/>
          <w:sz w:val="32"/>
          <w:szCs w:val="32"/>
          <w:lang w:eastAsia="zh-CN"/>
        </w:rPr>
        <w:t>应用</w:t>
      </w:r>
      <w:r>
        <w:rPr>
          <w:rFonts w:hint="eastAsia" w:ascii="仿宋_GB2312" w:hAnsi="仿宋_GB2312" w:eastAsia="仿宋_GB2312" w:cs="仿宋_GB2312"/>
          <w:b w:val="0"/>
          <w:bCs w:val="0"/>
          <w:color w:val="121212"/>
          <w:sz w:val="32"/>
          <w:szCs w:val="32"/>
        </w:rPr>
        <w:t>，加强与人民法院、人民检察院、公安机关互信互认，为律师、公证、司法鉴定、仲裁等业务办理提供支撑。升级打造省、市、县三级公共法律服务指挥调度中心。建设公共法律服务业务、数据、技术中台，将人工智能、应用组件等转化为中台服务，形成数据全面共享、功能高度复用、组件通用兼容、需求快速响应的服务支撑能力。</w:t>
      </w:r>
    </w:p>
    <w:p>
      <w:pPr>
        <w:spacing w:line="360" w:lineRule="auto"/>
        <w:ind w:firstLine="643" w:firstLineChars="200"/>
        <w:rPr>
          <w:rFonts w:hint="eastAsia" w:ascii="仿宋_GB2312" w:hAnsi="仿宋_GB2312" w:eastAsia="仿宋_GB2312" w:cs="仿宋_GB2312"/>
          <w:b w:val="0"/>
          <w:bCs w:val="0"/>
          <w:color w:val="121212"/>
          <w:sz w:val="32"/>
          <w:szCs w:val="32"/>
        </w:rPr>
      </w:pPr>
      <w:r>
        <w:rPr>
          <w:rFonts w:hint="eastAsia" w:ascii="仿宋_GB2312" w:hAnsi="仿宋_GB2312" w:eastAsia="仿宋_GB2312" w:cs="仿宋_GB2312"/>
          <w:b/>
          <w:bCs/>
          <w:color w:val="121212"/>
          <w:sz w:val="32"/>
          <w:szCs w:val="32"/>
        </w:rPr>
        <w:t>建设公共法律服务大数据中心。</w:t>
      </w:r>
      <w:r>
        <w:rPr>
          <w:rFonts w:hint="eastAsia" w:ascii="仿宋_GB2312" w:hAnsi="仿宋_GB2312" w:eastAsia="仿宋_GB2312" w:cs="仿宋_GB2312"/>
          <w:b w:val="0"/>
          <w:bCs w:val="0"/>
          <w:color w:val="121212"/>
          <w:sz w:val="32"/>
          <w:szCs w:val="32"/>
        </w:rPr>
        <w:t>充分应用大数据、人工智能等信息技术，统筹建设省、市两级公共法律服务大数据中心，全面汇聚、整合各类公共法律服务数据，推进公共法律服务与立法、执法、司法、普法数据共享、互联互通，有效支撑各级业务</w:t>
      </w:r>
      <w:r>
        <w:rPr>
          <w:rFonts w:hint="eastAsia" w:ascii="仿宋_GB2312" w:hAnsi="仿宋_GB2312" w:eastAsia="仿宋_GB2312" w:cs="仿宋_GB2312"/>
          <w:b w:val="0"/>
          <w:bCs w:val="0"/>
          <w:color w:val="121212"/>
          <w:sz w:val="32"/>
          <w:szCs w:val="32"/>
          <w:lang w:eastAsia="zh-CN"/>
        </w:rPr>
        <w:t>应用</w:t>
      </w:r>
      <w:r>
        <w:rPr>
          <w:rFonts w:hint="eastAsia" w:ascii="仿宋_GB2312" w:hAnsi="仿宋_GB2312" w:eastAsia="仿宋_GB2312" w:cs="仿宋_GB2312"/>
          <w:b w:val="0"/>
          <w:bCs w:val="0"/>
          <w:color w:val="121212"/>
          <w:sz w:val="32"/>
          <w:szCs w:val="32"/>
        </w:rPr>
        <w:t>之间业务协同。建设大数据智能感知和决策支持</w:t>
      </w:r>
      <w:r>
        <w:rPr>
          <w:rFonts w:hint="eastAsia" w:ascii="仿宋_GB2312" w:hAnsi="仿宋_GB2312" w:eastAsia="仿宋_GB2312" w:cs="仿宋_GB2312"/>
          <w:b w:val="0"/>
          <w:bCs w:val="0"/>
          <w:color w:val="121212"/>
          <w:sz w:val="32"/>
          <w:szCs w:val="32"/>
          <w:lang w:eastAsia="zh-CN"/>
        </w:rPr>
        <w:t>子系统</w:t>
      </w:r>
      <w:r>
        <w:rPr>
          <w:rFonts w:hint="eastAsia" w:ascii="仿宋_GB2312" w:hAnsi="仿宋_GB2312" w:eastAsia="仿宋_GB2312" w:cs="仿宋_GB2312"/>
          <w:b w:val="0"/>
          <w:bCs w:val="0"/>
          <w:color w:val="121212"/>
          <w:sz w:val="32"/>
          <w:szCs w:val="32"/>
        </w:rPr>
        <w:t>，构建知识图谱和大数据分析模型，加强多维度、多角度的动态分析研判，提升大数据对公共法律服务行业和法治建设的态势感知、辅助决策、预测预警、精准服务水平。</w:t>
      </w:r>
    </w:p>
    <w:p>
      <w:pPr>
        <w:spacing w:line="360" w:lineRule="auto"/>
        <w:ind w:firstLine="643"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color w:val="121212"/>
          <w:sz w:val="32"/>
          <w:szCs w:val="32"/>
        </w:rPr>
        <w:t>加大科技信息化产品供给。</w:t>
      </w:r>
      <w:r>
        <w:rPr>
          <w:rFonts w:hint="eastAsia" w:ascii="仿宋_GB2312" w:hAnsi="仿宋_GB2312" w:eastAsia="仿宋_GB2312" w:cs="仿宋_GB2312"/>
          <w:b w:val="0"/>
          <w:bCs w:val="0"/>
          <w:color w:val="121212"/>
          <w:sz w:val="32"/>
          <w:szCs w:val="32"/>
        </w:rPr>
        <w:t>支持人工智能、大数据等新技术在公共法律服务领域的深度集成应用与推广，大力发展公共法律服务科技支撑技术，培育一批在全国有影响力的法律服务科技平台，开发多样化公共法律服务科技产品和专用装备，重点发展公共法律服务自助设备、智慧平台、公共法律服务产品网上超市等智能化产品运用，建立全生命周期公共法律服务供给机制。</w:t>
      </w:r>
    </w:p>
    <w:p>
      <w:pPr>
        <w:spacing w:line="276" w:lineRule="auto"/>
        <w:jc w:val="center"/>
        <w:rPr>
          <w:rFonts w:hint="eastAsia" w:ascii="黑体" w:hAnsi="黑体" w:eastAsia="黑体"/>
          <w:sz w:val="30"/>
          <w:szCs w:val="30"/>
        </w:rPr>
      </w:pPr>
    </w:p>
    <w:p>
      <w:pPr>
        <w:spacing w:line="276" w:lineRule="auto"/>
        <w:jc w:val="center"/>
        <w:rPr>
          <w:rFonts w:ascii="黑体" w:hAnsi="黑体" w:eastAsia="黑体"/>
          <w:color w:val="000000" w:themeColor="text1"/>
          <w:sz w:val="30"/>
          <w:szCs w:val="30"/>
          <w14:textFill>
            <w14:solidFill>
              <w14:schemeClr w14:val="tx1"/>
            </w14:solidFill>
          </w14:textFill>
        </w:rPr>
      </w:pPr>
      <w:r>
        <w:rPr>
          <w:rFonts w:hint="eastAsia" w:ascii="黑体" w:hAnsi="黑体" w:eastAsia="黑体"/>
          <w:sz w:val="30"/>
          <w:szCs w:val="30"/>
        </w:rPr>
        <w:t>专栏1  完善公共法律服务基础设施</w:t>
      </w:r>
      <w:r>
        <w:rPr>
          <w:rFonts w:hint="eastAsia" w:ascii="黑体" w:hAnsi="黑体" w:eastAsia="黑体"/>
          <w:color w:val="000000" w:themeColor="text1"/>
          <w:sz w:val="30"/>
          <w:szCs w:val="30"/>
          <w:lang w:eastAsia="zh-CN"/>
          <w14:textFill>
            <w14:solidFill>
              <w14:schemeClr w14:val="tx1"/>
            </w14:solidFill>
          </w14:textFill>
        </w:rPr>
        <w:t>条件</w:t>
      </w:r>
    </w:p>
    <w:tbl>
      <w:tblPr>
        <w:tblStyle w:val="9"/>
        <w:tblW w:w="8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628" w:type="dxa"/>
            <w:tcBorders>
              <w:top w:val="single" w:color="auto" w:sz="4" w:space="0"/>
              <w:left w:val="single" w:color="auto" w:sz="4" w:space="0"/>
              <w:bottom w:val="single" w:color="auto" w:sz="4" w:space="0"/>
              <w:right w:val="single" w:color="auto" w:sz="4" w:space="0"/>
            </w:tcBorders>
          </w:tcPr>
          <w:p>
            <w:pPr>
              <w:spacing w:line="360" w:lineRule="auto"/>
              <w:ind w:firstLine="562" w:firstLineChars="200"/>
              <w:rPr>
                <w:rFonts w:hint="eastAsia" w:ascii="楷体" w:hAnsi="楷体" w:eastAsia="楷体" w:cs="楷体"/>
                <w:b w:val="0"/>
                <w:bCs w:val="0"/>
                <w:sz w:val="28"/>
                <w:szCs w:val="28"/>
              </w:rPr>
            </w:pPr>
            <w:r>
              <w:rPr>
                <w:rFonts w:hint="eastAsia" w:ascii="楷体" w:hAnsi="楷体" w:eastAsia="楷体" w:cs="楷体"/>
                <w:b/>
                <w:bCs/>
                <w:sz w:val="28"/>
                <w:szCs w:val="28"/>
              </w:rPr>
              <w:t>公共法律服务基础设施提档升级工程。</w:t>
            </w:r>
            <w:r>
              <w:rPr>
                <w:rFonts w:hint="eastAsia" w:ascii="楷体" w:hAnsi="楷体" w:eastAsia="楷体" w:cs="楷体"/>
                <w:b w:val="0"/>
                <w:bCs w:val="0"/>
                <w:sz w:val="28"/>
                <w:szCs w:val="28"/>
                <w:lang w:val="en-US" w:eastAsia="zh-CN"/>
              </w:rPr>
              <w:t xml:space="preserve"> </w:t>
            </w:r>
            <w:r>
              <w:rPr>
                <w:rFonts w:hint="eastAsia" w:ascii="楷体_GB2312" w:hAnsi="楷体_GB2312" w:eastAsia="楷体_GB2312" w:cs="楷体_GB2312"/>
                <w:sz w:val="28"/>
                <w:szCs w:val="28"/>
              </w:rPr>
              <w:t>建设具有“创新实现线上线下法律咨询+办事”等九大功能的省级公共法律服务中心。在全省建设一批高标准、规范化公共法律服务中心（站、室）。</w:t>
            </w:r>
          </w:p>
          <w:p>
            <w:pPr>
              <w:spacing w:line="360" w:lineRule="auto"/>
              <w:ind w:firstLine="562" w:firstLineChars="200"/>
              <w:rPr>
                <w:rFonts w:hint="eastAsia" w:ascii="楷体_GB2312" w:hAnsi="楷体_GB2312" w:eastAsia="楷体_GB2312" w:cs="楷体_GB2312"/>
                <w:sz w:val="28"/>
                <w:szCs w:val="28"/>
              </w:rPr>
            </w:pPr>
            <w:r>
              <w:rPr>
                <w:rFonts w:hint="eastAsia" w:ascii="楷体_GB2312" w:hAnsi="楷体_GB2312" w:eastAsia="楷体_GB2312" w:cs="楷体_GB2312"/>
                <w:b/>
                <w:bCs/>
                <w:sz w:val="28"/>
                <w:szCs w:val="28"/>
              </w:rPr>
              <w:t>公共法律服务科技信息化工程。</w:t>
            </w:r>
            <w:r>
              <w:rPr>
                <w:rFonts w:hint="eastAsia" w:ascii="楷体_GB2312" w:hAnsi="楷体_GB2312" w:eastAsia="楷体_GB2312" w:cs="楷体_GB2312"/>
                <w:sz w:val="28"/>
                <w:szCs w:val="28"/>
              </w:rPr>
              <w:t>建设以“综合应用、基础支撑、数据研判”为核心框架的公共法律服务综合业务一体化平台，完善业务应用，升级建设“12348”四川法网、智慧律师、智慧公证、智慧司鉴、智慧仲裁、智慧调解等；强化基础支撑，推进“区块链+公共法律服务”,建设技术中台、数据中台、业务中台，升级打造省、市、县三级公共法律服务指挥调度中心；强化数据应用，建设省、市公共法律服务大数据中心，建立各类数据分析模型，构建大数据智能感知和决策支持体系。在全省打造100个公共法律服务智能自助服务示范点。</w:t>
            </w:r>
          </w:p>
          <w:p>
            <w:pPr>
              <w:spacing w:line="360" w:lineRule="auto"/>
              <w:ind w:firstLine="560" w:firstLineChars="200"/>
              <w:rPr>
                <w:rFonts w:hint="eastAsia" w:ascii="楷体" w:hAnsi="楷体" w:eastAsia="楷体" w:cs="楷体"/>
                <w:b w:val="0"/>
                <w:bCs w:val="0"/>
                <w:sz w:val="28"/>
                <w:szCs w:val="28"/>
              </w:rPr>
            </w:pPr>
            <w:r>
              <w:rPr>
                <w:rFonts w:hint="eastAsia" w:ascii="楷体" w:hAnsi="楷体" w:eastAsia="楷体" w:cs="楷体"/>
                <w:b w:val="0"/>
                <w:bCs w:val="0"/>
                <w:sz w:val="28"/>
                <w:szCs w:val="28"/>
              </w:rPr>
              <w:t>“</w:t>
            </w:r>
            <w:r>
              <w:rPr>
                <w:rFonts w:hint="eastAsia" w:ascii="楷体" w:hAnsi="楷体" w:eastAsia="楷体" w:cs="楷体"/>
                <w:b/>
                <w:bCs/>
                <w:sz w:val="28"/>
                <w:szCs w:val="28"/>
              </w:rPr>
              <w:t>枫桥式司法所”创建工程。</w:t>
            </w:r>
            <w:r>
              <w:rPr>
                <w:rFonts w:hint="eastAsia" w:ascii="楷体_GB2312" w:hAnsi="楷体_GB2312" w:eastAsia="楷体_GB2312" w:cs="楷体_GB2312"/>
                <w:sz w:val="28"/>
                <w:szCs w:val="28"/>
              </w:rPr>
              <w:t>力争省级‘枫桥式司法所’创建面达到10%以上，市级‘枫桥式司法所’创建面达到30%以上，县（市、区）级‘枫桥式司法所’覆盖面达到60%以上</w:t>
            </w:r>
            <w:r>
              <w:rPr>
                <w:rFonts w:hint="eastAsia" w:ascii="楷体" w:hAnsi="楷体" w:eastAsia="楷体" w:cs="楷体"/>
                <w:b w:val="0"/>
                <w:bCs w:val="0"/>
                <w:sz w:val="28"/>
                <w:szCs w:val="28"/>
              </w:rPr>
              <w:t>。</w:t>
            </w:r>
          </w:p>
          <w:p>
            <w:pPr>
              <w:spacing w:line="360" w:lineRule="auto"/>
              <w:ind w:firstLine="562" w:firstLineChars="200"/>
              <w:rPr>
                <w:rFonts w:ascii="仿宋" w:hAnsi="仿宋" w:eastAsia="仿宋"/>
                <w:sz w:val="28"/>
                <w:szCs w:val="28"/>
              </w:rPr>
            </w:pPr>
            <w:r>
              <w:rPr>
                <w:rFonts w:hint="eastAsia" w:ascii="楷体" w:hAnsi="楷体" w:eastAsia="楷体" w:cs="楷体"/>
                <w:b/>
                <w:bCs/>
                <w:sz w:val="28"/>
                <w:szCs w:val="28"/>
              </w:rPr>
              <w:t>退役军人公共法律服务示范工作站建设。</w:t>
            </w:r>
            <w:r>
              <w:rPr>
                <w:rFonts w:hint="eastAsia" w:ascii="楷体_GB2312" w:hAnsi="楷体_GB2312" w:eastAsia="楷体_GB2312" w:cs="楷体_GB2312"/>
                <w:sz w:val="28"/>
                <w:szCs w:val="28"/>
              </w:rPr>
              <w:t>在全省打造15个退役军人公共法律服务示范工作站。</w:t>
            </w:r>
          </w:p>
        </w:tc>
      </w:tr>
    </w:tbl>
    <w:p>
      <w:pPr>
        <w:spacing w:line="360" w:lineRule="auto"/>
        <w:ind w:firstLine="640" w:firstLineChars="200"/>
        <w:rPr>
          <w:rFonts w:ascii="仿宋" w:hAnsi="仿宋" w:eastAsia="仿宋"/>
          <w:sz w:val="32"/>
          <w:szCs w:val="32"/>
        </w:rPr>
      </w:pPr>
    </w:p>
    <w:p>
      <w:pPr>
        <w:pStyle w:val="2"/>
        <w:ind w:firstLine="1920" w:firstLineChars="600"/>
        <w:rPr>
          <w:rFonts w:hint="eastAsia" w:ascii="黑体" w:hAnsi="黑体" w:eastAsia="黑体" w:cs="黑体"/>
          <w:kern w:val="44"/>
          <w:sz w:val="32"/>
          <w:szCs w:val="32"/>
        </w:rPr>
      </w:pPr>
      <w:bookmarkStart w:id="26" w:name="_Toc18621"/>
      <w:bookmarkStart w:id="27" w:name="_Toc2145545285"/>
      <w:r>
        <w:rPr>
          <w:rFonts w:hint="eastAsia" w:ascii="黑体" w:hAnsi="黑体" w:eastAsia="黑体" w:cs="黑体"/>
          <w:kern w:val="44"/>
          <w:sz w:val="32"/>
          <w:szCs w:val="32"/>
        </w:rPr>
        <w:t>第四章  提高公共法律服务供给能力</w:t>
      </w:r>
      <w:bookmarkEnd w:id="26"/>
    </w:p>
    <w:p>
      <w:pPr>
        <w:keepNext/>
        <w:keepLines/>
        <w:spacing w:beforeLines="30" w:afterLines="30" w:line="360" w:lineRule="auto"/>
        <w:jc w:val="center"/>
        <w:outlineLvl w:val="1"/>
        <w:rPr>
          <w:rFonts w:hint="eastAsia" w:ascii="楷体_GB2312" w:hAnsi="楷体_GB2312" w:eastAsia="楷体_GB2312" w:cs="楷体_GB2312"/>
          <w:b/>
          <w:bCs/>
          <w:sz w:val="32"/>
          <w:szCs w:val="32"/>
        </w:rPr>
      </w:pPr>
      <w:bookmarkStart w:id="28" w:name="_Toc23330"/>
      <w:bookmarkStart w:id="29" w:name="_Toc1781688218"/>
      <w:bookmarkStart w:id="30" w:name="_Toc611659549_WPSOffice_Level2"/>
      <w:r>
        <w:rPr>
          <w:rFonts w:hint="eastAsia" w:ascii="楷体_GB2312" w:hAnsi="楷体_GB2312" w:eastAsia="楷体_GB2312" w:cs="楷体_GB2312"/>
          <w:b/>
          <w:bCs/>
          <w:sz w:val="32"/>
          <w:szCs w:val="32"/>
        </w:rPr>
        <w:t>第一节  提升普法工作质效</w:t>
      </w:r>
      <w:bookmarkEnd w:id="28"/>
    </w:p>
    <w:p>
      <w:pPr>
        <w:spacing w:line="360" w:lineRule="auto"/>
        <w:ind w:firstLine="643"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实施公民终身法治教育。</w:t>
      </w:r>
      <w:r>
        <w:rPr>
          <w:rFonts w:hint="eastAsia" w:ascii="仿宋_GB2312" w:hAnsi="仿宋_GB2312" w:eastAsia="仿宋_GB2312" w:cs="仿宋_GB2312"/>
          <w:b w:val="0"/>
          <w:bCs w:val="0"/>
          <w:sz w:val="32"/>
          <w:szCs w:val="32"/>
        </w:rPr>
        <w:t>深入学习宣传习近平法治思想。实施公民法治素养提升行动，针对不同群体，分步骤、分类别推进实施。建立领导干部学法清单。</w:t>
      </w:r>
      <w:r>
        <w:rPr>
          <w:rFonts w:hint="eastAsia" w:ascii="仿宋_GB2312" w:hAnsi="仿宋_GB2312" w:eastAsia="仿宋_GB2312" w:cs="仿宋_GB2312"/>
          <w:b w:val="0"/>
          <w:bCs w:val="0"/>
          <w:sz w:val="32"/>
          <w:szCs w:val="32"/>
          <w:lang w:eastAsia="zh-CN"/>
        </w:rPr>
        <w:t>依托“开学第一堂团（队）课”、主题团队课等载体，</w:t>
      </w:r>
      <w:r>
        <w:rPr>
          <w:rFonts w:hint="eastAsia" w:ascii="仿宋_GB2312" w:hAnsi="仿宋_GB2312" w:eastAsia="仿宋_GB2312" w:cs="仿宋_GB2312"/>
          <w:b w:val="0"/>
          <w:bCs w:val="0"/>
          <w:sz w:val="32"/>
          <w:szCs w:val="32"/>
        </w:rPr>
        <w:t>常态化开展青少年“法治教育第一课”“宪法法律进高校”等活动。健全落实村（社区）“两委”班子成员集中学法制度，加强基层行政执法人员法治培训。</w:t>
      </w:r>
    </w:p>
    <w:p>
      <w:pPr>
        <w:spacing w:line="360" w:lineRule="auto"/>
        <w:ind w:firstLine="643"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落实普法责任。</w:t>
      </w:r>
      <w:r>
        <w:rPr>
          <w:rFonts w:hint="eastAsia" w:ascii="仿宋_GB2312" w:hAnsi="仿宋_GB2312" w:eastAsia="仿宋_GB2312" w:cs="仿宋_GB2312"/>
          <w:b w:val="0"/>
          <w:bCs w:val="0"/>
          <w:sz w:val="32"/>
          <w:szCs w:val="32"/>
        </w:rPr>
        <w:t>强化“谁执法谁普法”普法责任制，建立健全国家机关“谁执法谁普法”履职报告制度。推行“以案释法”制度。围绕构建新发展格局、统筹发展与安全、新时代平安四川建设新需求、乡村振兴、生态文明建设、构建和谐劳动关系等法律法规，组织开展“法治四川行”一月一主题活动。</w:t>
      </w:r>
    </w:p>
    <w:p>
      <w:pPr>
        <w:spacing w:line="360" w:lineRule="auto"/>
        <w:ind w:firstLine="643"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扩大法治文化阵地覆盖面。</w:t>
      </w:r>
      <w:r>
        <w:rPr>
          <w:rFonts w:hint="eastAsia" w:ascii="仿宋_GB2312" w:hAnsi="仿宋_GB2312" w:eastAsia="仿宋_GB2312" w:cs="仿宋_GB2312"/>
          <w:b w:val="0"/>
          <w:bCs w:val="0"/>
          <w:sz w:val="32"/>
          <w:szCs w:val="32"/>
        </w:rPr>
        <w:t>把法治文化阵地建设纳入城乡建设规划，依托新时代文明实践中心（所、站）和图书馆、博物馆、文化馆</w:t>
      </w:r>
      <w:r>
        <w:rPr>
          <w:rFonts w:hint="eastAsia" w:ascii="仿宋_GB2312" w:hAnsi="仿宋_GB2312" w:eastAsia="仿宋_GB2312" w:cs="仿宋_GB2312"/>
          <w:b w:val="0"/>
          <w:bCs w:val="0"/>
          <w:sz w:val="32"/>
          <w:szCs w:val="32"/>
          <w:lang w:eastAsia="zh-CN"/>
        </w:rPr>
        <w:t>、青年之家</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童伴之家、</w:t>
      </w:r>
      <w:r>
        <w:rPr>
          <w:rFonts w:hint="eastAsia" w:ascii="仿宋_GB2312" w:hAnsi="仿宋_GB2312" w:eastAsia="仿宋_GB2312" w:cs="仿宋_GB2312"/>
          <w:b w:val="0"/>
          <w:bCs w:val="0"/>
          <w:sz w:val="32"/>
          <w:szCs w:val="32"/>
        </w:rPr>
        <w:t>社区文化中心等场所，推进法治文化设施与公共文化服务设施一体规划建设。打造成渝地区双城经济圈法治文化集群，建设一批地标性法治文化阵地。加强青少年法治宣传教育实践基地建设，优化完善各级青少年普法宣传实践基地。</w:t>
      </w:r>
    </w:p>
    <w:p>
      <w:pPr>
        <w:spacing w:line="360" w:lineRule="auto"/>
        <w:ind w:firstLine="643"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加大法治文化产品供给。</w:t>
      </w:r>
      <w:r>
        <w:rPr>
          <w:rFonts w:hint="eastAsia" w:ascii="仿宋_GB2312" w:hAnsi="仿宋_GB2312" w:eastAsia="仿宋_GB2312" w:cs="仿宋_GB2312"/>
          <w:b w:val="0"/>
          <w:bCs w:val="0"/>
          <w:sz w:val="32"/>
          <w:szCs w:val="32"/>
        </w:rPr>
        <w:t>建设省、市（州）两级法治融媒体中心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构建智能化、专业化的新媒体普法平台，实现县以上地方新媒体普法平台与四川普法平台互联互通。强化“法治四川行”法治宣传平台建设，形成融“报、网、端、微、屏”于一体的全媒体法治传播体系。探索建立“企业运营、市场运作、政府购买、社会资助、百姓受惠”法治文化建设模式。</w:t>
      </w:r>
      <w:r>
        <w:rPr>
          <w:rFonts w:hint="eastAsia" w:ascii="仿宋_GB2312" w:hAnsi="仿宋_GB2312" w:eastAsia="仿宋_GB2312" w:cs="仿宋_GB2312"/>
          <w:b w:val="0"/>
          <w:bCs w:val="0"/>
          <w:sz w:val="32"/>
          <w:szCs w:val="32"/>
          <w:lang w:eastAsia="zh-CN"/>
        </w:rPr>
        <w:t>加强法治文艺作品创作扶持力度，编创人民群众喜闻乐见的法治川剧、法治小品、法治歌曲等法治文艺作品</w:t>
      </w:r>
      <w:r>
        <w:rPr>
          <w:rFonts w:hint="eastAsia" w:ascii="仿宋_GB2312" w:hAnsi="仿宋_GB2312" w:eastAsia="仿宋_GB2312" w:cs="仿宋_GB2312"/>
          <w:b w:val="0"/>
          <w:bCs w:val="0"/>
          <w:sz w:val="32"/>
          <w:szCs w:val="32"/>
        </w:rPr>
        <w:t>，建立法治文艺精品库</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打造一批法治文艺传播品牌栏目、节目和工作室，推动法治文化数字化建设。深入开展“法治文艺进万家”、法治微视频微电影征集展播等群众性法治文化活动。</w:t>
      </w:r>
    </w:p>
    <w:p>
      <w:pPr>
        <w:spacing w:line="360" w:lineRule="auto"/>
        <w:ind w:firstLine="643"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推动法治文化传承发展。</w:t>
      </w:r>
      <w:r>
        <w:rPr>
          <w:rFonts w:hint="eastAsia" w:ascii="仿宋_GB2312" w:hAnsi="仿宋_GB2312" w:eastAsia="仿宋_GB2312" w:cs="仿宋_GB2312"/>
          <w:b w:val="0"/>
          <w:bCs w:val="0"/>
          <w:sz w:val="32"/>
          <w:szCs w:val="32"/>
        </w:rPr>
        <w:t>依托省内高等院校、科研团体、法治部门、法律服务单位建立中华优秀传统法律文化研究基地</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加强对法治</w:t>
      </w:r>
      <w:r>
        <w:rPr>
          <w:rFonts w:hint="eastAsia" w:ascii="仿宋_GB2312" w:hAnsi="仿宋_GB2312" w:eastAsia="仿宋_GB2312" w:cs="仿宋_GB2312"/>
          <w:b w:val="0"/>
          <w:bCs w:val="0"/>
          <w:sz w:val="32"/>
          <w:szCs w:val="32"/>
          <w:lang w:eastAsia="zh-CN"/>
        </w:rPr>
        <w:t>文化</w:t>
      </w:r>
      <w:r>
        <w:rPr>
          <w:rFonts w:hint="eastAsia" w:ascii="仿宋_GB2312" w:hAnsi="仿宋_GB2312" w:eastAsia="仿宋_GB2312" w:cs="仿宋_GB2312"/>
          <w:b w:val="0"/>
          <w:bCs w:val="0"/>
          <w:sz w:val="32"/>
          <w:szCs w:val="32"/>
        </w:rPr>
        <w:t>历史</w:t>
      </w:r>
      <w:r>
        <w:rPr>
          <w:rFonts w:hint="eastAsia" w:ascii="仿宋_GB2312" w:hAnsi="仿宋_GB2312" w:eastAsia="仿宋_GB2312" w:cs="仿宋_GB2312"/>
          <w:b w:val="0"/>
          <w:bCs w:val="0"/>
          <w:sz w:val="32"/>
          <w:szCs w:val="32"/>
          <w:lang w:eastAsia="zh-CN"/>
        </w:rPr>
        <w:t>遗址</w:t>
      </w:r>
      <w:r>
        <w:rPr>
          <w:rFonts w:hint="eastAsia" w:ascii="仿宋_GB2312" w:hAnsi="仿宋_GB2312" w:eastAsia="仿宋_GB2312" w:cs="仿宋_GB2312"/>
          <w:b w:val="0"/>
          <w:bCs w:val="0"/>
          <w:sz w:val="32"/>
          <w:szCs w:val="32"/>
        </w:rPr>
        <w:t>遗迹</w:t>
      </w:r>
      <w:r>
        <w:rPr>
          <w:rFonts w:hint="eastAsia" w:ascii="仿宋_GB2312" w:hAnsi="仿宋_GB2312" w:eastAsia="仿宋_GB2312" w:cs="仿宋_GB2312"/>
          <w:b w:val="0"/>
          <w:bCs w:val="0"/>
          <w:sz w:val="32"/>
          <w:szCs w:val="32"/>
          <w:lang w:eastAsia="zh-CN"/>
        </w:rPr>
        <w:t>调查</w:t>
      </w:r>
      <w:r>
        <w:rPr>
          <w:rFonts w:hint="eastAsia" w:ascii="仿宋_GB2312" w:hAnsi="仿宋_GB2312" w:eastAsia="仿宋_GB2312" w:cs="仿宋_GB2312"/>
          <w:b w:val="0"/>
          <w:bCs w:val="0"/>
          <w:sz w:val="32"/>
          <w:szCs w:val="32"/>
        </w:rPr>
        <w:t>和保护。</w:t>
      </w:r>
      <w:r>
        <w:rPr>
          <w:rFonts w:hint="eastAsia" w:ascii="仿宋_GB2312" w:hAnsi="仿宋_GB2312" w:eastAsia="仿宋_GB2312" w:cs="仿宋_GB2312"/>
          <w:sz w:val="32"/>
          <w:szCs w:val="32"/>
          <w:lang w:val="en-US" w:eastAsia="zh-CN"/>
        </w:rPr>
        <w:t>加强红色法治文化传承宣传，以“伟人故里”“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将帅</w:t>
      </w:r>
      <w:r>
        <w:rPr>
          <w:rFonts w:hint="eastAsia" w:ascii="仿宋_GB2312" w:hAnsi="仿宋_GB2312" w:eastAsia="仿宋_GB2312" w:cs="仿宋_GB2312"/>
          <w:sz w:val="32"/>
          <w:szCs w:val="32"/>
          <w:lang w:val="en-US" w:eastAsia="zh-CN"/>
        </w:rPr>
        <w:t>故居”“英雄故乡”以及长征文物、川陕苏区文物等为载体</w:t>
      </w:r>
      <w:r>
        <w:rPr>
          <w:rFonts w:hint="eastAsia" w:ascii="仿宋_GB2312" w:hAnsi="仿宋_GB2312" w:eastAsia="仿宋_GB2312" w:cs="仿宋_GB2312"/>
          <w:b w:val="0"/>
          <w:bCs w:val="0"/>
          <w:sz w:val="32"/>
          <w:szCs w:val="32"/>
        </w:rPr>
        <w:t>建设一批法治宣传教育基地</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支持巴中、广安、达州等地打造红色法治文化示范基地，支持南充市仪陇县打造贯彻习近平法治思想“德法教育基地”</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sz w:val="32"/>
          <w:szCs w:val="32"/>
        </w:rPr>
        <w:t>建立四川红色法治文化遗存目录。组织开展红色法治文化研究阐发、展示利用、宣传普及、传播交流等活动。推动法治文化交流互访、合作共享。加强涉外法治文化传播。</w:t>
      </w:r>
    </w:p>
    <w:p>
      <w:pPr>
        <w:spacing w:line="276" w:lineRule="auto"/>
        <w:jc w:val="center"/>
        <w:rPr>
          <w:rFonts w:ascii="黑体" w:hAnsi="黑体" w:eastAsia="黑体"/>
          <w:sz w:val="30"/>
          <w:szCs w:val="30"/>
        </w:rPr>
      </w:pPr>
      <w:r>
        <w:rPr>
          <w:rFonts w:hint="eastAsia" w:ascii="黑体" w:hAnsi="黑体" w:eastAsia="黑体"/>
          <w:sz w:val="30"/>
          <w:szCs w:val="30"/>
        </w:rPr>
        <w:t>专栏2  提高普法工作质效</w:t>
      </w:r>
    </w:p>
    <w:tbl>
      <w:tblPr>
        <w:tblStyle w:val="9"/>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6" w:hRule="atLeast"/>
          <w:jc w:val="center"/>
        </w:trPr>
        <w:tc>
          <w:tcPr>
            <w:tcW w:w="8520" w:type="dxa"/>
            <w:tcBorders>
              <w:top w:val="single" w:color="auto" w:sz="4" w:space="0"/>
              <w:left w:val="single" w:color="auto" w:sz="4" w:space="0"/>
              <w:bottom w:val="single" w:color="auto" w:sz="4" w:space="0"/>
              <w:right w:val="single" w:color="auto" w:sz="4" w:space="0"/>
            </w:tcBorders>
          </w:tcPr>
          <w:p>
            <w:pPr>
              <w:spacing w:line="580" w:lineRule="exact"/>
              <w:ind w:firstLine="562" w:firstLineChars="200"/>
              <w:rPr>
                <w:rFonts w:hint="eastAsia" w:ascii="楷体_GB2312" w:hAnsi="楷体_GB2312" w:eastAsia="楷体_GB2312" w:cs="楷体_GB2312"/>
                <w:sz w:val="28"/>
                <w:szCs w:val="28"/>
              </w:rPr>
            </w:pPr>
            <w:r>
              <w:rPr>
                <w:rFonts w:hint="eastAsia" w:ascii="楷体_GB2312" w:hAnsi="楷体_GB2312" w:eastAsia="楷体_GB2312" w:cs="楷体_GB2312"/>
                <w:b/>
                <w:bCs/>
                <w:sz w:val="28"/>
                <w:szCs w:val="28"/>
              </w:rPr>
              <w:t>宪法学习宣传教育工程。</w:t>
            </w:r>
            <w:r>
              <w:rPr>
                <w:rFonts w:hint="eastAsia" w:ascii="楷体_GB2312" w:hAnsi="楷体_GB2312" w:eastAsia="楷体_GB2312" w:cs="楷体_GB2312"/>
                <w:sz w:val="28"/>
                <w:szCs w:val="28"/>
              </w:rPr>
              <w:t>开展“宪法宣传周”“四川年度十大法治人物评选”等活动。鼓励、支持有条件的地区建设一批宪法宣传教育基地（公园、广场）。</w:t>
            </w:r>
          </w:p>
          <w:p>
            <w:pPr>
              <w:spacing w:line="580" w:lineRule="exact"/>
              <w:ind w:firstLine="562" w:firstLineChars="200"/>
              <w:rPr>
                <w:rFonts w:hint="eastAsia" w:ascii="楷体_GB2312" w:hAnsi="楷体_GB2312" w:eastAsia="楷体_GB2312" w:cs="楷体_GB2312"/>
                <w:sz w:val="28"/>
                <w:szCs w:val="28"/>
              </w:rPr>
            </w:pPr>
            <w:r>
              <w:rPr>
                <w:rFonts w:hint="eastAsia" w:ascii="楷体_GB2312" w:hAnsi="楷体_GB2312" w:eastAsia="楷体_GB2312" w:cs="楷体_GB2312"/>
                <w:b/>
                <w:bCs/>
                <w:sz w:val="28"/>
                <w:szCs w:val="28"/>
              </w:rPr>
              <w:t>民法典学习宣传工程</w:t>
            </w:r>
            <w:r>
              <w:rPr>
                <w:rFonts w:hint="eastAsia" w:ascii="楷体_GB2312" w:hAnsi="楷体_GB2312" w:eastAsia="楷体_GB2312" w:cs="楷体_GB2312"/>
                <w:sz w:val="28"/>
                <w:szCs w:val="28"/>
              </w:rPr>
              <w:t>。成立四川省“八五”普法暨民法典普法宣讲团，鼓励、支持有条件的地方建设一批民法典公园、广场、长廊。</w:t>
            </w:r>
          </w:p>
          <w:p>
            <w:pPr>
              <w:spacing w:line="580" w:lineRule="exact"/>
              <w:ind w:firstLine="562" w:firstLineChars="200"/>
              <w:rPr>
                <w:rFonts w:hint="eastAsia" w:ascii="楷体_GB2312" w:hAnsi="楷体_GB2312" w:eastAsia="楷体_GB2312" w:cs="楷体_GB2312"/>
                <w:color w:val="C00000"/>
                <w:sz w:val="28"/>
                <w:szCs w:val="28"/>
                <w:lang w:eastAsia="zh-CN"/>
              </w:rPr>
            </w:pPr>
            <w:r>
              <w:rPr>
                <w:rFonts w:hint="eastAsia" w:ascii="楷体_GB2312" w:hAnsi="楷体_GB2312" w:eastAsia="楷体_GB2312" w:cs="楷体_GB2312"/>
                <w:b/>
                <w:bCs/>
                <w:sz w:val="28"/>
                <w:szCs w:val="28"/>
              </w:rPr>
              <w:t>公民法治素养提升工程。</w:t>
            </w:r>
            <w:r>
              <w:rPr>
                <w:rFonts w:hint="eastAsia" w:ascii="楷体_GB2312" w:hAnsi="楷体_GB2312" w:eastAsia="楷体_GB2312" w:cs="楷体_GB2312"/>
                <w:sz w:val="28"/>
                <w:szCs w:val="28"/>
              </w:rPr>
              <w:t>组织编写“八五”普法系列读物，搭建省级“学法考试平台”，实现国家工作人员在线学法</w:t>
            </w:r>
            <w:r>
              <w:rPr>
                <w:rFonts w:hint="eastAsia" w:ascii="楷体_GB2312" w:hAnsi="楷体_GB2312" w:eastAsia="楷体_GB2312" w:cs="楷体_GB2312"/>
                <w:color w:val="121212"/>
                <w:sz w:val="28"/>
                <w:szCs w:val="28"/>
              </w:rPr>
              <w:t>考试全覆盖。高标准建设一批青少年法治教育基地 。开展涉藏地区寺庙僧尼法律知识测试，打造汉藏</w:t>
            </w:r>
            <w:r>
              <w:rPr>
                <w:rFonts w:hint="eastAsia" w:ascii="楷体_GB2312" w:hAnsi="楷体_GB2312" w:eastAsia="楷体_GB2312" w:cs="楷体_GB2312"/>
                <w:color w:val="121212"/>
                <w:sz w:val="28"/>
                <w:szCs w:val="28"/>
                <w:lang w:eastAsia="zh-CN"/>
              </w:rPr>
              <w:t>“</w:t>
            </w:r>
            <w:r>
              <w:rPr>
                <w:rFonts w:hint="eastAsia" w:ascii="楷体_GB2312" w:hAnsi="楷体_GB2312" w:eastAsia="楷体_GB2312" w:cs="楷体_GB2312"/>
                <w:color w:val="121212"/>
                <w:sz w:val="28"/>
                <w:szCs w:val="28"/>
              </w:rPr>
              <w:t>双语</w:t>
            </w:r>
            <w:r>
              <w:rPr>
                <w:rFonts w:hint="eastAsia" w:ascii="楷体_GB2312" w:hAnsi="楷体_GB2312" w:eastAsia="楷体_GB2312" w:cs="楷体_GB2312"/>
                <w:color w:val="121212"/>
                <w:sz w:val="28"/>
                <w:szCs w:val="28"/>
                <w:lang w:eastAsia="zh-CN"/>
              </w:rPr>
              <w:t>”广播电视</w:t>
            </w:r>
            <w:r>
              <w:rPr>
                <w:rFonts w:hint="eastAsia" w:ascii="楷体_GB2312" w:hAnsi="楷体_GB2312" w:eastAsia="楷体_GB2312" w:cs="楷体_GB2312"/>
                <w:color w:val="121212"/>
                <w:sz w:val="28"/>
                <w:szCs w:val="28"/>
              </w:rPr>
              <w:t>普法精品栏目。广泛开展“送法进彝乡”等专项活动</w:t>
            </w:r>
            <w:r>
              <w:rPr>
                <w:rFonts w:hint="eastAsia" w:ascii="楷体_GB2312" w:hAnsi="楷体_GB2312" w:eastAsia="楷体_GB2312" w:cs="楷体_GB2312"/>
                <w:color w:val="121212"/>
                <w:sz w:val="28"/>
                <w:szCs w:val="28"/>
                <w:lang w:eastAsia="zh-CN"/>
              </w:rPr>
              <w:t>。</w:t>
            </w:r>
          </w:p>
          <w:p>
            <w:pPr>
              <w:spacing w:line="580" w:lineRule="exact"/>
              <w:ind w:firstLine="562" w:firstLineChars="200"/>
              <w:rPr>
                <w:rFonts w:hint="default" w:eastAsia="楷体_GB2312"/>
                <w:lang w:val="en-US" w:eastAsia="zh-CN"/>
              </w:rPr>
            </w:pPr>
            <w:r>
              <w:rPr>
                <w:rFonts w:hint="eastAsia" w:ascii="楷体_GB2312" w:hAnsi="楷体_GB2312" w:eastAsia="楷体_GB2312" w:cs="楷体_GB2312"/>
                <w:b/>
                <w:bCs/>
                <w:sz w:val="28"/>
                <w:szCs w:val="28"/>
              </w:rPr>
              <w:t>法治文化惠民工程。</w:t>
            </w:r>
            <w:r>
              <w:rPr>
                <w:rFonts w:hint="eastAsia" w:ascii="楷体_GB2312" w:hAnsi="楷体_GB2312" w:eastAsia="楷体_GB2312" w:cs="楷体_GB2312"/>
                <w:sz w:val="28"/>
                <w:szCs w:val="28"/>
              </w:rPr>
              <w:t>培树法治文化建设先进典型，建立一批法治文化建设示范点。广泛深入开展“法治文艺进万家”、法治微视频微电影大赛等群众性法治文化活动，创建“法博士·普法微课堂”等一批法治文艺传播品牌栏目、节目和工作室。完善媒体公益普法机制，制作投播一批“八五”普法主题公益广告。</w:t>
            </w:r>
          </w:p>
        </w:tc>
      </w:tr>
    </w:tbl>
    <w:p/>
    <w:p>
      <w:pPr>
        <w:keepNext/>
        <w:keepLines/>
        <w:spacing w:beforeLines="30" w:afterLines="30" w:line="360" w:lineRule="auto"/>
        <w:jc w:val="center"/>
        <w:outlineLvl w:val="1"/>
        <w:rPr>
          <w:rFonts w:hint="eastAsia" w:ascii="楷体_GB2312" w:hAnsi="楷体_GB2312" w:eastAsia="楷体_GB2312" w:cs="楷体_GB2312"/>
          <w:sz w:val="32"/>
          <w:szCs w:val="32"/>
        </w:rPr>
      </w:pPr>
      <w:bookmarkStart w:id="31" w:name="_Toc32488"/>
      <w:r>
        <w:rPr>
          <w:rFonts w:hint="eastAsia" w:ascii="楷体_GB2312" w:hAnsi="楷体_GB2312" w:eastAsia="楷体_GB2312" w:cs="楷体_GB2312"/>
          <w:sz w:val="32"/>
          <w:szCs w:val="32"/>
        </w:rPr>
        <w:t>第二节  加强法律援助</w:t>
      </w:r>
      <w:bookmarkEnd w:id="29"/>
      <w:bookmarkEnd w:id="30"/>
      <w:r>
        <w:rPr>
          <w:rFonts w:hint="eastAsia" w:ascii="楷体_GB2312" w:hAnsi="楷体_GB2312" w:eastAsia="楷体_GB2312" w:cs="楷体_GB2312"/>
          <w:sz w:val="32"/>
          <w:szCs w:val="32"/>
        </w:rPr>
        <w:t>工作</w:t>
      </w:r>
      <w:bookmarkEnd w:id="31"/>
    </w:p>
    <w:p>
      <w:pPr>
        <w:spacing w:line="360" w:lineRule="auto"/>
        <w:ind w:firstLine="643" w:firstLineChars="200"/>
        <w:rPr>
          <w:rFonts w:hint="eastAsia" w:ascii="仿宋_GB2312" w:hAnsi="仿宋_GB2312" w:eastAsia="仿宋_GB2312" w:cs="仿宋_GB2312"/>
          <w:b w:val="0"/>
          <w:bCs w:val="0"/>
          <w:color w:val="121212"/>
          <w:sz w:val="32"/>
          <w:szCs w:val="32"/>
        </w:rPr>
      </w:pPr>
      <w:r>
        <w:rPr>
          <w:rFonts w:hint="eastAsia" w:ascii="仿宋_GB2312" w:hAnsi="仿宋_GB2312" w:eastAsia="仿宋_GB2312" w:cs="仿宋_GB2312"/>
          <w:b/>
          <w:bCs/>
          <w:sz w:val="32"/>
          <w:szCs w:val="32"/>
        </w:rPr>
        <w:t>健全法律援助保障体系。</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对接法律援助立法</w:t>
      </w:r>
      <w:r>
        <w:rPr>
          <w:rFonts w:hint="eastAsia" w:ascii="仿宋_GB2312" w:hAnsi="仿宋_GB2312" w:eastAsia="仿宋_GB2312" w:cs="仿宋_GB2312"/>
          <w:b w:val="0"/>
          <w:bCs w:val="0"/>
          <w:color w:val="121212"/>
          <w:sz w:val="32"/>
          <w:szCs w:val="32"/>
          <w:lang w:eastAsia="zh-CN"/>
        </w:rPr>
        <w:t>，</w:t>
      </w:r>
      <w:r>
        <w:rPr>
          <w:rFonts w:hint="eastAsia" w:ascii="仿宋_GB2312" w:hAnsi="仿宋_GB2312" w:eastAsia="仿宋_GB2312" w:cs="仿宋_GB2312"/>
          <w:b w:val="0"/>
          <w:bCs w:val="0"/>
          <w:color w:val="121212"/>
          <w:sz w:val="32"/>
          <w:szCs w:val="32"/>
        </w:rPr>
        <w:t>落实法律援助政府责任，完善法律援助经费财政保障机制，将法律援助经费列入同级财政预算，逐步增加投入，建立法律援助案件补贴动态调整机制。制定全省</w:t>
      </w:r>
      <w:r>
        <w:rPr>
          <w:rFonts w:hint="eastAsia" w:ascii="仿宋_GB2312" w:hAnsi="仿宋_GB2312" w:eastAsia="仿宋_GB2312" w:cs="仿宋_GB2312"/>
          <w:b w:val="0"/>
          <w:bCs w:val="0"/>
          <w:color w:val="121212"/>
          <w:sz w:val="32"/>
          <w:szCs w:val="32"/>
          <w:lang w:eastAsia="zh-CN"/>
        </w:rPr>
        <w:t>基本公共服务（</w:t>
      </w:r>
      <w:r>
        <w:rPr>
          <w:rFonts w:hint="eastAsia" w:ascii="仿宋_GB2312" w:hAnsi="仿宋_GB2312" w:eastAsia="仿宋_GB2312" w:cs="仿宋_GB2312"/>
          <w:b w:val="0"/>
          <w:bCs w:val="0"/>
          <w:color w:val="121212"/>
          <w:sz w:val="32"/>
          <w:szCs w:val="32"/>
        </w:rPr>
        <w:t>法律援助</w:t>
      </w:r>
      <w:r>
        <w:rPr>
          <w:rFonts w:hint="eastAsia" w:ascii="仿宋_GB2312" w:hAnsi="仿宋_GB2312" w:eastAsia="仿宋_GB2312" w:cs="仿宋_GB2312"/>
          <w:b w:val="0"/>
          <w:bCs w:val="0"/>
          <w:color w:val="121212"/>
          <w:sz w:val="32"/>
          <w:szCs w:val="32"/>
          <w:lang w:eastAsia="zh-CN"/>
        </w:rPr>
        <w:t>）</w:t>
      </w:r>
      <w:r>
        <w:rPr>
          <w:rFonts w:hint="eastAsia" w:ascii="仿宋_GB2312" w:hAnsi="仿宋_GB2312" w:eastAsia="仿宋_GB2312" w:cs="仿宋_GB2312"/>
          <w:b w:val="0"/>
          <w:bCs w:val="0"/>
          <w:color w:val="121212"/>
          <w:sz w:val="32"/>
          <w:szCs w:val="32"/>
        </w:rPr>
        <w:t>实施</w:t>
      </w:r>
      <w:r>
        <w:rPr>
          <w:rFonts w:hint="eastAsia" w:ascii="仿宋_GB2312" w:hAnsi="仿宋_GB2312" w:eastAsia="仿宋_GB2312" w:cs="仿宋_GB2312"/>
          <w:b w:val="0"/>
          <w:bCs w:val="0"/>
          <w:color w:val="121212"/>
          <w:sz w:val="32"/>
          <w:szCs w:val="32"/>
          <w:lang w:eastAsia="zh-CN"/>
        </w:rPr>
        <w:t>标准</w:t>
      </w:r>
      <w:r>
        <w:rPr>
          <w:rFonts w:hint="eastAsia" w:ascii="仿宋_GB2312" w:hAnsi="仿宋_GB2312" w:eastAsia="仿宋_GB2312" w:cs="仿宋_GB2312"/>
          <w:b w:val="0"/>
          <w:bCs w:val="0"/>
          <w:color w:val="121212"/>
          <w:sz w:val="32"/>
          <w:szCs w:val="32"/>
        </w:rPr>
        <w:t>，明确服务对象、内容、标准及经费支出责任。加强全省法律援助机构规范化、标准化建设，推进市县法律援助机构全覆盖，打造民族地区法律援助对口帮扶示范点。健全完善法律援助对口帮扶和异地协助机制，打造省外法律援助工作站示范工程。拓宽法律援助经费来源渠道。</w:t>
      </w:r>
    </w:p>
    <w:p>
      <w:pPr>
        <w:spacing w:line="360" w:lineRule="auto"/>
        <w:ind w:firstLine="643" w:firstLineChars="200"/>
        <w:rPr>
          <w:rFonts w:hint="eastAsia" w:ascii="仿宋_GB2312" w:hAnsi="仿宋_GB2312" w:eastAsia="仿宋_GB2312" w:cs="仿宋_GB2312"/>
          <w:b w:val="0"/>
          <w:bCs w:val="0"/>
          <w:color w:val="121212"/>
          <w:sz w:val="32"/>
          <w:szCs w:val="32"/>
        </w:rPr>
      </w:pPr>
      <w:r>
        <w:rPr>
          <w:rFonts w:hint="eastAsia" w:ascii="仿宋_GB2312" w:hAnsi="仿宋_GB2312" w:eastAsia="仿宋_GB2312" w:cs="仿宋_GB2312"/>
          <w:b/>
          <w:bCs/>
          <w:color w:val="121212"/>
          <w:sz w:val="32"/>
          <w:szCs w:val="32"/>
        </w:rPr>
        <w:t>抓好重点群体法律援助工作。</w:t>
      </w:r>
      <w:r>
        <w:rPr>
          <w:rFonts w:hint="eastAsia" w:ascii="仿宋_GB2312" w:hAnsi="仿宋_GB2312" w:eastAsia="仿宋_GB2312" w:cs="仿宋_GB2312"/>
          <w:b w:val="0"/>
          <w:bCs w:val="0"/>
          <w:color w:val="121212"/>
          <w:sz w:val="32"/>
          <w:szCs w:val="32"/>
        </w:rPr>
        <w:t>加强未成年人、妇女、老年人、农民工等重点群体法律援助工作，依法有序扩大法律援助范围，科学合理确定经济困难标准和事项范围，拓宽覆盖人群。建立重点群体法律援助绿色通道。实现农民工欠薪法律援助“一站通办”“一线通办”“一网通办”。</w:t>
      </w:r>
    </w:p>
    <w:p>
      <w:pPr>
        <w:spacing w:line="360" w:lineRule="auto"/>
        <w:ind w:firstLine="643" w:firstLineChars="200"/>
        <w:rPr>
          <w:rFonts w:hint="eastAsia" w:ascii="仿宋_GB2312" w:hAnsi="仿宋_GB2312" w:eastAsia="仿宋_GB2312" w:cs="仿宋_GB2312"/>
          <w:b w:val="0"/>
          <w:bCs w:val="0"/>
          <w:color w:val="121212"/>
          <w:sz w:val="32"/>
          <w:szCs w:val="32"/>
        </w:rPr>
      </w:pPr>
      <w:r>
        <w:rPr>
          <w:rFonts w:hint="eastAsia" w:ascii="仿宋_GB2312" w:hAnsi="仿宋_GB2312" w:eastAsia="仿宋_GB2312" w:cs="仿宋_GB2312"/>
          <w:b/>
          <w:bCs/>
          <w:color w:val="121212"/>
          <w:sz w:val="32"/>
          <w:szCs w:val="32"/>
        </w:rPr>
        <w:t>提升法律援助服务质效。</w:t>
      </w:r>
      <w:r>
        <w:rPr>
          <w:rFonts w:hint="eastAsia" w:ascii="仿宋_GB2312" w:hAnsi="仿宋_GB2312" w:eastAsia="仿宋_GB2312" w:cs="仿宋_GB2312"/>
          <w:b w:val="0"/>
          <w:bCs w:val="0"/>
          <w:color w:val="121212"/>
          <w:sz w:val="32"/>
          <w:szCs w:val="32"/>
        </w:rPr>
        <w:t>充分运用智慧公共法律服务平台，实现法律援助与政法系统数据平台互联互通、信息共享。开展“互联网+法律援助”，实现法律援助案件申请受理、指派办理、结案归档、质量评估全程线上运行。</w:t>
      </w:r>
    </w:p>
    <w:p>
      <w:pPr>
        <w:spacing w:line="276" w:lineRule="auto"/>
        <w:jc w:val="center"/>
        <w:rPr>
          <w:rFonts w:ascii="黑体" w:hAnsi="黑体" w:eastAsia="黑体"/>
          <w:color w:val="121212"/>
          <w:sz w:val="28"/>
          <w:szCs w:val="28"/>
        </w:rPr>
      </w:pPr>
      <w:r>
        <w:rPr>
          <w:rFonts w:hint="eastAsia" w:ascii="黑体" w:hAnsi="黑体" w:eastAsia="黑体"/>
          <w:color w:val="121212"/>
          <w:sz w:val="30"/>
          <w:szCs w:val="30"/>
        </w:rPr>
        <w:t>专栏3  法律援助提升行动</w:t>
      </w:r>
    </w:p>
    <w:tbl>
      <w:tblPr>
        <w:tblStyle w:val="9"/>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jc w:val="center"/>
        </w:trPr>
        <w:tc>
          <w:tcPr>
            <w:tcW w:w="8520" w:type="dxa"/>
            <w:tcBorders>
              <w:top w:val="single" w:color="auto" w:sz="4" w:space="0"/>
              <w:left w:val="single" w:color="auto" w:sz="4" w:space="0"/>
              <w:bottom w:val="single" w:color="auto" w:sz="4" w:space="0"/>
              <w:right w:val="single" w:color="auto" w:sz="4" w:space="0"/>
            </w:tcBorders>
          </w:tcPr>
          <w:p>
            <w:pPr>
              <w:spacing w:line="580" w:lineRule="exact"/>
              <w:ind w:firstLine="562" w:firstLineChars="200"/>
              <w:rPr>
                <w:rFonts w:hint="eastAsia" w:ascii="楷体_GB2312" w:hAnsi="楷体_GB2312" w:eastAsia="楷体_GB2312" w:cs="楷体_GB2312"/>
                <w:color w:val="121212"/>
                <w:sz w:val="28"/>
                <w:szCs w:val="28"/>
              </w:rPr>
            </w:pPr>
            <w:r>
              <w:rPr>
                <w:rFonts w:hint="eastAsia" w:ascii="楷体_GB2312" w:hAnsi="楷体_GB2312" w:eastAsia="楷体_GB2312" w:cs="楷体_GB2312"/>
                <w:b/>
                <w:bCs/>
                <w:color w:val="121212"/>
                <w:sz w:val="28"/>
                <w:szCs w:val="28"/>
              </w:rPr>
              <w:t>法律援助机构能力提升计划。</w:t>
            </w:r>
            <w:r>
              <w:rPr>
                <w:rFonts w:hint="eastAsia" w:ascii="楷体_GB2312" w:hAnsi="楷体_GB2312" w:eastAsia="楷体_GB2312" w:cs="楷体_GB2312"/>
                <w:color w:val="121212"/>
                <w:sz w:val="28"/>
                <w:szCs w:val="28"/>
              </w:rPr>
              <w:t>全省县级以上具有正式编制的法律援助机构建成率90%，规范化、标准化法律援助机构建成率90%以上。</w:t>
            </w:r>
          </w:p>
          <w:p>
            <w:pPr>
              <w:spacing w:line="580" w:lineRule="exact"/>
              <w:ind w:firstLine="562" w:firstLineChars="200"/>
              <w:rPr>
                <w:rFonts w:hint="eastAsia" w:ascii="楷体_GB2312" w:hAnsi="楷体_GB2312" w:eastAsia="楷体_GB2312" w:cs="楷体_GB2312"/>
                <w:color w:val="121212"/>
                <w:sz w:val="28"/>
                <w:szCs w:val="28"/>
              </w:rPr>
            </w:pPr>
            <w:r>
              <w:rPr>
                <w:rFonts w:hint="eastAsia" w:ascii="楷体_GB2312" w:hAnsi="楷体_GB2312" w:eastAsia="楷体_GB2312" w:cs="楷体_GB2312"/>
                <w:b/>
                <w:bCs/>
                <w:color w:val="121212"/>
                <w:sz w:val="28"/>
                <w:szCs w:val="28"/>
              </w:rPr>
              <w:t>重点群体法律援助示范工程。</w:t>
            </w:r>
            <w:r>
              <w:rPr>
                <w:rFonts w:hint="eastAsia" w:ascii="楷体_GB2312" w:hAnsi="楷体_GB2312" w:eastAsia="楷体_GB2312" w:cs="楷体_GB2312"/>
                <w:color w:val="121212"/>
                <w:sz w:val="28"/>
                <w:szCs w:val="28"/>
              </w:rPr>
              <w:t>在广东、浙江、重庆等川籍农民工集中省份打造10家以上标准化省外农民工法律援助工作（指导）站。</w:t>
            </w:r>
          </w:p>
          <w:p>
            <w:pPr>
              <w:spacing w:line="580" w:lineRule="exact"/>
              <w:ind w:firstLine="562" w:firstLineChars="200"/>
              <w:rPr>
                <w:rFonts w:ascii="仿宋" w:hAnsi="仿宋" w:eastAsia="仿宋"/>
                <w:color w:val="121212"/>
                <w:sz w:val="28"/>
                <w:szCs w:val="28"/>
              </w:rPr>
            </w:pPr>
            <w:r>
              <w:rPr>
                <w:rFonts w:hint="eastAsia" w:ascii="楷体_GB2312" w:hAnsi="楷体_GB2312" w:eastAsia="楷体_GB2312" w:cs="楷体_GB2312"/>
                <w:b/>
                <w:bCs/>
                <w:color w:val="121212"/>
                <w:sz w:val="28"/>
                <w:szCs w:val="28"/>
              </w:rPr>
              <w:t>民族地区法律援助对口帮扶示范点建设。</w:t>
            </w:r>
            <w:r>
              <w:rPr>
                <w:rFonts w:hint="eastAsia" w:ascii="楷体_GB2312" w:hAnsi="楷体_GB2312" w:eastAsia="楷体_GB2312" w:cs="楷体_GB2312"/>
                <w:color w:val="121212"/>
                <w:sz w:val="28"/>
                <w:szCs w:val="28"/>
              </w:rPr>
              <w:t>在阿坝、甘孜、凉山等民族地区打造15个民族地区法律援助对口帮扶示范点。</w:t>
            </w:r>
          </w:p>
        </w:tc>
      </w:tr>
    </w:tbl>
    <w:p>
      <w:pPr>
        <w:rPr>
          <w:color w:val="121212"/>
        </w:rPr>
      </w:pPr>
    </w:p>
    <w:p>
      <w:pPr>
        <w:spacing w:line="580" w:lineRule="exact"/>
        <w:ind w:firstLine="1606" w:firstLineChars="500"/>
        <w:rPr>
          <w:rFonts w:hint="eastAsia" w:ascii="楷体_GB2312" w:hAnsi="楷体_GB2312" w:eastAsia="楷体_GB2312" w:cs="楷体_GB2312"/>
          <w:b/>
          <w:bCs/>
          <w:color w:val="121212"/>
          <w:sz w:val="32"/>
          <w:szCs w:val="32"/>
        </w:rPr>
      </w:pPr>
      <w:bookmarkStart w:id="32" w:name="_Toc26537"/>
      <w:r>
        <w:rPr>
          <w:rFonts w:hint="eastAsia" w:ascii="楷体_GB2312" w:hAnsi="楷体_GB2312" w:eastAsia="楷体_GB2312" w:cs="楷体_GB2312"/>
          <w:b/>
          <w:bCs/>
          <w:color w:val="121212"/>
          <w:sz w:val="32"/>
          <w:szCs w:val="32"/>
        </w:rPr>
        <w:t>第三节  创新升级新时代人民调解工作</w:t>
      </w:r>
      <w:bookmarkEnd w:id="32"/>
    </w:p>
    <w:p>
      <w:pPr>
        <w:spacing w:line="360" w:lineRule="auto"/>
        <w:ind w:firstLine="643" w:firstLineChars="200"/>
        <w:rPr>
          <w:rFonts w:hint="eastAsia" w:ascii="仿宋_GB2312" w:hAnsi="仿宋_GB2312" w:eastAsia="仿宋_GB2312" w:cs="仿宋_GB2312"/>
          <w:b w:val="0"/>
          <w:bCs w:val="0"/>
          <w:color w:val="121212"/>
          <w:sz w:val="32"/>
          <w:szCs w:val="32"/>
        </w:rPr>
      </w:pPr>
      <w:r>
        <w:rPr>
          <w:rFonts w:hint="eastAsia" w:ascii="仿宋_GB2312" w:hAnsi="仿宋_GB2312" w:eastAsia="仿宋_GB2312" w:cs="仿宋_GB2312"/>
          <w:b/>
          <w:bCs/>
          <w:color w:val="121212"/>
          <w:sz w:val="32"/>
          <w:szCs w:val="32"/>
        </w:rPr>
        <w:t>创新矛盾纠纷多元化解机制。</w:t>
      </w:r>
      <w:r>
        <w:rPr>
          <w:rFonts w:hint="eastAsia" w:ascii="仿宋_GB2312" w:hAnsi="仿宋_GB2312" w:eastAsia="仿宋_GB2312" w:cs="仿宋_GB2312"/>
          <w:b w:val="0"/>
          <w:bCs w:val="0"/>
          <w:color w:val="121212"/>
          <w:sz w:val="32"/>
          <w:szCs w:val="32"/>
        </w:rPr>
        <w:t>坚持和发展新时代“枫桥经验”，探索构建“调解+”矛盾纠纷多元化解模式，统筹整合调解、公证、仲裁、行政裁决、行政复议等司法行政资源和力量，多方参与矛盾纠纷多元预防调处化解。</w:t>
      </w:r>
    </w:p>
    <w:p>
      <w:pPr>
        <w:spacing w:line="360" w:lineRule="auto"/>
        <w:ind w:firstLine="643" w:firstLineChars="200"/>
        <w:rPr>
          <w:rFonts w:hint="eastAsia" w:ascii="仿宋_GB2312" w:hAnsi="仿宋_GB2312" w:eastAsia="仿宋_GB2312" w:cs="仿宋_GB2312"/>
          <w:b w:val="0"/>
          <w:bCs w:val="0"/>
          <w:color w:val="121212"/>
          <w:sz w:val="32"/>
          <w:szCs w:val="32"/>
        </w:rPr>
      </w:pPr>
      <w:r>
        <w:rPr>
          <w:rFonts w:hint="eastAsia" w:ascii="仿宋_GB2312" w:hAnsi="仿宋_GB2312" w:eastAsia="仿宋_GB2312" w:cs="仿宋_GB2312"/>
          <w:b/>
          <w:bCs/>
          <w:color w:val="121212"/>
          <w:sz w:val="32"/>
          <w:szCs w:val="32"/>
          <w:lang w:eastAsia="zh-CN"/>
        </w:rPr>
        <w:t>完善</w:t>
      </w:r>
      <w:r>
        <w:rPr>
          <w:rFonts w:hint="eastAsia" w:ascii="仿宋_GB2312" w:hAnsi="仿宋_GB2312" w:eastAsia="仿宋_GB2312" w:cs="仿宋_GB2312"/>
          <w:b/>
          <w:bCs/>
          <w:color w:val="121212"/>
          <w:sz w:val="32"/>
          <w:szCs w:val="32"/>
        </w:rPr>
        <w:t>组织建设。</w:t>
      </w:r>
      <w:r>
        <w:rPr>
          <w:rFonts w:hint="eastAsia" w:ascii="仿宋_GB2312" w:hAnsi="仿宋_GB2312" w:eastAsia="仿宋_GB2312" w:cs="仿宋_GB2312"/>
          <w:b w:val="0"/>
          <w:bCs w:val="0"/>
          <w:color w:val="121212"/>
          <w:sz w:val="32"/>
          <w:szCs w:val="32"/>
        </w:rPr>
        <w:t>巩固规范村（社区）和乡镇（街道）人民调解组织。按照“应建尽建”的原则，推动人民调解工作向医疗卫生、道路交通事故、</w:t>
      </w:r>
      <w:r>
        <w:rPr>
          <w:rFonts w:hint="eastAsia" w:ascii="仿宋_GB2312" w:hAnsi="仿宋_GB2312" w:eastAsia="仿宋_GB2312" w:cs="仿宋_GB2312"/>
          <w:b w:val="0"/>
          <w:bCs w:val="0"/>
          <w:color w:val="121212"/>
          <w:sz w:val="32"/>
          <w:szCs w:val="32"/>
          <w:lang w:eastAsia="zh-CN"/>
        </w:rPr>
        <w:t>劳动争议、</w:t>
      </w:r>
      <w:r>
        <w:rPr>
          <w:rFonts w:hint="eastAsia" w:ascii="仿宋_GB2312" w:hAnsi="仿宋_GB2312" w:eastAsia="仿宋_GB2312" w:cs="仿宋_GB2312"/>
          <w:b w:val="0"/>
          <w:bCs w:val="0"/>
          <w:color w:val="121212"/>
          <w:sz w:val="32"/>
          <w:szCs w:val="32"/>
        </w:rPr>
        <w:t>物业服务、知识产权等矛盾纠纷多发领域拓展。打造一批标准化民族地区“双语型”人民调解组织，加快完善专业性、行业性、区域性人民调解组织，构建多层次、宽领域、全覆盖的人民调解组织网络。</w:t>
      </w:r>
    </w:p>
    <w:p>
      <w:pPr>
        <w:spacing w:line="360" w:lineRule="auto"/>
        <w:ind w:firstLine="643" w:firstLineChars="200"/>
        <w:rPr>
          <w:rFonts w:hint="eastAsia" w:ascii="仿宋_GB2312" w:hAnsi="仿宋_GB2312" w:eastAsia="仿宋_GB2312" w:cs="仿宋_GB2312"/>
          <w:b w:val="0"/>
          <w:bCs w:val="0"/>
          <w:color w:val="121212"/>
          <w:sz w:val="32"/>
          <w:szCs w:val="32"/>
        </w:rPr>
      </w:pPr>
      <w:r>
        <w:rPr>
          <w:rFonts w:hint="eastAsia" w:ascii="仿宋_GB2312" w:hAnsi="仿宋_GB2312" w:eastAsia="仿宋_GB2312" w:cs="仿宋_GB2312"/>
          <w:b/>
          <w:bCs/>
          <w:color w:val="121212"/>
          <w:sz w:val="32"/>
          <w:szCs w:val="32"/>
        </w:rPr>
        <w:t>优化队伍结构。</w:t>
      </w:r>
      <w:r>
        <w:rPr>
          <w:rFonts w:hint="eastAsia" w:ascii="仿宋_GB2312" w:hAnsi="仿宋_GB2312" w:eastAsia="仿宋_GB2312" w:cs="仿宋_GB2312"/>
          <w:b w:val="0"/>
          <w:bCs w:val="0"/>
          <w:color w:val="121212"/>
          <w:sz w:val="32"/>
          <w:szCs w:val="32"/>
        </w:rPr>
        <w:t>大力加强专业化、专职化人民调解员队伍建设，有序推进在“五老”人员、乡贤等中选聘人民调解员。配齐配强专职调解员，优化调解员队伍结构。</w:t>
      </w:r>
    </w:p>
    <w:p>
      <w:pPr>
        <w:spacing w:line="360" w:lineRule="auto"/>
        <w:ind w:firstLine="643" w:firstLineChars="200"/>
        <w:rPr>
          <w:rFonts w:hint="eastAsia" w:ascii="仿宋_GB2312" w:hAnsi="仿宋_GB2312" w:eastAsia="仿宋_GB2312" w:cs="仿宋_GB2312"/>
          <w:b w:val="0"/>
          <w:bCs w:val="0"/>
          <w:color w:val="121212"/>
          <w:sz w:val="32"/>
          <w:szCs w:val="32"/>
        </w:rPr>
      </w:pPr>
      <w:r>
        <w:rPr>
          <w:rFonts w:hint="eastAsia" w:ascii="仿宋_GB2312" w:hAnsi="仿宋_GB2312" w:eastAsia="仿宋_GB2312" w:cs="仿宋_GB2312"/>
          <w:b/>
          <w:bCs/>
          <w:color w:val="121212"/>
          <w:sz w:val="32"/>
          <w:szCs w:val="32"/>
        </w:rPr>
        <w:t>强化品牌引领。</w:t>
      </w:r>
      <w:r>
        <w:rPr>
          <w:rFonts w:hint="eastAsia" w:ascii="仿宋_GB2312" w:hAnsi="仿宋_GB2312" w:eastAsia="仿宋_GB2312" w:cs="仿宋_GB2312"/>
          <w:b w:val="0"/>
          <w:bCs w:val="0"/>
          <w:color w:val="121212"/>
          <w:sz w:val="32"/>
          <w:szCs w:val="32"/>
        </w:rPr>
        <w:t>积极推进特色品牌调解室建设，培育和打造优质调解品牌，打造一批省级品牌调解工作室，鼓励支持具备条件的调解员建立个人品牌调解室。推动人民调解组织服务乡村振兴、成渝地区双城经济圈建设等重大</w:t>
      </w:r>
      <w:r>
        <w:rPr>
          <w:rFonts w:hint="eastAsia" w:ascii="仿宋_GB2312" w:hAnsi="仿宋_GB2312" w:eastAsia="仿宋_GB2312" w:cs="仿宋_GB2312"/>
          <w:b w:val="0"/>
          <w:bCs w:val="0"/>
          <w:color w:val="121212"/>
          <w:sz w:val="32"/>
          <w:szCs w:val="32"/>
          <w:lang w:eastAsia="zh-CN"/>
        </w:rPr>
        <w:t>战略</w:t>
      </w:r>
      <w:r>
        <w:rPr>
          <w:rFonts w:hint="eastAsia" w:ascii="仿宋_GB2312" w:hAnsi="仿宋_GB2312" w:eastAsia="仿宋_GB2312" w:cs="仿宋_GB2312"/>
          <w:b w:val="0"/>
          <w:bCs w:val="0"/>
          <w:color w:val="121212"/>
          <w:sz w:val="32"/>
          <w:szCs w:val="32"/>
        </w:rPr>
        <w:t>，探索特色品牌调解室进驻</w:t>
      </w:r>
      <w:r>
        <w:rPr>
          <w:rFonts w:hint="eastAsia" w:ascii="仿宋_GB2312" w:hAnsi="仿宋_GB2312" w:eastAsia="仿宋_GB2312" w:cs="仿宋_GB2312"/>
          <w:b w:val="0"/>
          <w:bCs w:val="0"/>
          <w:color w:val="121212"/>
          <w:sz w:val="32"/>
          <w:szCs w:val="32"/>
          <w:lang w:eastAsia="zh-CN"/>
        </w:rPr>
        <w:t>重大工程项目工地</w:t>
      </w:r>
      <w:r>
        <w:rPr>
          <w:rFonts w:hint="eastAsia" w:ascii="仿宋_GB2312" w:hAnsi="仿宋_GB2312" w:eastAsia="仿宋_GB2312" w:cs="仿宋_GB2312"/>
          <w:b w:val="0"/>
          <w:bCs w:val="0"/>
          <w:color w:val="121212"/>
          <w:sz w:val="32"/>
          <w:szCs w:val="32"/>
        </w:rPr>
        <w:t>。</w:t>
      </w:r>
    </w:p>
    <w:p>
      <w:pPr>
        <w:spacing w:line="276" w:lineRule="auto"/>
        <w:jc w:val="center"/>
        <w:rPr>
          <w:rFonts w:ascii="黑体" w:hAnsi="黑体" w:eastAsia="黑体"/>
          <w:color w:val="121212"/>
          <w:sz w:val="30"/>
          <w:szCs w:val="30"/>
        </w:rPr>
      </w:pPr>
      <w:r>
        <w:rPr>
          <w:rFonts w:hint="eastAsia" w:ascii="黑体" w:hAnsi="黑体" w:eastAsia="黑体"/>
          <w:color w:val="121212"/>
          <w:sz w:val="30"/>
          <w:szCs w:val="30"/>
        </w:rPr>
        <w:t>专栏4  创新升级新时代人民调解工作</w:t>
      </w:r>
    </w:p>
    <w:tbl>
      <w:tblPr>
        <w:tblStyle w:val="9"/>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520" w:type="dxa"/>
            <w:tcBorders>
              <w:top w:val="single" w:color="auto" w:sz="4" w:space="0"/>
              <w:left w:val="single" w:color="auto" w:sz="4" w:space="0"/>
              <w:bottom w:val="single" w:color="auto" w:sz="4" w:space="0"/>
              <w:right w:val="single" w:color="auto" w:sz="4" w:space="0"/>
            </w:tcBorders>
          </w:tcPr>
          <w:p>
            <w:pPr>
              <w:spacing w:line="560" w:lineRule="exact"/>
              <w:ind w:firstLine="562" w:firstLineChars="200"/>
              <w:rPr>
                <w:rFonts w:ascii="仿宋" w:hAnsi="仿宋" w:eastAsia="仿宋"/>
                <w:color w:val="121212"/>
                <w:sz w:val="28"/>
                <w:szCs w:val="28"/>
              </w:rPr>
            </w:pPr>
            <w:r>
              <w:rPr>
                <w:rFonts w:hint="eastAsia" w:ascii="楷体_GB2312" w:hAnsi="楷体_GB2312" w:eastAsia="楷体_GB2312" w:cs="楷体_GB2312"/>
                <w:b/>
                <w:bCs/>
                <w:color w:val="121212"/>
                <w:sz w:val="28"/>
                <w:szCs w:val="28"/>
              </w:rPr>
              <w:t>人民调解能力提升工程。</w:t>
            </w:r>
            <w:r>
              <w:rPr>
                <w:rFonts w:hint="eastAsia" w:ascii="楷体_GB2312" w:hAnsi="楷体_GB2312" w:eastAsia="楷体_GB2312" w:cs="楷体_GB2312"/>
                <w:b w:val="0"/>
                <w:bCs w:val="0"/>
                <w:color w:val="121212"/>
                <w:sz w:val="28"/>
                <w:szCs w:val="28"/>
              </w:rPr>
              <w:t>打造500个省级品牌调解工作室，打造50个标准化民族地区“双语型”人民调解组织。通过政府购买服务方式，按计划按标准配齐配强专职调解员。培育1000名金牌人民调解员，开展“百优调解专家团队”建设</w:t>
            </w:r>
            <w:r>
              <w:rPr>
                <w:rFonts w:hint="eastAsia" w:ascii="仿宋" w:hAnsi="仿宋" w:eastAsia="仿宋"/>
                <w:b w:val="0"/>
                <w:bCs w:val="0"/>
                <w:color w:val="121212"/>
                <w:sz w:val="28"/>
                <w:szCs w:val="28"/>
              </w:rPr>
              <w:t>。</w:t>
            </w:r>
          </w:p>
        </w:tc>
      </w:tr>
    </w:tbl>
    <w:p>
      <w:pPr>
        <w:rPr>
          <w:color w:val="121212"/>
        </w:rPr>
      </w:pPr>
    </w:p>
    <w:p>
      <w:pPr>
        <w:keepNext/>
        <w:keepLines/>
        <w:spacing w:beforeLines="30" w:afterLines="30" w:line="360" w:lineRule="auto"/>
        <w:jc w:val="center"/>
        <w:outlineLvl w:val="1"/>
        <w:rPr>
          <w:rFonts w:hint="eastAsia" w:ascii="楷体_GB2312" w:hAnsi="楷体_GB2312" w:eastAsia="楷体_GB2312" w:cs="楷体_GB2312"/>
          <w:b/>
          <w:bCs/>
          <w:color w:val="121212"/>
          <w:sz w:val="32"/>
          <w:szCs w:val="32"/>
        </w:rPr>
      </w:pPr>
      <w:bookmarkStart w:id="33" w:name="_Toc16991"/>
      <w:r>
        <w:rPr>
          <w:rFonts w:hint="eastAsia" w:ascii="楷体_GB2312" w:hAnsi="楷体_GB2312" w:eastAsia="楷体_GB2312" w:cs="楷体_GB2312"/>
          <w:b/>
          <w:bCs/>
          <w:color w:val="121212"/>
          <w:sz w:val="32"/>
          <w:szCs w:val="32"/>
        </w:rPr>
        <w:t>第四节  优化律师法律服务</w:t>
      </w:r>
      <w:bookmarkEnd w:id="33"/>
    </w:p>
    <w:p>
      <w:pPr>
        <w:spacing w:line="360" w:lineRule="auto"/>
        <w:ind w:firstLine="643" w:firstLineChars="200"/>
        <w:rPr>
          <w:rFonts w:hint="eastAsia" w:ascii="仿宋_GB2312" w:hAnsi="仿宋_GB2312" w:eastAsia="仿宋_GB2312" w:cs="仿宋_GB2312"/>
          <w:b w:val="0"/>
          <w:bCs w:val="0"/>
          <w:color w:val="121212"/>
          <w:sz w:val="32"/>
          <w:szCs w:val="32"/>
        </w:rPr>
      </w:pPr>
      <w:r>
        <w:rPr>
          <w:rFonts w:hint="eastAsia" w:ascii="仿宋_GB2312" w:hAnsi="仿宋_GB2312" w:eastAsia="仿宋_GB2312" w:cs="仿宋_GB2312"/>
          <w:b/>
          <w:bCs/>
          <w:color w:val="121212"/>
          <w:sz w:val="32"/>
          <w:szCs w:val="32"/>
        </w:rPr>
        <w:t>加强党政机关法律顾问、公职律师队伍建设。</w:t>
      </w:r>
      <w:r>
        <w:rPr>
          <w:rFonts w:hint="eastAsia" w:ascii="仿宋_GB2312" w:hAnsi="仿宋_GB2312" w:eastAsia="仿宋_GB2312" w:cs="仿宋_GB2312"/>
          <w:b w:val="0"/>
          <w:bCs w:val="0"/>
          <w:color w:val="121212"/>
          <w:sz w:val="32"/>
          <w:szCs w:val="32"/>
          <w:lang w:eastAsia="zh-CN"/>
        </w:rPr>
        <w:t>进一步扩大党政机关</w:t>
      </w:r>
      <w:r>
        <w:rPr>
          <w:rFonts w:hint="eastAsia" w:ascii="仿宋_GB2312" w:hAnsi="仿宋_GB2312" w:eastAsia="仿宋_GB2312" w:cs="仿宋_GB2312"/>
          <w:b w:val="0"/>
          <w:bCs w:val="0"/>
          <w:color w:val="121212"/>
          <w:sz w:val="32"/>
          <w:szCs w:val="32"/>
        </w:rPr>
        <w:t>法律顾问</w:t>
      </w:r>
      <w:r>
        <w:rPr>
          <w:rFonts w:hint="eastAsia" w:ascii="仿宋_GB2312" w:hAnsi="仿宋_GB2312" w:eastAsia="仿宋_GB2312" w:cs="仿宋_GB2312"/>
          <w:b w:val="0"/>
          <w:bCs w:val="0"/>
          <w:color w:val="121212"/>
          <w:sz w:val="32"/>
          <w:szCs w:val="32"/>
          <w:lang w:eastAsia="zh-CN"/>
        </w:rPr>
        <w:t>、</w:t>
      </w:r>
      <w:r>
        <w:rPr>
          <w:rFonts w:hint="eastAsia" w:ascii="仿宋_GB2312" w:hAnsi="仿宋_GB2312" w:eastAsia="仿宋_GB2312" w:cs="仿宋_GB2312"/>
          <w:b w:val="0"/>
          <w:bCs w:val="0"/>
          <w:color w:val="121212"/>
          <w:sz w:val="32"/>
          <w:szCs w:val="32"/>
        </w:rPr>
        <w:t>公职律师</w:t>
      </w:r>
      <w:r>
        <w:rPr>
          <w:rFonts w:hint="eastAsia" w:ascii="仿宋_GB2312" w:hAnsi="仿宋_GB2312" w:eastAsia="仿宋_GB2312" w:cs="仿宋_GB2312"/>
          <w:b w:val="0"/>
          <w:bCs w:val="0"/>
          <w:color w:val="121212"/>
          <w:sz w:val="32"/>
          <w:szCs w:val="32"/>
          <w:lang w:eastAsia="zh-CN"/>
        </w:rPr>
        <w:t>工作覆盖面</w:t>
      </w:r>
      <w:r>
        <w:rPr>
          <w:rFonts w:hint="eastAsia" w:ascii="仿宋_GB2312" w:hAnsi="仿宋_GB2312" w:eastAsia="仿宋_GB2312" w:cs="仿宋_GB2312"/>
          <w:b w:val="0"/>
          <w:bCs w:val="0"/>
          <w:color w:val="121212"/>
          <w:sz w:val="32"/>
          <w:szCs w:val="32"/>
        </w:rPr>
        <w:t>。加强党政机关法律顾问选聘备案，优化公职律师管理、培育和使用。</w:t>
      </w:r>
    </w:p>
    <w:p>
      <w:pPr>
        <w:spacing w:line="360" w:lineRule="auto"/>
        <w:ind w:firstLine="643" w:firstLineChars="200"/>
        <w:rPr>
          <w:rFonts w:hint="eastAsia" w:ascii="仿宋_GB2312" w:hAnsi="仿宋_GB2312" w:eastAsia="仿宋_GB2312" w:cs="仿宋_GB2312"/>
          <w:b w:val="0"/>
          <w:bCs w:val="0"/>
          <w:color w:val="121212"/>
          <w:sz w:val="32"/>
          <w:szCs w:val="32"/>
        </w:rPr>
      </w:pPr>
      <w:r>
        <w:rPr>
          <w:rFonts w:hint="eastAsia" w:ascii="仿宋_GB2312" w:hAnsi="仿宋_GB2312" w:eastAsia="仿宋_GB2312" w:cs="仿宋_GB2312"/>
          <w:b/>
          <w:bCs/>
          <w:color w:val="121212"/>
          <w:sz w:val="32"/>
          <w:szCs w:val="32"/>
        </w:rPr>
        <w:t>提升法律服务能力。</w:t>
      </w:r>
      <w:r>
        <w:rPr>
          <w:rFonts w:hint="eastAsia" w:ascii="仿宋_GB2312" w:hAnsi="仿宋_GB2312" w:eastAsia="仿宋_GB2312" w:cs="仿宋_GB2312"/>
          <w:b w:val="0"/>
          <w:bCs w:val="0"/>
          <w:color w:val="121212"/>
          <w:sz w:val="32"/>
          <w:szCs w:val="32"/>
        </w:rPr>
        <w:t>加强律师事务所专业化、规范化、品牌化、数字化、智能化建设，支持律师事务所利用新一代信息技术推动服务方式创新，培育发展法律科技产品。实施四川律师行业专业人才“千人计划”和青年律师领军人才培训</w:t>
      </w:r>
      <w:r>
        <w:rPr>
          <w:rFonts w:hint="eastAsia" w:ascii="仿宋_GB2312" w:hAnsi="仿宋_GB2312" w:eastAsia="仿宋_GB2312" w:cs="仿宋_GB2312"/>
          <w:b w:val="0"/>
          <w:bCs w:val="0"/>
          <w:color w:val="121212"/>
          <w:sz w:val="32"/>
          <w:szCs w:val="32"/>
          <w:lang w:eastAsia="zh-CN"/>
        </w:rPr>
        <w:t>营</w:t>
      </w:r>
      <w:r>
        <w:rPr>
          <w:rFonts w:hint="eastAsia" w:ascii="仿宋_GB2312" w:hAnsi="仿宋_GB2312" w:eastAsia="仿宋_GB2312" w:cs="仿宋_GB2312"/>
          <w:b w:val="0"/>
          <w:bCs w:val="0"/>
          <w:color w:val="121212"/>
          <w:sz w:val="32"/>
          <w:szCs w:val="32"/>
        </w:rPr>
        <w:t>计划。</w:t>
      </w:r>
    </w:p>
    <w:p>
      <w:pPr>
        <w:spacing w:line="360" w:lineRule="auto"/>
        <w:ind w:firstLine="643" w:firstLineChars="200"/>
        <w:rPr>
          <w:rFonts w:hint="eastAsia" w:ascii="仿宋_GB2312" w:hAnsi="仿宋_GB2312" w:eastAsia="仿宋_GB2312" w:cs="仿宋_GB2312"/>
          <w:b w:val="0"/>
          <w:bCs w:val="0"/>
          <w:color w:val="121212"/>
          <w:sz w:val="32"/>
          <w:szCs w:val="32"/>
        </w:rPr>
      </w:pPr>
      <w:r>
        <w:rPr>
          <w:rFonts w:hint="eastAsia" w:ascii="仿宋_GB2312" w:hAnsi="仿宋_GB2312" w:eastAsia="仿宋_GB2312" w:cs="仿宋_GB2312"/>
          <w:b/>
          <w:bCs/>
          <w:color w:val="121212"/>
          <w:sz w:val="32"/>
          <w:szCs w:val="32"/>
        </w:rPr>
        <w:t>积极开展涉外法律服务。</w:t>
      </w:r>
      <w:r>
        <w:rPr>
          <w:rFonts w:hint="eastAsia" w:ascii="仿宋_GB2312" w:hAnsi="仿宋_GB2312" w:eastAsia="仿宋_GB2312" w:cs="仿宋_GB2312"/>
          <w:b w:val="0"/>
          <w:bCs w:val="0"/>
          <w:color w:val="121212"/>
          <w:sz w:val="32"/>
          <w:szCs w:val="32"/>
        </w:rPr>
        <w:t>加强与“一带一路”沿线国家和地区法律事务的交流与合作，推动律师事务所在境外设立分支机构，服务中国企业“走出去”。开展涉外法律服务示范机构创建活动，培育一批具有较强国际竞争力的涉外法律服务机构，建立涉外律师人才库。</w:t>
      </w:r>
    </w:p>
    <w:p>
      <w:pPr>
        <w:keepNext/>
        <w:keepLines/>
        <w:spacing w:beforeLines="30" w:afterLines="30" w:line="360" w:lineRule="auto"/>
        <w:jc w:val="center"/>
        <w:outlineLvl w:val="1"/>
        <w:rPr>
          <w:rFonts w:hint="eastAsia" w:ascii="楷体" w:hAnsi="楷体" w:eastAsia="楷体" w:cs="楷体"/>
          <w:b/>
          <w:bCs/>
          <w:color w:val="121212"/>
          <w:sz w:val="32"/>
          <w:szCs w:val="32"/>
        </w:rPr>
      </w:pPr>
      <w:bookmarkStart w:id="34" w:name="_Toc32707"/>
      <w:r>
        <w:rPr>
          <w:rFonts w:hint="eastAsia" w:ascii="楷体" w:hAnsi="楷体" w:eastAsia="楷体" w:cs="楷体"/>
          <w:b/>
          <w:bCs/>
          <w:color w:val="121212"/>
          <w:sz w:val="32"/>
          <w:szCs w:val="32"/>
        </w:rPr>
        <w:t>第五节  拓展公证服务业务领域</w:t>
      </w:r>
      <w:bookmarkEnd w:id="34"/>
    </w:p>
    <w:p>
      <w:pPr>
        <w:spacing w:line="360" w:lineRule="auto"/>
        <w:ind w:firstLine="643" w:firstLineChars="200"/>
        <w:rPr>
          <w:rFonts w:hint="eastAsia" w:ascii="仿宋_GB2312" w:hAnsi="仿宋_GB2312" w:eastAsia="仿宋_GB2312" w:cs="仿宋_GB2312"/>
          <w:b w:val="0"/>
          <w:bCs w:val="0"/>
          <w:color w:val="121212"/>
          <w:sz w:val="32"/>
          <w:szCs w:val="32"/>
          <w:lang w:val="en-US" w:eastAsia="zh-CN"/>
        </w:rPr>
      </w:pPr>
      <w:r>
        <w:rPr>
          <w:rFonts w:hint="eastAsia" w:ascii="仿宋_GB2312" w:hAnsi="仿宋_GB2312" w:eastAsia="仿宋_GB2312" w:cs="仿宋_GB2312"/>
          <w:b/>
          <w:bCs/>
          <w:color w:val="121212"/>
          <w:sz w:val="32"/>
          <w:szCs w:val="32"/>
          <w:lang w:val="en-US" w:eastAsia="zh-CN"/>
        </w:rPr>
        <w:t>加强</w:t>
      </w:r>
      <w:r>
        <w:rPr>
          <w:rFonts w:hint="eastAsia" w:ascii="仿宋_GB2312" w:hAnsi="仿宋_GB2312" w:eastAsia="仿宋_GB2312" w:cs="仿宋_GB2312"/>
          <w:b/>
          <w:bCs/>
          <w:color w:val="121212"/>
          <w:sz w:val="32"/>
          <w:szCs w:val="32"/>
        </w:rPr>
        <w:t>公证机构标准化建设</w:t>
      </w:r>
      <w:r>
        <w:rPr>
          <w:rFonts w:hint="eastAsia" w:ascii="仿宋_GB2312" w:hAnsi="仿宋_GB2312" w:eastAsia="仿宋_GB2312" w:cs="仿宋_GB2312"/>
          <w:b/>
          <w:bCs/>
          <w:color w:val="121212"/>
          <w:sz w:val="32"/>
          <w:szCs w:val="32"/>
          <w:lang w:eastAsia="zh-CN"/>
        </w:rPr>
        <w:t>。</w:t>
      </w:r>
      <w:r>
        <w:rPr>
          <w:rFonts w:hint="eastAsia" w:ascii="仿宋_GB2312" w:hAnsi="仿宋_GB2312" w:eastAsia="仿宋_GB2312" w:cs="仿宋_GB2312"/>
          <w:b w:val="0"/>
          <w:bCs w:val="0"/>
          <w:color w:val="121212"/>
          <w:sz w:val="32"/>
          <w:szCs w:val="32"/>
          <w:lang w:val="en-US" w:eastAsia="zh-CN"/>
        </w:rPr>
        <w:t>坚持党建引领</w:t>
      </w:r>
      <w:r>
        <w:rPr>
          <w:rFonts w:hint="eastAsia" w:ascii="仿宋_GB2312" w:hAnsi="仿宋_GB2312" w:eastAsia="仿宋_GB2312" w:cs="仿宋_GB2312"/>
          <w:b/>
          <w:bCs/>
          <w:color w:val="121212"/>
          <w:sz w:val="32"/>
          <w:szCs w:val="32"/>
          <w:lang w:val="en-US" w:eastAsia="zh-CN"/>
        </w:rPr>
        <w:t>，</w:t>
      </w:r>
      <w:r>
        <w:rPr>
          <w:rFonts w:hint="eastAsia" w:ascii="仿宋_GB2312" w:hAnsi="仿宋_GB2312" w:eastAsia="仿宋_GB2312" w:cs="仿宋_GB2312"/>
          <w:b w:val="0"/>
          <w:bCs w:val="0"/>
          <w:color w:val="121212"/>
          <w:sz w:val="32"/>
          <w:szCs w:val="32"/>
          <w:lang w:val="en-US" w:eastAsia="zh-CN"/>
        </w:rPr>
        <w:t>落实事业体制公证机构改革政策，规范推进合作指公证机构建设发展，完善</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公证</w:t>
      </w:r>
      <w:r>
        <w:rPr>
          <w:rFonts w:hint="eastAsia" w:ascii="仿宋_GB2312" w:hAnsi="仿宋_GB2312" w:eastAsia="仿宋_GB2312" w:cs="仿宋_GB2312"/>
          <w:b w:val="0"/>
          <w:bCs w:val="0"/>
          <w:color w:val="121212"/>
          <w:sz w:val="32"/>
          <w:szCs w:val="32"/>
          <w:lang w:val="en-US" w:eastAsia="zh-CN"/>
        </w:rPr>
        <w:t>机构保障机制。加强涉外公证、知识产权保护、金融风险防控等专业化品牌公证机构培育。推进公证信息化应用和信息共享、政务信息和数据共享、公证行业内部协查和用证部门间数据应用。</w:t>
      </w:r>
    </w:p>
    <w:p>
      <w:pPr>
        <w:pStyle w:val="2"/>
        <w:rPr>
          <w:rFonts w:hint="default"/>
          <w:color w:val="121212"/>
          <w:lang w:val="en-US" w:eastAsia="zh-CN"/>
        </w:rPr>
      </w:pPr>
      <w:r>
        <w:rPr>
          <w:rFonts w:hint="eastAsia" w:ascii="仿宋_GB2312" w:hAnsi="仿宋_GB2312" w:eastAsia="仿宋_GB2312" w:cs="仿宋_GB2312"/>
          <w:b w:val="0"/>
          <w:bCs w:val="0"/>
          <w:color w:val="121212"/>
          <w:sz w:val="32"/>
          <w:szCs w:val="32"/>
          <w:lang w:val="en-US" w:eastAsia="zh-CN"/>
        </w:rPr>
        <w:t xml:space="preserve">   </w:t>
      </w:r>
      <w:r>
        <w:rPr>
          <w:rFonts w:hint="eastAsia" w:ascii="仿宋_GB2312" w:hAnsi="仿宋_GB2312" w:eastAsia="仿宋_GB2312" w:cs="仿宋_GB2312"/>
          <w:b/>
          <w:bCs/>
          <w:color w:val="121212"/>
          <w:sz w:val="32"/>
          <w:szCs w:val="32"/>
          <w:lang w:val="en-US" w:eastAsia="zh-CN"/>
        </w:rPr>
        <w:t xml:space="preserve"> 优化公证服务。</w:t>
      </w:r>
      <w:r>
        <w:rPr>
          <w:rFonts w:hint="eastAsia" w:ascii="仿宋_GB2312" w:hAnsi="仿宋_GB2312" w:eastAsia="仿宋_GB2312" w:cs="仿宋_GB2312"/>
          <w:b w:val="0"/>
          <w:bCs w:val="0"/>
          <w:color w:val="121212"/>
          <w:sz w:val="32"/>
          <w:szCs w:val="32"/>
          <w:lang w:val="en-US" w:eastAsia="zh-CN"/>
        </w:rPr>
        <w:t>深化推进公证服务利企便民政策，公证证明材料清单、一次性告知、告知承诺、公证办理“最多跑一次”“全程网办”等制度落实。制定完善传统服务事项的规则、细则、业务规范，创新公证服务方式方法，优化服务流程。</w:t>
      </w:r>
    </w:p>
    <w:p>
      <w:pPr>
        <w:pStyle w:val="2"/>
        <w:ind w:firstLine="640"/>
        <w:rPr>
          <w:rFonts w:hint="eastAsia" w:ascii="仿宋_GB2312" w:hAnsi="仿宋_GB2312" w:eastAsia="仿宋_GB2312" w:cs="仿宋_GB2312"/>
          <w:b w:val="0"/>
          <w:bCs w:val="0"/>
          <w:color w:val="121212"/>
          <w:sz w:val="32"/>
          <w:szCs w:val="32"/>
          <w:lang w:val="en-US" w:eastAsia="zh-CN"/>
        </w:rPr>
      </w:pPr>
      <w:r>
        <w:rPr>
          <w:rFonts w:hint="eastAsia" w:ascii="仿宋_GB2312" w:hAnsi="仿宋_GB2312" w:eastAsia="仿宋_GB2312" w:cs="仿宋_GB2312"/>
          <w:b/>
          <w:bCs/>
          <w:color w:val="121212"/>
          <w:sz w:val="32"/>
          <w:szCs w:val="32"/>
          <w:lang w:val="en-US" w:eastAsia="zh-CN"/>
        </w:rPr>
        <w:t>拓展创新业务领域。</w:t>
      </w:r>
      <w:r>
        <w:rPr>
          <w:rFonts w:hint="eastAsia" w:ascii="仿宋_GB2312" w:hAnsi="仿宋_GB2312" w:eastAsia="仿宋_GB2312" w:cs="仿宋_GB2312"/>
          <w:b w:val="0"/>
          <w:bCs w:val="0"/>
          <w:color w:val="121212"/>
          <w:sz w:val="32"/>
          <w:szCs w:val="32"/>
          <w:lang w:val="en-US" w:eastAsia="zh-CN"/>
        </w:rPr>
        <w:t>进一步深化公证在服务金融、民营企业、保障“三农”、知识产权保护、产权保护、司法辅助事务、家庭事务、竞技体育、突发公共事件应对领域的实践。充分利用公证的预防性司法制度职能作用，积极参与矛盾纠纷多元化解和诉源治理。发挥公证机构、公证员首创精神，推广运用在线公证服务，推进海外远程视频服务、协助驻外使领馆为中国公民提供公证服务。综合运用公证证明、保全证据、现场监督、赋予强制执行效力等制度特色和职能优势，不断拓展创新服务领域和项目。</w:t>
      </w:r>
      <w:bookmarkStart w:id="35" w:name="_Toc31152"/>
    </w:p>
    <w:p>
      <w:pPr>
        <w:pStyle w:val="2"/>
        <w:ind w:firstLine="1616" w:firstLineChars="503"/>
        <w:rPr>
          <w:rFonts w:hint="eastAsia" w:ascii="楷体_GB2312" w:hAnsi="楷体_GB2312" w:eastAsia="楷体_GB2312" w:cs="楷体_GB2312"/>
          <w:b/>
          <w:bCs/>
          <w:color w:val="121212"/>
          <w:sz w:val="36"/>
          <w:szCs w:val="36"/>
        </w:rPr>
      </w:pPr>
      <w:r>
        <w:rPr>
          <w:rFonts w:hint="eastAsia" w:ascii="楷体_GB2312" w:hAnsi="楷体_GB2312" w:eastAsia="楷体_GB2312" w:cs="楷体_GB2312"/>
          <w:b/>
          <w:bCs/>
          <w:color w:val="121212"/>
          <w:sz w:val="32"/>
          <w:szCs w:val="32"/>
        </w:rPr>
        <w:t>第六节  推进司法鉴定行业高质量发展</w:t>
      </w:r>
      <w:bookmarkEnd w:id="35"/>
    </w:p>
    <w:p>
      <w:pPr>
        <w:spacing w:line="360" w:lineRule="auto"/>
        <w:ind w:firstLine="643" w:firstLineChars="200"/>
        <w:rPr>
          <w:rFonts w:hint="eastAsia" w:ascii="仿宋_GB2312" w:hAnsi="仿宋_GB2312" w:eastAsia="仿宋_GB2312" w:cs="仿宋_GB2312"/>
          <w:b w:val="0"/>
          <w:bCs w:val="0"/>
          <w:color w:val="121212"/>
          <w:sz w:val="32"/>
          <w:szCs w:val="32"/>
          <w:lang w:val="en-US" w:eastAsia="zh-CN"/>
        </w:rPr>
      </w:pPr>
      <w:bookmarkStart w:id="36" w:name="_Toc25993"/>
      <w:r>
        <w:rPr>
          <w:rFonts w:hint="eastAsia" w:ascii="仿宋_GB2312" w:hAnsi="仿宋_GB2312" w:eastAsia="仿宋_GB2312" w:cs="仿宋_GB2312"/>
          <w:b/>
          <w:bCs/>
          <w:color w:val="121212"/>
          <w:sz w:val="32"/>
          <w:szCs w:val="32"/>
          <w:lang w:val="en-US" w:eastAsia="zh-CN"/>
        </w:rPr>
        <w:t>优化司法鉴定行业发展布局。</w:t>
      </w:r>
      <w:r>
        <w:rPr>
          <w:rFonts w:hint="eastAsia" w:ascii="仿宋_GB2312" w:hAnsi="仿宋_GB2312" w:eastAsia="仿宋_GB2312" w:cs="仿宋_GB2312"/>
          <w:b w:val="0"/>
          <w:bCs w:val="0"/>
          <w:color w:val="121212"/>
          <w:sz w:val="32"/>
          <w:szCs w:val="32"/>
          <w:lang w:val="en-US" w:eastAsia="zh-CN"/>
        </w:rPr>
        <w:t>大力推进司法鉴定机构规范化、规模化、品牌化建设。依托高等院校、科研单位、专业机构等优质资源，以国家级资质认证认可司法鉴定机构为龙头、高资质高水平机构为支撑、专科型特色机构为亮点，形成不同类型司法鉴定机构优势互补、社会共享、持续发展的发展格局。</w:t>
      </w:r>
    </w:p>
    <w:p>
      <w:pPr>
        <w:spacing w:line="360" w:lineRule="auto"/>
        <w:ind w:firstLine="643" w:firstLineChars="200"/>
        <w:rPr>
          <w:rFonts w:hint="eastAsia" w:ascii="仿宋_GB2312" w:hAnsi="仿宋_GB2312" w:eastAsia="仿宋_GB2312" w:cs="仿宋_GB2312"/>
          <w:b w:val="0"/>
          <w:bCs w:val="0"/>
          <w:color w:val="121212"/>
          <w:sz w:val="32"/>
          <w:szCs w:val="32"/>
          <w:lang w:val="en-US" w:eastAsia="zh-CN"/>
        </w:rPr>
      </w:pPr>
      <w:r>
        <w:rPr>
          <w:rFonts w:hint="eastAsia" w:ascii="仿宋_GB2312" w:hAnsi="仿宋_GB2312" w:eastAsia="仿宋_GB2312" w:cs="仿宋_GB2312"/>
          <w:b/>
          <w:bCs/>
          <w:color w:val="121212"/>
          <w:sz w:val="32"/>
          <w:szCs w:val="32"/>
          <w:lang w:val="en-US" w:eastAsia="zh-CN"/>
        </w:rPr>
        <w:t>强化司法鉴定机构资质认证。</w:t>
      </w:r>
      <w:r>
        <w:rPr>
          <w:rFonts w:hint="eastAsia" w:ascii="仿宋_GB2312" w:hAnsi="仿宋_GB2312" w:eastAsia="仿宋_GB2312" w:cs="仿宋_GB2312"/>
          <w:b w:val="0"/>
          <w:bCs w:val="0"/>
          <w:color w:val="121212"/>
          <w:sz w:val="32"/>
          <w:szCs w:val="32"/>
          <w:lang w:val="en-US" w:eastAsia="zh-CN"/>
        </w:rPr>
        <w:t>全面开展司法鉴定机构资质条件、鉴定能力、执业情况等资质评估工作，落实国家认证认可三年（2021— 2023）提升计划，持续提升我省司法鉴定资质认定工作水平。</w:t>
      </w:r>
    </w:p>
    <w:p>
      <w:pPr>
        <w:spacing w:line="360" w:lineRule="auto"/>
        <w:ind w:firstLine="643" w:firstLineChars="200"/>
        <w:rPr>
          <w:rFonts w:hint="eastAsia" w:ascii="仿宋_GB2312" w:hAnsi="仿宋_GB2312" w:eastAsia="仿宋_GB2312" w:cs="仿宋_GB2312"/>
          <w:b w:val="0"/>
          <w:bCs w:val="0"/>
          <w:color w:val="121212"/>
          <w:sz w:val="32"/>
          <w:szCs w:val="32"/>
          <w:lang w:val="en-US" w:eastAsia="zh-CN"/>
        </w:rPr>
      </w:pPr>
      <w:r>
        <w:rPr>
          <w:rFonts w:hint="eastAsia" w:ascii="仿宋_GB2312" w:hAnsi="仿宋_GB2312" w:eastAsia="仿宋_GB2312" w:cs="仿宋_GB2312"/>
          <w:b/>
          <w:bCs/>
          <w:color w:val="121212"/>
          <w:sz w:val="32"/>
          <w:szCs w:val="32"/>
          <w:lang w:val="en-US" w:eastAsia="zh-CN"/>
        </w:rPr>
        <w:t>提高司法鉴定信息化水平。</w:t>
      </w:r>
      <w:r>
        <w:rPr>
          <w:rFonts w:hint="eastAsia" w:ascii="仿宋_GB2312" w:hAnsi="仿宋_GB2312" w:eastAsia="仿宋_GB2312" w:cs="仿宋_GB2312"/>
          <w:b w:val="0"/>
          <w:bCs w:val="0"/>
          <w:color w:val="121212"/>
          <w:sz w:val="32"/>
          <w:szCs w:val="32"/>
          <w:lang w:val="en-US" w:eastAsia="zh-CN"/>
        </w:rPr>
        <w:t>升级优化司法鉴定综合业务管理平台，不断完善涉及司法鉴定数据的共建、共享、共用机制，加强与有关办案机关、使用部门的衔接，推动信息互联互通。</w:t>
      </w:r>
    </w:p>
    <w:p>
      <w:pPr>
        <w:spacing w:line="360" w:lineRule="auto"/>
        <w:ind w:firstLine="643" w:firstLineChars="200"/>
        <w:rPr>
          <w:rFonts w:hint="eastAsia" w:ascii="仿宋_GB2312" w:hAnsi="仿宋_GB2312" w:eastAsia="仿宋_GB2312" w:cs="仿宋_GB2312"/>
          <w:b w:val="0"/>
          <w:bCs w:val="0"/>
          <w:color w:val="121212"/>
          <w:sz w:val="32"/>
          <w:szCs w:val="32"/>
          <w:lang w:val="en-US" w:eastAsia="zh-CN"/>
        </w:rPr>
      </w:pPr>
      <w:r>
        <w:rPr>
          <w:rFonts w:hint="eastAsia" w:ascii="仿宋_GB2312" w:hAnsi="仿宋_GB2312" w:eastAsia="仿宋_GB2312" w:cs="仿宋_GB2312"/>
          <w:b/>
          <w:bCs/>
          <w:color w:val="121212"/>
          <w:sz w:val="32"/>
          <w:szCs w:val="32"/>
          <w:lang w:val="en-US" w:eastAsia="zh-CN"/>
        </w:rPr>
        <w:t>提升司法鉴定服务能力。</w:t>
      </w:r>
      <w:r>
        <w:rPr>
          <w:rFonts w:hint="eastAsia" w:ascii="仿宋_GB2312" w:hAnsi="仿宋_GB2312" w:eastAsia="仿宋_GB2312" w:cs="仿宋_GB2312"/>
          <w:b w:val="0"/>
          <w:bCs w:val="0"/>
          <w:color w:val="121212"/>
          <w:sz w:val="32"/>
          <w:szCs w:val="32"/>
          <w:lang w:val="en-US" w:eastAsia="zh-CN"/>
        </w:rPr>
        <w:t>积极融入长江经济带司法鉴定协同发展、成渝地区双城经济圈司法鉴定协作，参与天府中央法务区建设，推动我省司法鉴定高质量发展。重点聚焦民族地区和特殊贫困群体，加强司法鉴定与法律援助工作的衔接。</w:t>
      </w:r>
      <w:r>
        <w:rPr>
          <w:rFonts w:hint="eastAsia" w:ascii="仿宋_GB2312" w:hAnsi="仿宋_GB2312" w:eastAsia="仿宋_GB2312" w:cs="仿宋_GB2312"/>
          <w:b w:val="0"/>
          <w:bCs w:val="0"/>
          <w:color w:val="121212"/>
          <w:sz w:val="32"/>
          <w:szCs w:val="32"/>
          <w:lang w:val="en-US" w:eastAsia="zh-CN"/>
        </w:rPr>
        <w:tab/>
      </w:r>
    </w:p>
    <w:p>
      <w:pPr>
        <w:spacing w:line="360" w:lineRule="auto"/>
        <w:ind w:firstLine="1928" w:firstLineChars="600"/>
        <w:rPr>
          <w:rFonts w:hint="eastAsia" w:ascii="楷体_GB2312" w:hAnsi="楷体_GB2312" w:eastAsia="楷体_GB2312" w:cs="楷体_GB2312"/>
          <w:b/>
          <w:bCs/>
          <w:color w:val="121212"/>
          <w:sz w:val="32"/>
          <w:szCs w:val="32"/>
        </w:rPr>
      </w:pPr>
    </w:p>
    <w:p>
      <w:pPr>
        <w:spacing w:line="360" w:lineRule="auto"/>
        <w:ind w:firstLine="1928" w:firstLineChars="600"/>
        <w:rPr>
          <w:rFonts w:hint="eastAsia" w:ascii="楷体_GB2312" w:hAnsi="楷体_GB2312" w:eastAsia="楷体_GB2312" w:cs="楷体_GB2312"/>
          <w:b/>
          <w:bCs/>
          <w:color w:val="121212"/>
          <w:sz w:val="32"/>
          <w:szCs w:val="32"/>
          <w:lang w:eastAsia="zh-CN"/>
        </w:rPr>
      </w:pPr>
      <w:r>
        <w:rPr>
          <w:rFonts w:hint="eastAsia" w:ascii="楷体_GB2312" w:hAnsi="楷体_GB2312" w:eastAsia="楷体_GB2312" w:cs="楷体_GB2312"/>
          <w:b/>
          <w:bCs/>
          <w:color w:val="121212"/>
          <w:sz w:val="32"/>
          <w:szCs w:val="32"/>
        </w:rPr>
        <w:t>第七节  深化仲裁机构</w:t>
      </w:r>
      <w:bookmarkEnd w:id="36"/>
      <w:r>
        <w:rPr>
          <w:rFonts w:hint="eastAsia" w:ascii="楷体_GB2312" w:hAnsi="楷体_GB2312" w:eastAsia="楷体_GB2312" w:cs="楷体_GB2312"/>
          <w:b/>
          <w:bCs/>
          <w:color w:val="121212"/>
          <w:sz w:val="32"/>
          <w:szCs w:val="32"/>
          <w:lang w:eastAsia="zh-CN"/>
        </w:rPr>
        <w:t>改革发展</w:t>
      </w:r>
    </w:p>
    <w:p>
      <w:pPr>
        <w:spacing w:line="360" w:lineRule="auto"/>
        <w:ind w:firstLine="643" w:firstLineChars="200"/>
        <w:rPr>
          <w:rFonts w:hint="eastAsia" w:ascii="仿宋_GB2312" w:hAnsi="仿宋_GB2312" w:eastAsia="仿宋_GB2312" w:cs="仿宋_GB2312"/>
          <w:b w:val="0"/>
          <w:bCs w:val="0"/>
          <w:color w:val="121212"/>
          <w:sz w:val="32"/>
          <w:szCs w:val="32"/>
          <w:lang w:val="en-US" w:eastAsia="zh-CN"/>
        </w:rPr>
      </w:pPr>
      <w:r>
        <w:rPr>
          <w:rFonts w:hint="eastAsia" w:ascii="仿宋_GB2312" w:hAnsi="仿宋_GB2312" w:eastAsia="仿宋_GB2312" w:cs="仿宋_GB2312"/>
          <w:b/>
          <w:bCs/>
          <w:color w:val="121212"/>
          <w:sz w:val="32"/>
          <w:szCs w:val="32"/>
          <w:lang w:eastAsia="zh-CN"/>
        </w:rPr>
        <w:t>加强仲裁机构能力建设。</w:t>
      </w:r>
      <w:r>
        <w:rPr>
          <w:rFonts w:hint="eastAsia" w:ascii="仿宋_GB2312" w:hAnsi="仿宋_GB2312" w:eastAsia="仿宋_GB2312" w:cs="仿宋_GB2312"/>
          <w:b w:val="0"/>
          <w:bCs w:val="0"/>
          <w:color w:val="121212"/>
          <w:sz w:val="32"/>
          <w:szCs w:val="32"/>
        </w:rPr>
        <w:t>推进仲裁机构信息化</w:t>
      </w:r>
      <w:r>
        <w:rPr>
          <w:rFonts w:hint="eastAsia" w:ascii="仿宋_GB2312" w:hAnsi="仿宋_GB2312" w:eastAsia="仿宋_GB2312" w:cs="仿宋_GB2312"/>
          <w:b w:val="0"/>
          <w:bCs w:val="0"/>
          <w:color w:val="121212"/>
          <w:sz w:val="32"/>
          <w:szCs w:val="32"/>
          <w:lang w:eastAsia="zh-CN"/>
        </w:rPr>
        <w:t>、</w:t>
      </w:r>
      <w:r>
        <w:rPr>
          <w:rFonts w:hint="eastAsia" w:ascii="仿宋_GB2312" w:hAnsi="仿宋_GB2312" w:eastAsia="仿宋_GB2312" w:cs="仿宋_GB2312"/>
          <w:b w:val="0"/>
          <w:bCs w:val="0"/>
          <w:color w:val="121212"/>
          <w:sz w:val="32"/>
          <w:szCs w:val="32"/>
        </w:rPr>
        <w:t>规范化建设</w:t>
      </w:r>
      <w:r>
        <w:rPr>
          <w:rFonts w:hint="eastAsia" w:ascii="仿宋_GB2312" w:hAnsi="仿宋_GB2312" w:eastAsia="仿宋_GB2312" w:cs="仿宋_GB2312"/>
          <w:b w:val="0"/>
          <w:bCs w:val="0"/>
          <w:color w:val="121212"/>
          <w:sz w:val="32"/>
          <w:szCs w:val="32"/>
          <w:lang w:eastAsia="zh-CN"/>
        </w:rPr>
        <w:t>，</w:t>
      </w:r>
      <w:r>
        <w:rPr>
          <w:rFonts w:hint="eastAsia" w:ascii="仿宋_GB2312" w:hAnsi="仿宋_GB2312" w:eastAsia="仿宋_GB2312" w:cs="仿宋_GB2312"/>
          <w:b w:val="0"/>
          <w:bCs w:val="0"/>
          <w:color w:val="121212"/>
          <w:sz w:val="32"/>
          <w:szCs w:val="32"/>
        </w:rPr>
        <w:t>建立网络化仲裁管理系统，实现网上立案、网上庭审、网上签批，打造高效协同的智慧仲裁平台。推动互联网仲裁发展，依托互联网技术，加大线上仲裁、智能仲裁建设，实现线上线下协调发展，提升仲裁效率。</w:t>
      </w:r>
      <w:r>
        <w:rPr>
          <w:rFonts w:hint="eastAsia" w:ascii="仿宋_GB2312" w:hAnsi="仿宋_GB2312" w:eastAsia="仿宋_GB2312" w:cs="仿宋_GB2312"/>
          <w:b w:val="0"/>
          <w:bCs w:val="0"/>
          <w:color w:val="121212"/>
          <w:sz w:val="32"/>
          <w:szCs w:val="32"/>
          <w:lang w:eastAsia="zh-CN"/>
        </w:rPr>
        <w:t>推进仲裁机构内部治理改革，健全完善仲裁规则，创新仲裁员选聘和管理，推进仲裁秘书职业化专业化。</w:t>
      </w:r>
    </w:p>
    <w:p>
      <w:pPr>
        <w:spacing w:line="360" w:lineRule="auto"/>
        <w:ind w:firstLine="643" w:firstLineChars="200"/>
        <w:rPr>
          <w:rFonts w:hint="eastAsia" w:ascii="仿宋_GB2312" w:hAnsi="仿宋_GB2312" w:eastAsia="仿宋_GB2312" w:cs="仿宋_GB2312"/>
          <w:b w:val="0"/>
          <w:bCs w:val="0"/>
          <w:color w:val="121212"/>
          <w:sz w:val="32"/>
          <w:szCs w:val="32"/>
          <w:lang w:eastAsia="zh-CN"/>
        </w:rPr>
      </w:pPr>
      <w:r>
        <w:rPr>
          <w:rFonts w:hint="eastAsia" w:ascii="仿宋_GB2312" w:hAnsi="仿宋_GB2312" w:eastAsia="仿宋_GB2312" w:cs="仿宋_GB2312"/>
          <w:b/>
          <w:bCs/>
          <w:color w:val="121212"/>
          <w:sz w:val="32"/>
          <w:szCs w:val="32"/>
          <w:lang w:eastAsia="zh-CN"/>
        </w:rPr>
        <w:t>全面提升仲裁服务能力。</w:t>
      </w:r>
      <w:r>
        <w:rPr>
          <w:rFonts w:hint="eastAsia" w:ascii="仿宋_GB2312" w:hAnsi="仿宋_GB2312" w:eastAsia="仿宋_GB2312" w:cs="仿宋_GB2312"/>
          <w:b w:val="0"/>
          <w:bCs w:val="0"/>
          <w:color w:val="121212"/>
          <w:sz w:val="32"/>
          <w:szCs w:val="32"/>
        </w:rPr>
        <w:t>支持成都打造区域性</w:t>
      </w:r>
      <w:r>
        <w:rPr>
          <w:rFonts w:hint="eastAsia" w:ascii="仿宋_GB2312" w:hAnsi="仿宋_GB2312" w:eastAsia="仿宋_GB2312" w:cs="仿宋_GB2312"/>
          <w:b w:val="0"/>
          <w:bCs w:val="0"/>
          <w:color w:val="121212"/>
          <w:sz w:val="32"/>
          <w:szCs w:val="32"/>
          <w:lang w:eastAsia="zh-CN"/>
        </w:rPr>
        <w:t>国际</w:t>
      </w:r>
      <w:r>
        <w:rPr>
          <w:rFonts w:hint="eastAsia" w:ascii="仿宋_GB2312" w:hAnsi="仿宋_GB2312" w:eastAsia="仿宋_GB2312" w:cs="仿宋_GB2312"/>
          <w:b w:val="0"/>
          <w:bCs w:val="0"/>
          <w:color w:val="121212"/>
          <w:sz w:val="32"/>
          <w:szCs w:val="32"/>
        </w:rPr>
        <w:t>仲裁中心，探索引进境外知名仲裁机构及争议解决机构设立业务机构，开展国际商事、运输、投资等领域的民商事争议仲裁业务。</w:t>
      </w:r>
      <w:r>
        <w:rPr>
          <w:rFonts w:hint="eastAsia" w:ascii="仿宋_GB2312" w:hAnsi="仿宋_GB2312" w:eastAsia="仿宋_GB2312" w:cs="仿宋_GB2312"/>
          <w:b w:val="0"/>
          <w:bCs w:val="0"/>
          <w:color w:val="121212"/>
          <w:sz w:val="32"/>
          <w:szCs w:val="32"/>
          <w:lang w:eastAsia="zh-CN"/>
        </w:rPr>
        <w:t>推动旅游投诉纠纷仲裁中心试点城市建设，鼓励成都、泸州等地仲裁机构搭建旅游投诉纠纷仲裁平台，建立旅游仲裁员名册和旅游纠纷处理专家库。支持和鼓励高等院校联动仲裁机构和企业，共建一批仲裁人才培养教育基地。</w:t>
      </w:r>
    </w:p>
    <w:p>
      <w:pPr>
        <w:spacing w:line="276" w:lineRule="auto"/>
        <w:jc w:val="center"/>
        <w:rPr>
          <w:rFonts w:hint="eastAsia" w:ascii="黑体" w:hAnsi="黑体" w:eastAsia="黑体"/>
          <w:color w:val="121212"/>
          <w:sz w:val="30"/>
          <w:szCs w:val="30"/>
        </w:rPr>
      </w:pPr>
    </w:p>
    <w:p>
      <w:pPr>
        <w:spacing w:line="276" w:lineRule="auto"/>
        <w:jc w:val="center"/>
        <w:rPr>
          <w:rFonts w:ascii="黑体" w:hAnsi="黑体" w:eastAsia="黑体"/>
          <w:color w:val="121212"/>
          <w:sz w:val="28"/>
          <w:szCs w:val="28"/>
        </w:rPr>
      </w:pPr>
      <w:r>
        <w:rPr>
          <w:rFonts w:hint="eastAsia" w:ascii="黑体" w:hAnsi="黑体" w:eastAsia="黑体"/>
          <w:color w:val="121212"/>
          <w:sz w:val="30"/>
          <w:szCs w:val="30"/>
        </w:rPr>
        <w:t>专栏5  优化法律服务供给</w:t>
      </w:r>
    </w:p>
    <w:tbl>
      <w:tblPr>
        <w:tblStyle w:val="9"/>
        <w:tblW w:w="86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jc w:val="center"/>
        </w:trPr>
        <w:tc>
          <w:tcPr>
            <w:tcW w:w="8627" w:type="dxa"/>
            <w:tcBorders>
              <w:top w:val="single" w:color="auto" w:sz="4" w:space="0"/>
              <w:left w:val="single" w:color="auto" w:sz="4" w:space="0"/>
              <w:bottom w:val="single" w:color="auto" w:sz="4" w:space="0"/>
              <w:right w:val="single" w:color="auto" w:sz="4" w:space="0"/>
            </w:tcBorders>
          </w:tcPr>
          <w:p>
            <w:pPr>
              <w:spacing w:line="360" w:lineRule="auto"/>
              <w:ind w:firstLine="562" w:firstLineChars="200"/>
              <w:rPr>
                <w:rFonts w:hint="eastAsia" w:ascii="楷体_GB2312" w:hAnsi="楷体_GB2312" w:eastAsia="楷体_GB2312" w:cs="楷体_GB2312"/>
                <w:color w:val="121212"/>
                <w:sz w:val="28"/>
                <w:szCs w:val="28"/>
              </w:rPr>
            </w:pPr>
            <w:r>
              <w:rPr>
                <w:rFonts w:hint="eastAsia" w:ascii="楷体_GB2312" w:hAnsi="楷体_GB2312" w:eastAsia="楷体_GB2312" w:cs="楷体_GB2312"/>
                <w:b/>
                <w:bCs/>
                <w:color w:val="121212"/>
                <w:sz w:val="28"/>
                <w:szCs w:val="28"/>
              </w:rPr>
              <w:t>四川律师品牌能力提升工程。</w:t>
            </w:r>
            <w:r>
              <w:rPr>
                <w:rFonts w:hint="eastAsia" w:ascii="楷体_GB2312" w:hAnsi="楷体_GB2312" w:eastAsia="楷体_GB2312" w:cs="楷体_GB2312"/>
                <w:color w:val="121212"/>
                <w:sz w:val="28"/>
                <w:szCs w:val="28"/>
              </w:rPr>
              <w:t>全省打造一批专业化程度高、业务特色明显、区域影响力较强的品牌律师事务所，培育1500名律师行业专业人才。争创20家涉外法律服务示范机构，力争在境外新设5家律师事务所分支机构。</w:t>
            </w:r>
          </w:p>
          <w:p>
            <w:pPr>
              <w:spacing w:line="360" w:lineRule="auto"/>
              <w:ind w:firstLine="562" w:firstLineChars="200"/>
              <w:rPr>
                <w:rFonts w:hint="eastAsia" w:ascii="楷体_GB2312" w:hAnsi="楷体_GB2312" w:eastAsia="楷体_GB2312" w:cs="楷体_GB2312"/>
                <w:color w:val="121212"/>
                <w:sz w:val="28"/>
                <w:szCs w:val="28"/>
              </w:rPr>
            </w:pPr>
            <w:r>
              <w:rPr>
                <w:rFonts w:hint="eastAsia" w:ascii="楷体_GB2312" w:hAnsi="楷体_GB2312" w:eastAsia="楷体_GB2312" w:cs="楷体_GB2312"/>
                <w:b/>
                <w:bCs/>
                <w:color w:val="121212"/>
                <w:sz w:val="28"/>
                <w:szCs w:val="28"/>
              </w:rPr>
              <w:t>公证机构能力提升行动。</w:t>
            </w:r>
            <w:r>
              <w:rPr>
                <w:rFonts w:hint="eastAsia" w:ascii="楷体_GB2312" w:hAnsi="楷体_GB2312" w:eastAsia="楷体_GB2312" w:cs="楷体_GB2312"/>
                <w:color w:val="121212"/>
                <w:sz w:val="28"/>
                <w:szCs w:val="28"/>
              </w:rPr>
              <w:t>培育21个涉外公证、知识产权保护、金融风险防控等专业化品牌公证机构。</w:t>
            </w:r>
          </w:p>
          <w:p>
            <w:pPr>
              <w:spacing w:line="360" w:lineRule="auto"/>
              <w:ind w:firstLine="562" w:firstLineChars="200"/>
              <w:rPr>
                <w:rFonts w:hint="eastAsia" w:ascii="楷体_GB2312" w:hAnsi="楷体_GB2312" w:eastAsia="楷体_GB2312" w:cs="楷体_GB2312"/>
                <w:color w:val="121212"/>
                <w:sz w:val="28"/>
                <w:szCs w:val="28"/>
              </w:rPr>
            </w:pPr>
            <w:r>
              <w:rPr>
                <w:rFonts w:hint="eastAsia" w:ascii="楷体_GB2312" w:hAnsi="楷体_GB2312" w:eastAsia="楷体_GB2312" w:cs="楷体_GB2312"/>
                <w:b/>
                <w:bCs/>
                <w:color w:val="121212"/>
                <w:sz w:val="28"/>
                <w:szCs w:val="28"/>
              </w:rPr>
              <w:t>司法鉴定机构高质量发展行动。</w:t>
            </w:r>
            <w:r>
              <w:rPr>
                <w:rFonts w:hint="eastAsia" w:ascii="楷体_GB2312" w:hAnsi="楷体_GB2312" w:eastAsia="楷体_GB2312" w:cs="楷体_GB2312"/>
                <w:color w:val="121212"/>
                <w:sz w:val="28"/>
                <w:szCs w:val="28"/>
              </w:rPr>
              <w:t>培育1</w:t>
            </w:r>
            <w:r>
              <w:rPr>
                <w:rFonts w:hint="eastAsia" w:ascii="楷体_GB2312" w:hAnsi="楷体_GB2312" w:eastAsia="楷体_GB2312" w:cs="楷体_GB2312"/>
                <w:color w:val="121212"/>
                <w:sz w:val="28"/>
                <w:szCs w:val="28"/>
                <w:lang w:val="en-US" w:eastAsia="zh-CN"/>
              </w:rPr>
              <w:t>5</w:t>
            </w:r>
            <w:r>
              <w:rPr>
                <w:rFonts w:hint="eastAsia" w:ascii="楷体_GB2312" w:hAnsi="楷体_GB2312" w:eastAsia="楷体_GB2312" w:cs="楷体_GB2312"/>
                <w:color w:val="121212"/>
                <w:sz w:val="28"/>
                <w:szCs w:val="28"/>
              </w:rPr>
              <w:t>家通过国家级资质认证认可（CMA</w:t>
            </w:r>
            <w:r>
              <w:rPr>
                <w:rFonts w:hint="eastAsia" w:ascii="楷体_GB2312" w:hAnsi="楷体_GB2312" w:eastAsia="楷体_GB2312" w:cs="楷体_GB2312"/>
                <w:color w:val="121212"/>
                <w:sz w:val="28"/>
                <w:szCs w:val="28"/>
                <w:lang w:eastAsia="zh-CN"/>
              </w:rPr>
              <w:t>、</w:t>
            </w:r>
            <w:r>
              <w:rPr>
                <w:rFonts w:hint="eastAsia" w:ascii="楷体_GB2312" w:hAnsi="楷体_GB2312" w:eastAsia="楷体_GB2312" w:cs="楷体_GB2312"/>
                <w:color w:val="121212"/>
                <w:sz w:val="28"/>
                <w:szCs w:val="28"/>
              </w:rPr>
              <w:t>CNAS）的司法鉴定机构，创建1家司法部司法鉴定重点实验室。</w:t>
            </w:r>
          </w:p>
          <w:p>
            <w:pPr>
              <w:spacing w:line="360" w:lineRule="auto"/>
              <w:ind w:firstLine="562" w:firstLineChars="200"/>
              <w:rPr>
                <w:rFonts w:hint="eastAsia" w:ascii="楷体_GB2312" w:hAnsi="楷体_GB2312" w:eastAsia="楷体_GB2312" w:cs="楷体_GB2312"/>
                <w:color w:val="121212"/>
                <w:sz w:val="28"/>
                <w:szCs w:val="28"/>
              </w:rPr>
            </w:pPr>
            <w:r>
              <w:rPr>
                <w:rFonts w:hint="eastAsia" w:ascii="楷体_GB2312" w:hAnsi="楷体_GB2312" w:eastAsia="楷体_GB2312" w:cs="楷体_GB2312"/>
                <w:b/>
                <w:bCs/>
                <w:color w:val="121212"/>
                <w:sz w:val="28"/>
                <w:szCs w:val="28"/>
              </w:rPr>
              <w:t>仲裁机构能力提升行动。</w:t>
            </w:r>
            <w:r>
              <w:rPr>
                <w:rFonts w:hint="eastAsia" w:ascii="楷体_GB2312" w:hAnsi="楷体_GB2312" w:eastAsia="楷体_GB2312" w:cs="楷体_GB2312"/>
                <w:color w:val="121212"/>
                <w:sz w:val="28"/>
                <w:szCs w:val="28"/>
              </w:rPr>
              <w:t>打造5家信息化示范仲裁机构，培育1家享有良好声誉、具有一定国际影响力或区域代表性的仲裁机构。</w:t>
            </w:r>
          </w:p>
          <w:p>
            <w:pPr>
              <w:spacing w:line="360" w:lineRule="auto"/>
              <w:ind w:firstLine="562" w:firstLineChars="200"/>
              <w:rPr>
                <w:color w:val="121212"/>
              </w:rPr>
            </w:pPr>
            <w:r>
              <w:rPr>
                <w:rFonts w:hint="eastAsia" w:ascii="楷体_GB2312" w:hAnsi="楷体_GB2312" w:eastAsia="楷体_GB2312" w:cs="楷体_GB2312"/>
                <w:b/>
                <w:bCs/>
                <w:color w:val="121212"/>
                <w:sz w:val="28"/>
                <w:szCs w:val="28"/>
              </w:rPr>
              <w:t>法律服务高端人才培育工程。</w:t>
            </w:r>
            <w:r>
              <w:rPr>
                <w:rFonts w:hint="eastAsia" w:ascii="楷体_GB2312" w:hAnsi="楷体_GB2312" w:eastAsia="楷体_GB2312" w:cs="楷体_GB2312"/>
                <w:color w:val="121212"/>
                <w:sz w:val="28"/>
                <w:szCs w:val="28"/>
              </w:rPr>
              <w:t>培养法律服务领军人才100名（律师50名，公证员20名，司法鉴定人20名，仲裁从业人员10名），后备人才200名（律师100名，公证40名，司法鉴定人40名，仲裁从业人员20名）。</w:t>
            </w:r>
          </w:p>
        </w:tc>
      </w:tr>
    </w:tbl>
    <w:p>
      <w:pPr>
        <w:rPr>
          <w:color w:val="121212"/>
        </w:rPr>
      </w:pPr>
    </w:p>
    <w:p>
      <w:pPr>
        <w:keepNext/>
        <w:keepLines/>
        <w:spacing w:beforeLines="30" w:afterLines="30" w:line="360" w:lineRule="auto"/>
        <w:jc w:val="center"/>
        <w:outlineLvl w:val="1"/>
        <w:rPr>
          <w:rFonts w:hint="eastAsia" w:ascii="楷体_GB2312" w:hAnsi="楷体_GB2312" w:eastAsia="楷体_GB2312" w:cs="楷体_GB2312"/>
          <w:b/>
          <w:bCs/>
          <w:color w:val="121212"/>
          <w:sz w:val="32"/>
          <w:szCs w:val="32"/>
        </w:rPr>
      </w:pPr>
      <w:bookmarkStart w:id="37" w:name="_Toc1362"/>
      <w:r>
        <w:rPr>
          <w:rFonts w:hint="eastAsia" w:ascii="楷体_GB2312" w:hAnsi="楷体_GB2312" w:eastAsia="楷体_GB2312" w:cs="楷体_GB2312"/>
          <w:b/>
          <w:bCs/>
          <w:color w:val="121212"/>
          <w:sz w:val="32"/>
          <w:szCs w:val="32"/>
        </w:rPr>
        <w:t xml:space="preserve">第八节  </w:t>
      </w:r>
      <w:r>
        <w:rPr>
          <w:rFonts w:hint="eastAsia" w:ascii="楷体_GB2312" w:hAnsi="楷体_GB2312" w:eastAsia="楷体_GB2312" w:cs="楷体_GB2312"/>
          <w:b/>
          <w:bCs/>
          <w:color w:val="121212"/>
          <w:sz w:val="32"/>
          <w:szCs w:val="32"/>
          <w:lang w:eastAsia="zh-CN"/>
        </w:rPr>
        <w:t>服务</w:t>
      </w:r>
      <w:r>
        <w:rPr>
          <w:rFonts w:hint="eastAsia" w:ascii="楷体_GB2312" w:hAnsi="楷体_GB2312" w:eastAsia="楷体_GB2312" w:cs="楷体_GB2312"/>
          <w:b/>
          <w:bCs/>
          <w:color w:val="121212"/>
          <w:sz w:val="32"/>
          <w:szCs w:val="32"/>
        </w:rPr>
        <w:t>基层依法治理</w:t>
      </w:r>
      <w:bookmarkEnd w:id="37"/>
    </w:p>
    <w:p>
      <w:pPr>
        <w:spacing w:line="360" w:lineRule="auto"/>
        <w:ind w:firstLine="640" w:firstLineChars="200"/>
        <w:rPr>
          <w:rFonts w:hint="eastAsia" w:ascii="黑体" w:hAnsi="黑体" w:eastAsia="黑体"/>
          <w:color w:val="C00000"/>
          <w:sz w:val="30"/>
          <w:szCs w:val="30"/>
        </w:rPr>
      </w:pPr>
      <w:r>
        <w:rPr>
          <w:rFonts w:hint="eastAsia" w:ascii="仿宋_GB2312" w:hAnsi="仿宋_GB2312" w:eastAsia="仿宋_GB2312" w:cs="仿宋_GB2312"/>
          <w:b w:val="0"/>
          <w:bCs w:val="0"/>
          <w:color w:val="121212"/>
          <w:sz w:val="32"/>
          <w:szCs w:val="32"/>
          <w:lang w:eastAsia="zh-CN"/>
        </w:rPr>
        <w:t>服务城乡社区依法治理。围绕“全覆盖、全规范、全时空”目标，推进村（社区）法律顾问工作提质增效，实施村（社区）法律顾问服务清单制和管理考核制，提升村（社区）法律顾问的有效覆盖率和律师、基层法律服务工作者的比例。</w:t>
      </w:r>
      <w:r>
        <w:rPr>
          <w:rFonts w:hint="eastAsia" w:ascii="仿宋_GB2312" w:hAnsi="仿宋_GB2312" w:eastAsia="仿宋_GB2312" w:cs="仿宋_GB2312"/>
          <w:b w:val="0"/>
          <w:bCs w:val="0"/>
          <w:color w:val="121212"/>
          <w:sz w:val="32"/>
          <w:szCs w:val="32"/>
        </w:rPr>
        <w:t>大力实施村（社区）“法律明白人”培育工程。建立“法律顾问+村（社）干部+法律明白人+人民调解员+综治网格员”基层依法治理骨干体系。深入开展“民主法治示范村（社区）”等基层法治示范创建活动。鼓励智慧法治社区建设，</w:t>
      </w:r>
      <w:r>
        <w:rPr>
          <w:rFonts w:hint="eastAsia" w:ascii="仿宋_GB2312" w:hAnsi="仿宋_GB2312" w:eastAsia="仿宋_GB2312" w:cs="仿宋_GB2312"/>
          <w:b w:val="0"/>
          <w:bCs w:val="0"/>
          <w:color w:val="121212"/>
          <w:sz w:val="32"/>
          <w:szCs w:val="32"/>
          <w:lang w:eastAsia="zh-CN"/>
        </w:rPr>
        <w:t>在全省推广建设一批“社区法律之家”，推进公共法律服务与执法司法、综合治理、自治组织等联动协同，打造多功能“一站式”基层依法治理窗口。</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加强基层统战治理能力建设，构建共建共治共享的社会治理新格局</w:t>
      </w:r>
      <w:r>
        <w:rPr>
          <w:rFonts w:hint="eastAsia" w:ascii="仿宋_GB2312" w:hAnsi="仿宋_GB2312" w:eastAsia="仿宋_GB2312" w:cs="仿宋_GB2312"/>
          <w:b w:val="0"/>
          <w:bCs w:val="0"/>
          <w:color w:val="121212"/>
          <w:sz w:val="32"/>
          <w:szCs w:val="32"/>
          <w:lang w:eastAsia="zh-CN"/>
        </w:rPr>
        <w:t>。</w:t>
      </w:r>
      <w:r>
        <w:rPr>
          <w:rFonts w:hint="eastAsia" w:ascii="仿宋_GB2312" w:hAnsi="仿宋_GB2312" w:eastAsia="仿宋_GB2312" w:cs="仿宋_GB2312"/>
          <w:b w:val="0"/>
          <w:bCs w:val="0"/>
          <w:color w:val="121212"/>
          <w:sz w:val="32"/>
          <w:szCs w:val="32"/>
        </w:rPr>
        <w:t>全面推进智慧矫正中心建设</w:t>
      </w:r>
      <w:r>
        <w:rPr>
          <w:rFonts w:hint="eastAsia" w:ascii="仿宋_GB2312" w:hAnsi="仿宋_GB2312" w:eastAsia="仿宋_GB2312" w:cs="仿宋_GB2312"/>
          <w:b w:val="0"/>
          <w:bCs w:val="0"/>
          <w:color w:val="121212"/>
          <w:sz w:val="32"/>
          <w:szCs w:val="32"/>
          <w:lang w:eastAsia="zh-CN"/>
        </w:rPr>
        <w:t>，打造一批应用场景项目，</w:t>
      </w:r>
      <w:r>
        <w:rPr>
          <w:rFonts w:hint="eastAsia" w:ascii="仿宋_GB2312" w:hAnsi="仿宋_GB2312" w:eastAsia="仿宋_GB2312" w:cs="仿宋_GB2312"/>
          <w:b w:val="0"/>
          <w:bCs w:val="0"/>
          <w:color w:val="121212"/>
          <w:sz w:val="32"/>
          <w:szCs w:val="32"/>
        </w:rPr>
        <w:t>提高社区矫正工作智能化、精细化</w:t>
      </w:r>
      <w:r>
        <w:rPr>
          <w:rFonts w:hint="eastAsia" w:ascii="仿宋_GB2312" w:hAnsi="仿宋_GB2312" w:eastAsia="仿宋_GB2312" w:cs="仿宋_GB2312"/>
          <w:b w:val="0"/>
          <w:bCs w:val="0"/>
          <w:color w:val="121212"/>
          <w:sz w:val="32"/>
          <w:szCs w:val="32"/>
          <w:lang w:eastAsia="zh-CN"/>
        </w:rPr>
        <w:t>、现代化</w:t>
      </w:r>
      <w:r>
        <w:rPr>
          <w:rFonts w:hint="eastAsia" w:ascii="仿宋_GB2312" w:hAnsi="仿宋_GB2312" w:eastAsia="仿宋_GB2312" w:cs="仿宋_GB2312"/>
          <w:b w:val="0"/>
          <w:bCs w:val="0"/>
          <w:color w:val="121212"/>
          <w:sz w:val="32"/>
          <w:szCs w:val="32"/>
        </w:rPr>
        <w:t>水平。鼓励社会力量参与社会治理，支持和发展公共法律服务志愿组织，培育一批公共法律服务志愿者队伍。</w:t>
      </w:r>
    </w:p>
    <w:p>
      <w:pPr>
        <w:spacing w:line="276" w:lineRule="auto"/>
        <w:jc w:val="center"/>
        <w:rPr>
          <w:rFonts w:ascii="黑体" w:hAnsi="黑体" w:eastAsia="黑体"/>
          <w:sz w:val="28"/>
          <w:szCs w:val="28"/>
        </w:rPr>
      </w:pPr>
      <w:r>
        <w:rPr>
          <w:rFonts w:hint="eastAsia" w:ascii="黑体" w:hAnsi="黑体" w:eastAsia="黑体"/>
          <w:sz w:val="30"/>
          <w:szCs w:val="30"/>
        </w:rPr>
        <w:t xml:space="preserve">专栏6 </w:t>
      </w:r>
      <w:r>
        <w:rPr>
          <w:rFonts w:hint="eastAsia" w:ascii="黑体" w:hAnsi="黑体" w:eastAsia="黑体"/>
          <w:color w:val="000000" w:themeColor="text1"/>
          <w:sz w:val="30"/>
          <w:szCs w:val="30"/>
          <w14:textFill>
            <w14:solidFill>
              <w14:schemeClr w14:val="tx1"/>
            </w14:solidFill>
          </w14:textFill>
        </w:rPr>
        <w:t xml:space="preserve"> </w:t>
      </w:r>
      <w:r>
        <w:rPr>
          <w:rFonts w:hint="eastAsia" w:ascii="黑体" w:hAnsi="黑体" w:eastAsia="黑体"/>
          <w:color w:val="000000" w:themeColor="text1"/>
          <w:sz w:val="30"/>
          <w:szCs w:val="30"/>
          <w:lang w:eastAsia="zh-CN"/>
          <w14:textFill>
            <w14:solidFill>
              <w14:schemeClr w14:val="tx1"/>
            </w14:solidFill>
          </w14:textFill>
        </w:rPr>
        <w:t>服务</w:t>
      </w:r>
      <w:r>
        <w:rPr>
          <w:rFonts w:hint="eastAsia" w:ascii="黑体" w:hAnsi="黑体" w:eastAsia="黑体"/>
          <w:sz w:val="30"/>
          <w:szCs w:val="30"/>
        </w:rPr>
        <w:t>基层依法治理</w:t>
      </w:r>
    </w:p>
    <w:tbl>
      <w:tblPr>
        <w:tblStyle w:val="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tcBorders>
              <w:top w:val="single" w:color="auto" w:sz="4" w:space="0"/>
              <w:left w:val="single" w:color="auto" w:sz="4" w:space="0"/>
              <w:bottom w:val="single" w:color="auto" w:sz="4" w:space="0"/>
              <w:right w:val="single" w:color="auto" w:sz="4" w:space="0"/>
            </w:tcBorders>
          </w:tcPr>
          <w:p>
            <w:pPr>
              <w:pStyle w:val="2"/>
              <w:spacing w:after="0" w:line="360" w:lineRule="auto"/>
              <w:ind w:firstLine="562" w:firstLineChars="200"/>
              <w:rPr>
                <w:rFonts w:hint="eastAsia" w:ascii="楷体_GB2312" w:hAnsi="楷体_GB2312" w:eastAsia="楷体_GB2312" w:cs="楷体_GB2312"/>
                <w:sz w:val="28"/>
                <w:szCs w:val="28"/>
              </w:rPr>
            </w:pPr>
            <w:r>
              <w:rPr>
                <w:rFonts w:hint="eastAsia" w:ascii="楷体_GB2312" w:hAnsi="楷体_GB2312" w:eastAsia="楷体_GB2312" w:cs="楷体_GB2312"/>
                <w:b/>
                <w:bCs/>
                <w:sz w:val="28"/>
                <w:szCs w:val="28"/>
                <w:lang w:eastAsia="zh-CN"/>
              </w:rPr>
              <w:t>基层治理能力提升工程。</w:t>
            </w:r>
            <w:r>
              <w:rPr>
                <w:rFonts w:hint="eastAsia" w:ascii="楷体_GB2312" w:hAnsi="楷体_GB2312" w:eastAsia="楷体_GB2312" w:cs="楷体_GB2312"/>
                <w:sz w:val="28"/>
                <w:szCs w:val="28"/>
                <w:lang w:eastAsia="zh-CN"/>
              </w:rPr>
              <w:t>在全省建设</w:t>
            </w:r>
            <w:r>
              <w:rPr>
                <w:rFonts w:hint="eastAsia" w:ascii="楷体_GB2312" w:hAnsi="楷体_GB2312" w:eastAsia="楷体_GB2312" w:cs="楷体_GB2312"/>
                <w:sz w:val="28"/>
                <w:szCs w:val="28"/>
                <w:lang w:val="en-US" w:eastAsia="zh-CN"/>
              </w:rPr>
              <w:t>100</w:t>
            </w:r>
            <w:r>
              <w:rPr>
                <w:rFonts w:hint="eastAsia" w:ascii="楷体_GB2312" w:hAnsi="楷体_GB2312" w:eastAsia="楷体_GB2312" w:cs="楷体_GB2312"/>
                <w:sz w:val="28"/>
                <w:szCs w:val="28"/>
                <w:lang w:eastAsia="zh-CN"/>
              </w:rPr>
              <w:t>个示范性“社区法律之家”。</w:t>
            </w:r>
            <w:r>
              <w:rPr>
                <w:rFonts w:hint="eastAsia" w:ascii="楷体_GB2312" w:hAnsi="楷体_GB2312" w:eastAsia="楷体_GB2312" w:cs="楷体_GB2312"/>
                <w:b w:val="0"/>
                <w:bCs w:val="0"/>
                <w:sz w:val="28"/>
                <w:szCs w:val="28"/>
                <w:lang w:eastAsia="zh-CN"/>
              </w:rPr>
              <w:t>实施一村（社区）一法律顾问“两提升”行动，村（社区）法律顾问有效覆盖率提升20%，村（社区）法律顾问中律师、基层法律服务工作者比例提升20%，村（社区）法律顾问工作经费提升10%。</w:t>
            </w:r>
            <w:r>
              <w:rPr>
                <w:rFonts w:hint="eastAsia" w:ascii="楷体_GB2312" w:hAnsi="楷体_GB2312" w:eastAsia="楷体_GB2312" w:cs="楷体_GB2312"/>
                <w:sz w:val="28"/>
                <w:szCs w:val="28"/>
                <w:lang w:eastAsia="zh-CN"/>
              </w:rPr>
              <w:t>实施</w:t>
            </w:r>
            <w:r>
              <w:rPr>
                <w:rFonts w:hint="eastAsia" w:ascii="楷体_GB2312" w:hAnsi="楷体_GB2312" w:eastAsia="楷体_GB2312" w:cs="楷体_GB2312"/>
                <w:sz w:val="28"/>
                <w:szCs w:val="28"/>
              </w:rPr>
              <w:t>村（社区）“法律明白人”培养工程</w:t>
            </w:r>
            <w:r>
              <w:rPr>
                <w:rFonts w:hint="eastAsia" w:ascii="楷体_GB2312" w:hAnsi="楷体_GB2312" w:eastAsia="楷体_GB2312" w:cs="楷体_GB2312"/>
                <w:sz w:val="28"/>
                <w:szCs w:val="28"/>
                <w:lang w:eastAsia="zh-CN"/>
              </w:rPr>
              <w:t>，</w:t>
            </w:r>
            <w:r>
              <w:rPr>
                <w:rFonts w:hint="eastAsia" w:ascii="楷体_GB2312" w:hAnsi="楷体_GB2312" w:eastAsia="楷体_GB2312" w:cs="楷体_GB2312"/>
                <w:sz w:val="28"/>
                <w:szCs w:val="28"/>
              </w:rPr>
              <w:t>到2025年全省每个村（社区）有5名以上骨干“法律明白人”，每个村民小组（小区楼栋）至少有1名“法律明白人”。完成183个县级“智慧矫正中心”建设，构建数据一体化、管理智能化、移动互联化、指挥可视化的社区矫正新模式。</w:t>
            </w:r>
          </w:p>
          <w:p>
            <w:pPr>
              <w:pStyle w:val="2"/>
              <w:spacing w:after="0" w:line="360" w:lineRule="auto"/>
              <w:ind w:firstLine="562" w:firstLineChars="200"/>
              <w:rPr>
                <w:rFonts w:ascii="仿宋" w:hAnsi="仿宋" w:eastAsia="仿宋"/>
                <w:sz w:val="28"/>
                <w:szCs w:val="36"/>
              </w:rPr>
            </w:pPr>
            <w:r>
              <w:rPr>
                <w:rFonts w:hint="eastAsia" w:ascii="楷体_GB2312" w:hAnsi="楷体_GB2312" w:eastAsia="楷体_GB2312" w:cs="楷体_GB2312"/>
                <w:b/>
                <w:bCs/>
                <w:sz w:val="28"/>
                <w:szCs w:val="28"/>
              </w:rPr>
              <w:t>公共法律服务志愿服务</w:t>
            </w:r>
            <w:r>
              <w:rPr>
                <w:rFonts w:hint="eastAsia" w:ascii="楷体_GB2312" w:hAnsi="楷体_GB2312" w:eastAsia="楷体_GB2312" w:cs="楷体_GB2312"/>
                <w:b/>
                <w:bCs/>
                <w:color w:val="000000" w:themeColor="text1"/>
                <w:sz w:val="28"/>
                <w:szCs w:val="28"/>
                <w:lang w:eastAsia="zh-CN"/>
                <w14:textFill>
                  <w14:solidFill>
                    <w14:schemeClr w14:val="tx1"/>
                  </w14:solidFill>
                </w14:textFill>
              </w:rPr>
              <w:t>扩容</w:t>
            </w:r>
            <w:r>
              <w:rPr>
                <w:rFonts w:hint="eastAsia" w:ascii="楷体_GB2312" w:hAnsi="楷体_GB2312" w:eastAsia="楷体_GB2312" w:cs="楷体_GB2312"/>
                <w:b/>
                <w:bCs/>
                <w:color w:val="000000" w:themeColor="text1"/>
                <w:sz w:val="28"/>
                <w:szCs w:val="28"/>
                <w14:textFill>
                  <w14:solidFill>
                    <w14:schemeClr w14:val="tx1"/>
                  </w14:solidFill>
                </w14:textFill>
              </w:rPr>
              <w:t>工程。</w:t>
            </w:r>
            <w:r>
              <w:rPr>
                <w:rFonts w:hint="eastAsia" w:ascii="楷体_GB2312" w:hAnsi="楷体_GB2312" w:eastAsia="楷体_GB2312" w:cs="楷体_GB2312"/>
                <w:color w:val="000000" w:themeColor="text1"/>
                <w:sz w:val="28"/>
                <w:szCs w:val="28"/>
                <w14:textFill>
                  <w14:solidFill>
                    <w14:schemeClr w14:val="tx1"/>
                  </w14:solidFill>
                </w14:textFill>
              </w:rPr>
              <w:t>建立</w:t>
            </w:r>
            <w:r>
              <w:rPr>
                <w:rFonts w:hint="eastAsia" w:ascii="楷体_GB2312" w:hAnsi="楷体_GB2312" w:eastAsia="楷体_GB2312" w:cs="楷体_GB2312"/>
                <w:color w:val="000000" w:themeColor="text1"/>
                <w:sz w:val="28"/>
                <w:szCs w:val="28"/>
                <w:lang w:eastAsia="zh-CN"/>
                <w14:textFill>
                  <w14:solidFill>
                    <w14:schemeClr w14:val="tx1"/>
                  </w14:solidFill>
                </w14:textFill>
              </w:rPr>
              <w:t>二十支</w:t>
            </w:r>
            <w:r>
              <w:rPr>
                <w:rFonts w:hint="eastAsia" w:ascii="楷体_GB2312" w:hAnsi="楷体_GB2312" w:eastAsia="楷体_GB2312" w:cs="楷体_GB2312"/>
                <w:color w:val="000000" w:themeColor="text1"/>
                <w:sz w:val="28"/>
                <w:szCs w:val="28"/>
                <w14:textFill>
                  <w14:solidFill>
                    <w14:schemeClr w14:val="tx1"/>
                  </w14:solidFill>
                </w14:textFill>
              </w:rPr>
              <w:t>公共法律服务志愿队伍，吸引一万人成为公共法律服务志愿者。</w:t>
            </w:r>
          </w:p>
        </w:tc>
      </w:tr>
    </w:tbl>
    <w:p>
      <w:pPr>
        <w:pStyle w:val="2"/>
      </w:pPr>
    </w:p>
    <w:bookmarkEnd w:id="27"/>
    <w:p>
      <w:pPr>
        <w:widowControl/>
        <w:ind w:firstLine="1920" w:firstLineChars="600"/>
        <w:jc w:val="left"/>
        <w:rPr>
          <w:rFonts w:hint="eastAsia" w:ascii="黑体" w:hAnsi="黑体" w:eastAsia="黑体" w:cs="黑体"/>
          <w:color w:val="000000" w:themeColor="text1"/>
          <w:kern w:val="44"/>
          <w:sz w:val="32"/>
          <w:szCs w:val="32"/>
          <w14:textFill>
            <w14:solidFill>
              <w14:schemeClr w14:val="tx1"/>
            </w14:solidFill>
          </w14:textFill>
        </w:rPr>
      </w:pPr>
      <w:bookmarkStart w:id="38" w:name="_Toc27495"/>
      <w:r>
        <w:rPr>
          <w:rFonts w:hint="eastAsia" w:ascii="黑体" w:hAnsi="黑体" w:eastAsia="黑体" w:cs="黑体"/>
          <w:color w:val="000000" w:themeColor="text1"/>
          <w:kern w:val="44"/>
          <w:sz w:val="32"/>
          <w:szCs w:val="32"/>
          <w14:textFill>
            <w14:solidFill>
              <w14:schemeClr w14:val="tx1"/>
            </w14:solidFill>
          </w14:textFill>
        </w:rPr>
        <w:t>第五章  推进公共法律服务</w:t>
      </w:r>
      <w:r>
        <w:rPr>
          <w:rFonts w:hint="eastAsia" w:ascii="黑体" w:hAnsi="黑体" w:eastAsia="黑体" w:cs="黑体"/>
          <w:color w:val="000000" w:themeColor="text1"/>
          <w:kern w:val="44"/>
          <w:sz w:val="32"/>
          <w:szCs w:val="32"/>
          <w:lang w:eastAsia="zh-CN"/>
          <w14:textFill>
            <w14:solidFill>
              <w14:schemeClr w14:val="tx1"/>
            </w14:solidFill>
          </w14:textFill>
        </w:rPr>
        <w:t>均衡</w:t>
      </w:r>
      <w:r>
        <w:rPr>
          <w:rFonts w:hint="eastAsia" w:ascii="黑体" w:hAnsi="黑体" w:eastAsia="黑体" w:cs="黑体"/>
          <w:color w:val="000000" w:themeColor="text1"/>
          <w:kern w:val="44"/>
          <w:sz w:val="32"/>
          <w:szCs w:val="32"/>
          <w14:textFill>
            <w14:solidFill>
              <w14:schemeClr w14:val="tx1"/>
            </w14:solidFill>
          </w14:textFill>
        </w:rPr>
        <w:t>发展</w:t>
      </w:r>
      <w:bookmarkEnd w:id="38"/>
    </w:p>
    <w:p>
      <w:pPr>
        <w:keepNext/>
        <w:keepLines/>
        <w:spacing w:beforeLines="30" w:afterLines="30" w:line="360" w:lineRule="auto"/>
        <w:jc w:val="center"/>
        <w:outlineLvl w:val="1"/>
        <w:rPr>
          <w:rFonts w:hint="eastAsia" w:ascii="楷体_GB2312" w:hAnsi="楷体_GB2312" w:eastAsia="楷体_GB2312" w:cs="楷体_GB2312"/>
          <w:color w:val="000000" w:themeColor="text1"/>
          <w:sz w:val="32"/>
          <w:szCs w:val="32"/>
          <w14:textFill>
            <w14:solidFill>
              <w14:schemeClr w14:val="tx1"/>
            </w14:solidFill>
          </w14:textFill>
        </w:rPr>
      </w:pPr>
      <w:bookmarkStart w:id="39" w:name="_Toc23176"/>
      <w:r>
        <w:rPr>
          <w:rFonts w:hint="eastAsia" w:ascii="楷体_GB2312" w:hAnsi="楷体_GB2312" w:eastAsia="楷体_GB2312" w:cs="楷体_GB2312"/>
          <w:b/>
          <w:bCs/>
          <w:color w:val="000000" w:themeColor="text1"/>
          <w:sz w:val="32"/>
          <w:szCs w:val="32"/>
          <w14:textFill>
            <w14:solidFill>
              <w14:schemeClr w14:val="tx1"/>
            </w14:solidFill>
          </w14:textFill>
        </w:rPr>
        <w:t>第一节  加强民族地区公共法律服务</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能力</w:t>
      </w:r>
      <w:r>
        <w:rPr>
          <w:rFonts w:hint="eastAsia" w:ascii="楷体_GB2312" w:hAnsi="楷体_GB2312" w:eastAsia="楷体_GB2312" w:cs="楷体_GB2312"/>
          <w:b/>
          <w:bCs/>
          <w:color w:val="000000" w:themeColor="text1"/>
          <w:sz w:val="32"/>
          <w:szCs w:val="32"/>
          <w14:textFill>
            <w14:solidFill>
              <w14:schemeClr w14:val="tx1"/>
            </w14:solidFill>
          </w14:textFill>
        </w:rPr>
        <w:t>建设</w:t>
      </w:r>
      <w:bookmarkEnd w:id="39"/>
    </w:p>
    <w:p>
      <w:pPr>
        <w:spacing w:line="360" w:lineRule="auto"/>
        <w:ind w:firstLine="640" w:firstLineChars="200"/>
        <w:rPr>
          <w:rFonts w:hint="eastAsia" w:ascii="仿宋_GB2312" w:hAnsi="仿宋_GB2312" w:eastAsia="仿宋_GB2312" w:cs="仿宋_GB2312"/>
          <w:color w:val="121212"/>
          <w:sz w:val="32"/>
          <w:szCs w:val="32"/>
        </w:rPr>
      </w:pPr>
      <w:r>
        <w:rPr>
          <w:rFonts w:hint="eastAsia" w:ascii="仿宋_GB2312" w:hAnsi="仿宋_GB2312" w:eastAsia="仿宋_GB2312" w:cs="仿宋_GB2312"/>
          <w:sz w:val="32"/>
          <w:szCs w:val="32"/>
        </w:rPr>
        <w:t>提升民族地区公共</w:t>
      </w:r>
      <w:r>
        <w:rPr>
          <w:rFonts w:hint="eastAsia" w:ascii="仿宋_GB2312" w:hAnsi="仿宋_GB2312" w:eastAsia="仿宋_GB2312" w:cs="仿宋_GB2312"/>
          <w:color w:val="121212"/>
          <w:sz w:val="32"/>
          <w:szCs w:val="32"/>
        </w:rPr>
        <w:t>法律服务供给能力。支持法律服务资源依法跨区域流动，鼓励法律服务机构到民族地区开设分支机构，引导法律服务人才向民族地区流动。实现民族地区参公性质的法律援助机构在州、县两级全覆盖。加快民族地区智慧公共法律服务建设，打造一批示范性公共法律服务中心（站），实现公证实时视频协同办证和犯罪嫌疑人、被告人的远程法律帮助、法律服务全覆盖。在涉</w:t>
      </w:r>
      <w:r>
        <w:rPr>
          <w:rFonts w:hint="eastAsia" w:ascii="仿宋_GB2312" w:hAnsi="仿宋_GB2312" w:eastAsia="仿宋_GB2312" w:cs="仿宋_GB2312"/>
          <w:color w:val="000000" w:themeColor="text1"/>
          <w:sz w:val="32"/>
          <w:szCs w:val="32"/>
          <w14:textFill>
            <w14:solidFill>
              <w14:schemeClr w14:val="tx1"/>
            </w14:solidFill>
          </w14:textFill>
        </w:rPr>
        <w:t>藏</w:t>
      </w:r>
      <w:r>
        <w:rPr>
          <w:rFonts w:hint="eastAsia" w:ascii="仿宋_GB2312" w:hAnsi="仿宋_GB2312" w:eastAsia="仿宋_GB2312" w:cs="仿宋_GB2312"/>
          <w:color w:val="000000" w:themeColor="text1"/>
          <w:sz w:val="32"/>
          <w:szCs w:val="32"/>
          <w:lang w:eastAsia="zh-CN"/>
          <w14:textFill>
            <w14:solidFill>
              <w14:schemeClr w14:val="tx1"/>
            </w14:solidFill>
          </w14:textFill>
        </w:rPr>
        <w:t>地区</w:t>
      </w:r>
      <w:r>
        <w:rPr>
          <w:rFonts w:hint="eastAsia" w:ascii="仿宋_GB2312" w:hAnsi="仿宋_GB2312" w:eastAsia="仿宋_GB2312" w:cs="仿宋_GB2312"/>
          <w:color w:val="000000" w:themeColor="text1"/>
          <w:sz w:val="32"/>
          <w:szCs w:val="32"/>
          <w14:textFill>
            <w14:solidFill>
              <w14:schemeClr w14:val="tx1"/>
            </w14:solidFill>
          </w14:textFill>
        </w:rPr>
        <w:t>重点寺庙管理</w:t>
      </w:r>
      <w:r>
        <w:rPr>
          <w:rFonts w:hint="eastAsia" w:ascii="仿宋_GB2312" w:hAnsi="仿宋_GB2312" w:eastAsia="仿宋_GB2312" w:cs="仿宋_GB2312"/>
          <w:color w:val="121212"/>
          <w:sz w:val="32"/>
          <w:szCs w:val="32"/>
        </w:rPr>
        <w:t>区新建一批公共法律服务中心（站）。加强凉山彝区乡村振兴重点帮扶县</w:t>
      </w:r>
      <w:r>
        <w:rPr>
          <w:rFonts w:hint="eastAsia" w:ascii="仿宋_GB2312" w:hAnsi="仿宋_GB2312" w:eastAsia="仿宋_GB2312" w:cs="仿宋_GB2312"/>
          <w:color w:val="121212"/>
          <w:sz w:val="32"/>
          <w:szCs w:val="32"/>
          <w:lang w:eastAsia="zh-CN"/>
        </w:rPr>
        <w:t>“</w:t>
      </w:r>
      <w:r>
        <w:rPr>
          <w:rFonts w:hint="eastAsia" w:ascii="仿宋_GB2312" w:hAnsi="仿宋_GB2312" w:eastAsia="仿宋_GB2312" w:cs="仿宋_GB2312"/>
          <w:color w:val="121212"/>
          <w:sz w:val="32"/>
          <w:szCs w:val="32"/>
        </w:rPr>
        <w:t>爱之家</w:t>
      </w:r>
      <w:r>
        <w:rPr>
          <w:rFonts w:hint="eastAsia" w:ascii="仿宋_GB2312" w:hAnsi="仿宋_GB2312" w:eastAsia="仿宋_GB2312" w:cs="仿宋_GB2312"/>
          <w:color w:val="121212"/>
          <w:sz w:val="32"/>
          <w:szCs w:val="32"/>
          <w:lang w:eastAsia="zh-CN"/>
        </w:rPr>
        <w:t>”</w:t>
      </w:r>
      <w:r>
        <w:rPr>
          <w:rFonts w:hint="eastAsia" w:ascii="仿宋_GB2312" w:hAnsi="仿宋_GB2312" w:eastAsia="仿宋_GB2312" w:cs="仿宋_GB2312"/>
          <w:color w:val="121212"/>
          <w:sz w:val="32"/>
          <w:szCs w:val="32"/>
        </w:rPr>
        <w:t>禁毒防艾法律服务工作站建设</w:t>
      </w:r>
      <w:r>
        <w:rPr>
          <w:rFonts w:hint="eastAsia" w:ascii="仿宋_GB2312" w:hAnsi="仿宋_GB2312" w:eastAsia="仿宋_GB2312" w:cs="仿宋_GB2312"/>
          <w:color w:val="121212"/>
          <w:sz w:val="32"/>
          <w:szCs w:val="32"/>
          <w:lang w:eastAsia="zh-CN"/>
        </w:rPr>
        <w:t>。</w:t>
      </w:r>
      <w:r>
        <w:rPr>
          <w:rFonts w:hint="eastAsia" w:ascii="仿宋_GB2312" w:hAnsi="仿宋_GB2312" w:eastAsia="仿宋_GB2312" w:cs="仿宋_GB2312"/>
          <w:color w:val="121212"/>
          <w:sz w:val="32"/>
          <w:szCs w:val="32"/>
        </w:rPr>
        <w:t>加强“四川律师</w:t>
      </w:r>
      <w:r>
        <w:rPr>
          <w:rFonts w:hint="eastAsia" w:ascii="仿宋_GB2312" w:hAnsi="仿宋_GB2312" w:eastAsia="仿宋_GB2312" w:cs="仿宋_GB2312"/>
          <w:color w:val="121212"/>
          <w:sz w:val="32"/>
          <w:szCs w:val="32"/>
          <w:lang w:eastAsia="zh-CN"/>
        </w:rPr>
        <w:t>公证</w:t>
      </w:r>
      <w:r>
        <w:rPr>
          <w:rFonts w:hint="eastAsia" w:ascii="仿宋_GB2312" w:hAnsi="仿宋_GB2312" w:eastAsia="仿宋_GB2312" w:cs="仿宋_GB2312"/>
          <w:color w:val="121212"/>
          <w:sz w:val="32"/>
          <w:szCs w:val="32"/>
        </w:rPr>
        <w:t>服务团”</w:t>
      </w:r>
      <w:r>
        <w:rPr>
          <w:rFonts w:hint="eastAsia" w:ascii="仿宋_GB2312" w:hAnsi="仿宋_GB2312" w:eastAsia="仿宋_GB2312" w:cs="仿宋_GB2312"/>
          <w:color w:val="121212"/>
          <w:sz w:val="32"/>
          <w:szCs w:val="32"/>
          <w:lang w:eastAsia="zh-CN"/>
        </w:rPr>
        <w:t>、</w:t>
      </w:r>
      <w:r>
        <w:rPr>
          <w:rFonts w:hint="eastAsia" w:ascii="仿宋_GB2312" w:hAnsi="仿宋_GB2312" w:eastAsia="仿宋_GB2312" w:cs="仿宋_GB2312"/>
          <w:color w:val="121212"/>
          <w:sz w:val="32"/>
          <w:szCs w:val="32"/>
        </w:rPr>
        <w:t>“1+1”法律援助志愿者行动等公益法律服务品牌建设。开展民族地区法律服务双语人才培育工程。</w:t>
      </w:r>
    </w:p>
    <w:p>
      <w:pPr>
        <w:keepNext/>
        <w:keepLines/>
        <w:spacing w:beforeLines="50" w:afterLines="50" w:line="360" w:lineRule="auto"/>
        <w:jc w:val="center"/>
        <w:outlineLvl w:val="0"/>
        <w:rPr>
          <w:rFonts w:hint="eastAsia" w:ascii="仿宋_GB2312" w:hAnsi="仿宋_GB2312" w:eastAsia="仿宋_GB2312" w:cs="仿宋_GB2312"/>
          <w:b/>
          <w:bCs/>
          <w:color w:val="121212"/>
          <w:sz w:val="32"/>
          <w:szCs w:val="32"/>
        </w:rPr>
      </w:pPr>
      <w:bookmarkStart w:id="40" w:name="_Toc5115"/>
      <w:r>
        <w:rPr>
          <w:rFonts w:hint="eastAsia" w:ascii="楷体_GB2312" w:hAnsi="楷体_GB2312" w:eastAsia="楷体_GB2312" w:cs="楷体_GB2312"/>
          <w:b/>
          <w:bCs/>
          <w:color w:val="121212"/>
          <w:kern w:val="44"/>
          <w:sz w:val="32"/>
          <w:szCs w:val="32"/>
        </w:rPr>
        <w:t>第二节 持续推进公共法律服务区域协调发展</w:t>
      </w:r>
      <w:bookmarkEnd w:id="40"/>
    </w:p>
    <w:p>
      <w:pPr>
        <w:spacing w:line="360" w:lineRule="auto"/>
        <w:ind w:firstLine="643" w:firstLineChars="200"/>
        <w:rPr>
          <w:rFonts w:hint="default"/>
          <w:color w:val="121212"/>
          <w:lang w:val="en-US"/>
        </w:rPr>
      </w:pPr>
      <w:r>
        <w:rPr>
          <w:rFonts w:hint="eastAsia" w:ascii="仿宋_GB2312" w:hAnsi="仿宋_GB2312" w:eastAsia="仿宋_GB2312" w:cs="仿宋_GB2312"/>
          <w:b/>
          <w:bCs/>
          <w:color w:val="121212"/>
          <w:sz w:val="32"/>
          <w:szCs w:val="32"/>
          <w:lang w:eastAsia="zh-CN"/>
        </w:rPr>
        <w:t>服务</w:t>
      </w:r>
      <w:r>
        <w:rPr>
          <w:rFonts w:hint="eastAsia" w:ascii="仿宋_GB2312" w:hAnsi="仿宋_GB2312" w:eastAsia="仿宋_GB2312" w:cs="仿宋_GB2312"/>
          <w:b/>
          <w:bCs/>
          <w:color w:val="121212"/>
          <w:sz w:val="32"/>
          <w:szCs w:val="32"/>
        </w:rPr>
        <w:t>“一干多支”</w:t>
      </w:r>
      <w:r>
        <w:rPr>
          <w:rFonts w:hint="eastAsia" w:ascii="仿宋_GB2312" w:hAnsi="仿宋_GB2312" w:eastAsia="仿宋_GB2312" w:cs="仿宋_GB2312"/>
          <w:b/>
          <w:bCs/>
          <w:color w:val="121212"/>
          <w:sz w:val="32"/>
          <w:szCs w:val="32"/>
          <w:lang w:eastAsia="zh-CN"/>
        </w:rPr>
        <w:t>发展战略</w:t>
      </w:r>
      <w:r>
        <w:rPr>
          <w:rFonts w:hint="eastAsia" w:ascii="仿宋_GB2312" w:hAnsi="仿宋_GB2312" w:eastAsia="仿宋_GB2312" w:cs="仿宋_GB2312"/>
          <w:b/>
          <w:bCs/>
          <w:color w:val="121212"/>
          <w:sz w:val="32"/>
          <w:szCs w:val="32"/>
        </w:rPr>
        <w:t>。</w:t>
      </w:r>
      <w:r>
        <w:rPr>
          <w:rFonts w:hint="eastAsia" w:ascii="仿宋_GB2312" w:hAnsi="仿宋_GB2312" w:eastAsia="仿宋_GB2312" w:cs="仿宋_GB2312"/>
          <w:color w:val="121212"/>
          <w:sz w:val="32"/>
          <w:szCs w:val="32"/>
        </w:rPr>
        <w:t>推动</w:t>
      </w:r>
      <w:r>
        <w:rPr>
          <w:rFonts w:hint="eastAsia" w:ascii="仿宋_GB2312" w:hAnsi="仿宋_GB2312" w:eastAsia="仿宋_GB2312" w:cs="仿宋_GB2312"/>
          <w:color w:val="121212"/>
          <w:sz w:val="32"/>
          <w:szCs w:val="32"/>
          <w:lang w:eastAsia="zh-CN"/>
        </w:rPr>
        <w:t>全省</w:t>
      </w:r>
      <w:r>
        <w:rPr>
          <w:rFonts w:hint="eastAsia" w:ascii="仿宋_GB2312" w:hAnsi="仿宋_GB2312" w:eastAsia="仿宋_GB2312" w:cs="仿宋_GB2312"/>
          <w:color w:val="121212"/>
          <w:sz w:val="32"/>
          <w:szCs w:val="32"/>
        </w:rPr>
        <w:t>公共法律服务区域布局整体优化、功能体系整体完善、发展能级整体提升。</w:t>
      </w:r>
      <w:r>
        <w:rPr>
          <w:rFonts w:hint="eastAsia" w:ascii="仿宋_GB2312" w:hAnsi="仿宋_GB2312" w:eastAsia="仿宋_GB2312" w:cs="仿宋_GB2312"/>
          <w:color w:val="121212"/>
          <w:sz w:val="32"/>
          <w:szCs w:val="32"/>
          <w:lang w:eastAsia="zh-CN"/>
        </w:rPr>
        <w:t>服务成都平原经济区一体化发展，</w:t>
      </w:r>
      <w:r>
        <w:rPr>
          <w:rFonts w:hint="eastAsia" w:ascii="仿宋_GB2312" w:hAnsi="仿宋_GB2312" w:eastAsia="仿宋_GB2312" w:cs="仿宋_GB2312"/>
          <w:color w:val="121212"/>
          <w:sz w:val="32"/>
          <w:szCs w:val="32"/>
        </w:rPr>
        <w:t>将成都建设为全国公</w:t>
      </w:r>
      <w:r>
        <w:rPr>
          <w:rFonts w:hint="eastAsia" w:ascii="仿宋_GB2312" w:hAnsi="仿宋_GB2312" w:eastAsia="仿宋_GB2312" w:cs="仿宋_GB2312"/>
          <w:b w:val="0"/>
          <w:bCs w:val="0"/>
          <w:color w:val="121212"/>
          <w:sz w:val="32"/>
          <w:szCs w:val="32"/>
        </w:rPr>
        <w:t>共法律服务示范城市</w:t>
      </w:r>
      <w:r>
        <w:rPr>
          <w:rFonts w:hint="eastAsia" w:ascii="仿宋_GB2312" w:hAnsi="仿宋_GB2312" w:eastAsia="仿宋_GB2312" w:cs="仿宋_GB2312"/>
          <w:b w:val="0"/>
          <w:bCs w:val="0"/>
          <w:color w:val="121212"/>
          <w:sz w:val="32"/>
          <w:szCs w:val="32"/>
          <w:lang w:eastAsia="zh-CN"/>
        </w:rPr>
        <w:t>，</w:t>
      </w:r>
      <w:r>
        <w:rPr>
          <w:rFonts w:hint="eastAsia" w:ascii="仿宋_GB2312" w:hAnsi="仿宋_GB2312" w:eastAsia="仿宋_GB2312" w:cs="仿宋_GB2312"/>
          <w:b w:val="0"/>
          <w:bCs w:val="0"/>
          <w:color w:val="121212"/>
          <w:sz w:val="32"/>
          <w:szCs w:val="32"/>
        </w:rPr>
        <w:t>创建成德眉资同城化公共法律服务综合试验区</w:t>
      </w:r>
      <w:r>
        <w:rPr>
          <w:rFonts w:hint="eastAsia" w:ascii="仿宋_GB2312" w:hAnsi="仿宋_GB2312" w:eastAsia="仿宋_GB2312" w:cs="仿宋_GB2312"/>
          <w:color w:val="121212"/>
          <w:sz w:val="32"/>
          <w:szCs w:val="32"/>
          <w:lang w:eastAsia="zh-CN"/>
        </w:rPr>
        <w:t>，鼓励绵阳、乐山打造区域公共法律服务示范区，加快建设天府中央法务区法律服务高地和绵阳科技创新先行示范区高能级公共法律服务中心。服务川南经济区一体化发展、川东北经济区振兴发展和攀西经济区转型升级发展，鼓励宜宾、泸州、南充、达州打造辐射周边的区域公共法律服务示范区；深化内江、自贡公共法律服务同城化建设；支持巴中、攀枝花等市</w:t>
      </w:r>
      <w:r>
        <w:rPr>
          <w:rFonts w:hint="eastAsia" w:ascii="仿宋_GB2312" w:hAnsi="仿宋_GB2312" w:eastAsia="仿宋_GB2312" w:cs="仿宋_GB2312"/>
          <w:color w:val="000000" w:themeColor="text1"/>
          <w:sz w:val="32"/>
          <w:szCs w:val="32"/>
          <w:lang w:eastAsia="zh-CN"/>
          <w14:textFill>
            <w14:solidFill>
              <w14:schemeClr w14:val="tx1"/>
            </w14:solidFill>
          </w14:textFill>
        </w:rPr>
        <w:t>（州）</w:t>
      </w:r>
      <w:r>
        <w:rPr>
          <w:rFonts w:hint="eastAsia" w:ascii="仿宋_GB2312" w:hAnsi="仿宋_GB2312" w:eastAsia="仿宋_GB2312" w:cs="仿宋_GB2312"/>
          <w:color w:val="121212"/>
          <w:sz w:val="32"/>
          <w:szCs w:val="32"/>
          <w:lang w:eastAsia="zh-CN"/>
        </w:rPr>
        <w:t>升级打造高标准公共法律服务中心。服务川西北生态示范区建设，加强民族地区公共法律服务标准化建设，优化乡村公共法律服务平台布局和促进实质化运行。</w:t>
      </w:r>
      <w:r>
        <w:rPr>
          <w:rFonts w:hint="eastAsia" w:ascii="仿宋_GB2312" w:hAnsi="仿宋_GB2312" w:eastAsia="仿宋_GB2312" w:cs="仿宋_GB2312"/>
          <w:color w:val="121212"/>
          <w:sz w:val="32"/>
          <w:szCs w:val="32"/>
          <w:lang w:val="en-US" w:eastAsia="zh-CN"/>
        </w:rPr>
        <w:t xml:space="preserve">    </w:t>
      </w:r>
    </w:p>
    <w:p>
      <w:pPr>
        <w:spacing w:line="360" w:lineRule="auto"/>
        <w:ind w:firstLine="643" w:firstLineChars="200"/>
        <w:rPr>
          <w:rFonts w:hint="eastAsia" w:ascii="仿宋_GB2312" w:hAnsi="仿宋_GB2312" w:eastAsia="仿宋_GB2312" w:cs="仿宋_GB2312"/>
          <w:b/>
          <w:bCs/>
          <w:color w:val="121212"/>
          <w:sz w:val="32"/>
          <w:szCs w:val="32"/>
          <w:lang w:val="en-US" w:eastAsia="zh-CN"/>
        </w:rPr>
      </w:pPr>
      <w:r>
        <w:rPr>
          <w:rFonts w:hint="eastAsia" w:ascii="仿宋_GB2312" w:hAnsi="仿宋_GB2312" w:eastAsia="仿宋_GB2312" w:cs="仿宋_GB2312"/>
          <w:b/>
          <w:bCs/>
          <w:sz w:val="32"/>
          <w:szCs w:val="32"/>
        </w:rPr>
        <w:t>推进成渝地区双城经济圈公共法律服务协同发展。</w:t>
      </w:r>
      <w:r>
        <w:rPr>
          <w:rFonts w:hint="eastAsia" w:ascii="仿宋_GB2312" w:hAnsi="仿宋_GB2312" w:eastAsia="仿宋_GB2312" w:cs="仿宋_GB2312"/>
          <w:sz w:val="32"/>
          <w:szCs w:val="32"/>
        </w:rPr>
        <w:t>推动两</w:t>
      </w:r>
      <w:r>
        <w:rPr>
          <w:rFonts w:hint="eastAsia" w:ascii="仿宋_GB2312" w:hAnsi="仿宋_GB2312" w:eastAsia="仿宋_GB2312" w:cs="仿宋_GB2312"/>
          <w:sz w:val="32"/>
          <w:szCs w:val="32"/>
          <w:lang w:eastAsia="zh-CN"/>
        </w:rPr>
        <w:t>省市</w:t>
      </w:r>
      <w:r>
        <w:rPr>
          <w:rFonts w:hint="eastAsia" w:ascii="仿宋_GB2312" w:hAnsi="仿宋_GB2312" w:eastAsia="仿宋_GB2312" w:cs="仿宋_GB2312"/>
          <w:sz w:val="32"/>
          <w:szCs w:val="32"/>
        </w:rPr>
        <w:t>公共法律服务资源共建共享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建立公共法律服务联盟，健全</w:t>
      </w:r>
      <w:r>
        <w:rPr>
          <w:rFonts w:hint="eastAsia" w:ascii="仿宋_GB2312" w:hAnsi="仿宋_GB2312" w:eastAsia="仿宋_GB2312" w:cs="仿宋_GB2312"/>
          <w:sz w:val="32"/>
          <w:szCs w:val="32"/>
          <w:lang w:eastAsia="zh-CN"/>
        </w:rPr>
        <w:t>律师、公证、司法鉴定等</w:t>
      </w:r>
      <w:r>
        <w:rPr>
          <w:rFonts w:hint="eastAsia" w:ascii="仿宋_GB2312" w:hAnsi="仿宋_GB2312" w:eastAsia="仿宋_GB2312" w:cs="仿宋_GB2312"/>
          <w:sz w:val="32"/>
          <w:szCs w:val="32"/>
        </w:rPr>
        <w:t>法律服务监管协作、执业资格及培训互认、</w:t>
      </w:r>
      <w:r>
        <w:rPr>
          <w:rFonts w:hint="eastAsia" w:ascii="仿宋_GB2312" w:hAnsi="仿宋_GB2312" w:eastAsia="仿宋_GB2312" w:cs="仿宋_GB2312"/>
          <w:sz w:val="32"/>
          <w:szCs w:val="32"/>
          <w:lang w:eastAsia="zh-CN"/>
        </w:rPr>
        <w:t>行业技术规范和</w:t>
      </w:r>
      <w:r>
        <w:rPr>
          <w:rFonts w:hint="eastAsia" w:ascii="仿宋_GB2312" w:hAnsi="仿宋_GB2312" w:eastAsia="仿宋_GB2312" w:cs="仿宋_GB2312"/>
          <w:sz w:val="32"/>
          <w:szCs w:val="32"/>
        </w:rPr>
        <w:t>专家库共享共用机制</w:t>
      </w:r>
      <w:r>
        <w:rPr>
          <w:rFonts w:hint="eastAsia" w:ascii="仿宋_GB2312" w:hAnsi="仿宋_GB2312" w:eastAsia="仿宋_GB2312" w:cs="仿宋_GB2312"/>
          <w:sz w:val="32"/>
          <w:szCs w:val="32"/>
          <w:lang w:eastAsia="zh-CN"/>
        </w:rPr>
        <w:t>和法律援助协同办案机制，促进两地申请法律援助经济困难条件互认，推动两地仲裁机构互聘仲裁员。</w:t>
      </w:r>
      <w:r>
        <w:rPr>
          <w:rFonts w:hint="eastAsia" w:ascii="仿宋_GB2312" w:hAnsi="仿宋_GB2312" w:eastAsia="仿宋_GB2312" w:cs="仿宋_GB2312"/>
          <w:sz w:val="32"/>
          <w:szCs w:val="32"/>
        </w:rPr>
        <w:t>联合打造域外法律查明和国际商事争议调解区域性平台、民营企业涉外纠纷投诉受理综合平台，</w:t>
      </w:r>
      <w:r>
        <w:rPr>
          <w:rFonts w:hint="eastAsia" w:ascii="仿宋_GB2312" w:hAnsi="仿宋_GB2312" w:eastAsia="仿宋_GB2312" w:cs="仿宋_GB2312"/>
          <w:sz w:val="32"/>
          <w:szCs w:val="32"/>
          <w:lang w:eastAsia="zh-CN"/>
        </w:rPr>
        <w:t>推动四川法网与重庆法网后台并网运行，共建法律服务案例库，</w:t>
      </w:r>
      <w:r>
        <w:rPr>
          <w:rFonts w:hint="eastAsia" w:ascii="仿宋_GB2312" w:hAnsi="仿宋_GB2312" w:eastAsia="仿宋_GB2312" w:cs="仿宋_GB2312"/>
          <w:sz w:val="32"/>
          <w:szCs w:val="32"/>
        </w:rPr>
        <w:t>推进公共法律服务标准协同、数据联通、服务融通。加强川渝毗邻地区公共法律服务平台建设，建设一批“法润巴蜀”地标性法治文化阵地，支持高竹新区等川渝毗邻地区公共法律服务中心建设。</w:t>
      </w:r>
    </w:p>
    <w:p>
      <w:pPr>
        <w:spacing w:line="360" w:lineRule="auto"/>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color w:val="121212"/>
          <w:sz w:val="32"/>
          <w:szCs w:val="32"/>
          <w:lang w:val="en-US" w:eastAsia="zh-CN"/>
        </w:rPr>
        <w:t>强化乡村振兴公共法律服务精准化。</w:t>
      </w:r>
      <w:r>
        <w:rPr>
          <w:rFonts w:hint="eastAsia" w:ascii="仿宋_GB2312" w:hAnsi="仿宋_GB2312" w:eastAsia="仿宋_GB2312" w:cs="仿宋_GB2312"/>
          <w:b w:val="0"/>
          <w:bCs w:val="0"/>
          <w:color w:val="121212"/>
          <w:sz w:val="32"/>
          <w:szCs w:val="32"/>
          <w:lang w:val="en-US" w:eastAsia="zh-CN"/>
        </w:rPr>
        <w:t>在乡村振兴试点县开展公共法律服务体系建设示范创建，加大对乡村振兴重点帮扶县公共法律服务体系建设的支持力度，</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推动、巩固、拓展脱贫攻坚成果与乡村振兴有效衔接。</w:t>
      </w:r>
      <w:r>
        <w:rPr>
          <w:rFonts w:hint="eastAsia" w:ascii="仿宋_GB2312" w:hAnsi="仿宋_GB2312" w:eastAsia="仿宋_GB2312" w:cs="仿宋_GB2312"/>
          <w:b w:val="0"/>
          <w:bCs w:val="0"/>
          <w:color w:val="121212"/>
          <w:sz w:val="32"/>
          <w:szCs w:val="32"/>
          <w:lang w:val="en-US" w:eastAsia="zh-CN"/>
        </w:rPr>
        <w:t>服务农村产业振兴，为现代农业发展、乡村旅游、农村产权流转等重点领域提供法律服务，配合检察公益诉讼提供环境损害司法鉴定服务。在现代农业产业园区探索设立公共法律服务工作站。加快推</w:t>
      </w:r>
      <w:r>
        <w:rPr>
          <w:rFonts w:hint="eastAsia" w:ascii="仿宋_GB2312" w:hAnsi="仿宋_GB2312" w:eastAsia="仿宋_GB2312" w:cs="仿宋_GB2312"/>
          <w:b w:val="0"/>
          <w:bCs w:val="0"/>
          <w:sz w:val="32"/>
          <w:szCs w:val="32"/>
          <w:lang w:val="en-US" w:eastAsia="zh-CN"/>
        </w:rPr>
        <w:t>进公共法律服务信息化建设</w:t>
      </w:r>
      <w:r>
        <w:rPr>
          <w:rFonts w:hint="eastAsia" w:ascii="仿宋_GB2312" w:hAnsi="仿宋_GB2312" w:eastAsia="仿宋_GB2312" w:cs="仿宋_GB2312"/>
          <w:b w:val="0"/>
          <w:bCs w:val="0"/>
          <w:sz w:val="32"/>
          <w:szCs w:val="32"/>
          <w:lang w:eastAsia="zh-CN"/>
        </w:rPr>
        <w:t>，探索“视频化”法律服务，在乡村地区推广配备</w:t>
      </w:r>
      <w:r>
        <w:rPr>
          <w:rFonts w:hint="eastAsia" w:ascii="仿宋_GB2312" w:hAnsi="仿宋_GB2312" w:eastAsia="仿宋_GB2312" w:cs="仿宋_GB2312"/>
          <w:b w:val="0"/>
          <w:bCs w:val="0"/>
          <w:sz w:val="32"/>
          <w:szCs w:val="32"/>
        </w:rPr>
        <w:t>“云律所”</w:t>
      </w:r>
      <w:r>
        <w:rPr>
          <w:rFonts w:hint="eastAsia" w:ascii="仿宋_GB2312" w:hAnsi="仿宋_GB2312" w:eastAsia="仿宋_GB2312" w:cs="仿宋_GB2312"/>
          <w:b w:val="0"/>
          <w:bCs w:val="0"/>
          <w:sz w:val="32"/>
          <w:szCs w:val="32"/>
          <w:lang w:eastAsia="zh-CN"/>
        </w:rPr>
        <w:t>、法律服务机器人，补齐乡村公共法律服务短板。</w:t>
      </w:r>
      <w:r>
        <w:rPr>
          <w:rFonts w:hint="eastAsia" w:ascii="仿宋_GB2312" w:hAnsi="仿宋_GB2312" w:eastAsia="仿宋_GB2312" w:cs="仿宋_GB2312"/>
          <w:b w:val="0"/>
          <w:bCs w:val="0"/>
          <w:color w:val="121212"/>
          <w:sz w:val="32"/>
          <w:szCs w:val="32"/>
          <w:lang w:val="en-US" w:eastAsia="zh-CN"/>
        </w:rPr>
        <w:t>服务农民权益保障，与相关部门研究政策，加强对脱贫不稳定户、边缘致贫户、因病因贫致贫户等重点群体的法律援助，积极维护新就业形态下农民进城务工人员劳动保障权益。服务法治乡村建设，</w:t>
      </w:r>
      <w:r>
        <w:rPr>
          <w:rFonts w:hint="eastAsia" w:ascii="仿宋_GB2312" w:hAnsi="仿宋_GB2312" w:eastAsia="仿宋_GB2312" w:cs="仿宋_GB2312"/>
          <w:b w:val="0"/>
          <w:bCs w:val="0"/>
          <w:sz w:val="32"/>
          <w:szCs w:val="32"/>
          <w:lang w:val="en-US" w:eastAsia="zh-CN"/>
        </w:rPr>
        <w:t>加强乡村法治文化基层设施建设，基本实现每个村（社区）至少有一个法治文化阵地</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服务乡村人才振兴，加快培养乡村法律服务人才。通过招录、聘用、政府购买服务、发展志愿者队伍等方式，充实乡镇司法所公共法律服务人才。加强乡村人民调解委员会规范化建设，推动乡镇和有条件的村调委会配备至少</w:t>
      </w:r>
      <w:r>
        <w:rPr>
          <w:rFonts w:hint="eastAsia" w:ascii="仿宋_GB2312" w:hAnsi="仿宋_GB2312" w:eastAsia="仿宋_GB2312" w:cs="仿宋_GB2312"/>
          <w:b w:val="0"/>
          <w:bCs w:val="0"/>
          <w:sz w:val="32"/>
          <w:szCs w:val="32"/>
          <w:lang w:val="en-US" w:eastAsia="zh-CN"/>
        </w:rPr>
        <w:t>1名专职人民调解员，</w:t>
      </w:r>
      <w:r>
        <w:rPr>
          <w:rFonts w:hint="eastAsia" w:ascii="仿宋_GB2312" w:hAnsi="仿宋_GB2312" w:eastAsia="仿宋_GB2312" w:cs="仿宋_GB2312"/>
          <w:b w:val="0"/>
          <w:bCs w:val="0"/>
          <w:sz w:val="32"/>
          <w:szCs w:val="32"/>
          <w:lang w:eastAsia="zh-CN"/>
        </w:rPr>
        <w:t>提高乡村人民调解员队伍专业化水平。实施乡村法律服务人才能力提升工程。</w:t>
      </w:r>
    </w:p>
    <w:p>
      <w:pPr>
        <w:pStyle w:val="2"/>
        <w:rPr>
          <w:rFonts w:hint="eastAsia"/>
        </w:rPr>
      </w:pPr>
    </w:p>
    <w:p>
      <w:pPr>
        <w:keepNext/>
        <w:keepLines/>
        <w:spacing w:beforeLines="30" w:afterLines="30" w:line="360" w:lineRule="auto"/>
        <w:jc w:val="center"/>
        <w:outlineLvl w:val="1"/>
        <w:rPr>
          <w:rFonts w:hint="eastAsia" w:ascii="楷体_GB2312" w:hAnsi="楷体_GB2312" w:eastAsia="楷体_GB2312" w:cs="楷体_GB2312"/>
          <w:b/>
          <w:bCs/>
          <w:sz w:val="32"/>
          <w:szCs w:val="32"/>
        </w:rPr>
      </w:pPr>
      <w:bookmarkStart w:id="41" w:name="_Toc21070"/>
      <w:r>
        <w:rPr>
          <w:rFonts w:hint="eastAsia" w:ascii="楷体_GB2312" w:hAnsi="楷体_GB2312" w:eastAsia="楷体_GB2312" w:cs="楷体_GB2312"/>
          <w:b/>
          <w:bCs/>
          <w:sz w:val="32"/>
          <w:szCs w:val="32"/>
        </w:rPr>
        <w:t>第三节  拓宽公共法律服务供给领域</w:t>
      </w:r>
      <w:bookmarkEnd w:id="41"/>
    </w:p>
    <w:p>
      <w:pPr>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加强</w:t>
      </w:r>
      <w:r>
        <w:rPr>
          <w:rFonts w:hint="eastAsia" w:ascii="仿宋_GB2312" w:hAnsi="仿宋_GB2312" w:eastAsia="仿宋_GB2312" w:cs="仿宋_GB2312"/>
          <w:b/>
          <w:bCs/>
          <w:sz w:val="32"/>
          <w:szCs w:val="32"/>
        </w:rPr>
        <w:t>监狱公共法律服务中心建设。</w:t>
      </w:r>
      <w:r>
        <w:rPr>
          <w:rFonts w:hint="eastAsia" w:ascii="仿宋_GB2312" w:hAnsi="仿宋_GB2312" w:eastAsia="仿宋_GB2312" w:cs="仿宋_GB2312"/>
          <w:sz w:val="32"/>
          <w:szCs w:val="32"/>
        </w:rPr>
        <w:t>全省押犯监狱公共法律服务中心全面建成，统一配置触摸查询一体机、智能机器人、一键拨打电话等设备，在公共法律服务综合业务平台框架下，建立“四川监狱公共法律服务子平台”，提升监狱公共法律服务的数字化、智能化水平。加强监狱与地方公共法律服务中心协调对接，在普法宣传、法律咨询、法律援助三大基本职能的基础上，引入人民调解、公证、司法鉴定等地方公共法律服务资源，将监狱公共法律服务中心打造成为“一站式”涉狱事务办理平台。</w:t>
      </w:r>
    </w:p>
    <w:p>
      <w:pPr>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加强</w:t>
      </w:r>
      <w:r>
        <w:rPr>
          <w:rFonts w:hint="eastAsia" w:ascii="仿宋_GB2312" w:hAnsi="仿宋_GB2312" w:eastAsia="仿宋_GB2312" w:cs="仿宋_GB2312"/>
          <w:b/>
          <w:bCs/>
          <w:sz w:val="32"/>
          <w:szCs w:val="32"/>
        </w:rPr>
        <w:t>戒毒场所公共法律服务中心建设。</w:t>
      </w:r>
      <w:r>
        <w:rPr>
          <w:rFonts w:hint="eastAsia" w:ascii="仿宋_GB2312" w:hAnsi="仿宋_GB2312" w:eastAsia="仿宋_GB2312" w:cs="仿宋_GB2312"/>
          <w:sz w:val="32"/>
          <w:szCs w:val="32"/>
        </w:rPr>
        <w:t>推动戒毒公共法律服务信息化、智能化，整合戒毒场所所务公开、禁毒宣传、法律咨询、视频探访等职能，实现“人机交互式”服务与“一对一”服务相融合，打通公共法律服务“最后一公里”。加强社区戒毒（康复）指导站建设，搭建场所戒治、康复、指导、帮扶工作于一体的后续照管和社会化延伸信息平台、戒毒康复人员社会帮教平台、创业就业平台，协调驻地公共法律服务中心，开展司法调解、公证、鉴定、法律援助等，保障戒毒康复人员合法权益。</w:t>
      </w:r>
    </w:p>
    <w:p>
      <w:pPr>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夯实安置帮教工作基础。</w:t>
      </w:r>
      <w:r>
        <w:rPr>
          <w:rFonts w:hint="eastAsia" w:ascii="仿宋_GB2312" w:hAnsi="仿宋_GB2312" w:eastAsia="仿宋_GB2312" w:cs="仿宋_GB2312"/>
          <w:sz w:val="32"/>
          <w:szCs w:val="32"/>
        </w:rPr>
        <w:t>打造4个省级过渡性安置帮教基地。引入社会参与机制，建设安置帮教志愿者队伍和安置帮教工作师资库，实现安置帮教工作人员培训全覆盖。通过政府购买方式加强安置帮教公益性岗位服务人员配置。推进安置帮教工作信息化建设，建立安置帮教与监狱系统、社区矫正系统的信息共享与业务协同系统，加强释放衔接工作，落实重点帮教对象的安置帮教。</w:t>
      </w:r>
    </w:p>
    <w:p>
      <w:pPr>
        <w:spacing w:line="360" w:lineRule="auto"/>
        <w:ind w:firstLine="643" w:firstLineChars="200"/>
        <w:rPr>
          <w:rFonts w:hint="eastAsia" w:ascii="仿宋_GB2312" w:hAnsi="仿宋_GB2312" w:eastAsia="仿宋_GB2312" w:cs="仿宋_GB2312"/>
          <w:color w:val="121212"/>
          <w:sz w:val="32"/>
          <w:szCs w:val="32"/>
        </w:rPr>
      </w:pPr>
      <w:r>
        <w:rPr>
          <w:rFonts w:hint="eastAsia" w:ascii="仿宋_GB2312" w:hAnsi="仿宋_GB2312" w:eastAsia="仿宋_GB2312" w:cs="仿宋_GB2312"/>
          <w:b/>
          <w:bCs/>
          <w:sz w:val="32"/>
          <w:szCs w:val="32"/>
        </w:rPr>
        <w:t>提升服务民营经济效能。</w:t>
      </w:r>
      <w:r>
        <w:rPr>
          <w:rFonts w:hint="eastAsia" w:ascii="仿宋_GB2312" w:hAnsi="仿宋_GB2312" w:eastAsia="仿宋_GB2312" w:cs="仿宋_GB2312"/>
          <w:sz w:val="32"/>
          <w:szCs w:val="32"/>
        </w:rPr>
        <w:t>整合律师、公证、司法鉴定等法律服务资源，组建“民营企业专项法律服务团”，推进民营企业“法治讲堂”“法治体检”常态化，探索开发套餐式“惠企”法律服务产品。加强民营企业权益保障，完善全省外来企业投诉服务平台，鼓励有条件的产业园区、商（协）会建立民营（外来）企业投诉服务工作站，创建一批标准化民营（外来）企业投诉服务工作站，为企业提供投诉申请受理、困难协助处理、法律政策咨询等集成服务，实现调解、诉讼、裁决、复议、仲裁有效衔接，构建涉企矛盾纠纷“</w:t>
      </w:r>
      <w:r>
        <w:rPr>
          <w:rFonts w:hint="eastAsia" w:ascii="仿宋_GB2312" w:hAnsi="仿宋_GB2312" w:eastAsia="仿宋_GB2312" w:cs="仿宋_GB2312"/>
          <w:color w:val="121212"/>
          <w:sz w:val="32"/>
          <w:szCs w:val="32"/>
        </w:rPr>
        <w:t>一站式”化解平台，营造良好法治营商环境。服务川商“走出去”，与重庆、广东等川商聚集地企业投诉工作机构开展跨区域协作。</w:t>
      </w:r>
    </w:p>
    <w:p>
      <w:pPr>
        <w:spacing w:line="360" w:lineRule="auto"/>
        <w:ind w:firstLine="1800" w:firstLineChars="600"/>
        <w:rPr>
          <w:rFonts w:hint="eastAsia" w:ascii="黑体" w:hAnsi="黑体" w:eastAsia="黑体" w:cs="黑体"/>
          <w:color w:val="121212"/>
          <w:sz w:val="30"/>
          <w:szCs w:val="30"/>
        </w:rPr>
      </w:pPr>
      <w:r>
        <w:rPr>
          <w:rFonts w:hint="eastAsia" w:ascii="黑体" w:hAnsi="黑体" w:eastAsia="黑体" w:cs="黑体"/>
          <w:color w:val="121212"/>
          <w:sz w:val="30"/>
          <w:szCs w:val="30"/>
        </w:rPr>
        <w:t>专栏7  推进公共法律服务</w:t>
      </w:r>
      <w:r>
        <w:rPr>
          <w:rFonts w:hint="eastAsia" w:ascii="黑体" w:hAnsi="黑体" w:eastAsia="黑体" w:cs="黑体"/>
          <w:color w:val="000000" w:themeColor="text1"/>
          <w:sz w:val="30"/>
          <w:szCs w:val="30"/>
          <w:lang w:eastAsia="zh-CN"/>
          <w14:textFill>
            <w14:solidFill>
              <w14:schemeClr w14:val="tx1"/>
            </w14:solidFill>
          </w14:textFill>
        </w:rPr>
        <w:t>均衡</w:t>
      </w:r>
      <w:r>
        <w:rPr>
          <w:rFonts w:hint="eastAsia" w:ascii="黑体" w:hAnsi="黑体" w:eastAsia="黑体" w:cs="黑体"/>
          <w:color w:val="121212"/>
          <w:sz w:val="30"/>
          <w:szCs w:val="30"/>
        </w:rPr>
        <w:t>发展</w:t>
      </w:r>
    </w:p>
    <w:tbl>
      <w:tblPr>
        <w:tblStyle w:val="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060" w:type="dxa"/>
            <w:tcBorders>
              <w:top w:val="single" w:color="auto" w:sz="4" w:space="0"/>
              <w:left w:val="single" w:color="auto" w:sz="4" w:space="0"/>
              <w:bottom w:val="single" w:color="auto" w:sz="4" w:space="0"/>
              <w:right w:val="single" w:color="auto" w:sz="4" w:space="0"/>
            </w:tcBorders>
          </w:tcPr>
          <w:p>
            <w:pPr>
              <w:spacing w:line="360" w:lineRule="auto"/>
              <w:ind w:firstLine="562" w:firstLineChars="200"/>
              <w:rPr>
                <w:rFonts w:hint="eastAsia" w:ascii="楷体_GB2312" w:hAnsi="楷体_GB2312" w:eastAsia="楷体_GB2312" w:cs="楷体_GB2312"/>
                <w:color w:val="000000" w:themeColor="text1"/>
                <w:sz w:val="28"/>
                <w:szCs w:val="28"/>
                <w14:textFill>
                  <w14:solidFill>
                    <w14:schemeClr w14:val="tx1"/>
                  </w14:solidFill>
                </w14:textFill>
              </w:rPr>
            </w:pPr>
            <w:r>
              <w:rPr>
                <w:rFonts w:hint="eastAsia" w:ascii="楷体_GB2312" w:hAnsi="楷体_GB2312" w:eastAsia="楷体_GB2312" w:cs="楷体_GB2312"/>
                <w:b/>
                <w:bCs/>
                <w:color w:val="121212"/>
                <w:sz w:val="28"/>
                <w:szCs w:val="28"/>
              </w:rPr>
              <w:t>民族地区公共服务能力提升行动。</w:t>
            </w:r>
            <w:r>
              <w:rPr>
                <w:rFonts w:hint="eastAsia" w:ascii="楷体_GB2312" w:hAnsi="楷体_GB2312" w:eastAsia="楷体_GB2312" w:cs="楷体_GB2312"/>
                <w:color w:val="121212"/>
                <w:sz w:val="28"/>
                <w:szCs w:val="28"/>
              </w:rPr>
              <w:t>在民族地区打造20个示范性公共法律服务中心（站），开展远程法律服务。支持民族地区法律服务机构和人才建设，力争实现民族地区各县至少有1家律师事务所（有1名以上律师），1家公证处（有1名以上公证员）。</w:t>
            </w:r>
            <w:r>
              <w:rPr>
                <w:rFonts w:hint="eastAsia" w:ascii="楷体_GB2312" w:hAnsi="楷体_GB2312" w:eastAsia="楷体_GB2312" w:cs="楷体_GB2312"/>
                <w:color w:val="000000" w:themeColor="text1"/>
                <w:sz w:val="28"/>
                <w:szCs w:val="28"/>
                <w14:textFill>
                  <w14:solidFill>
                    <w14:schemeClr w14:val="tx1"/>
                  </w14:solidFill>
                </w14:textFill>
              </w:rPr>
              <w:t>在涉藏</w:t>
            </w:r>
            <w:r>
              <w:rPr>
                <w:rFonts w:hint="eastAsia" w:ascii="楷体_GB2312" w:hAnsi="楷体_GB2312" w:eastAsia="楷体_GB2312" w:cs="楷体_GB2312"/>
                <w:color w:val="000000" w:themeColor="text1"/>
                <w:sz w:val="28"/>
                <w:szCs w:val="28"/>
                <w:lang w:eastAsia="zh-CN"/>
                <w14:textFill>
                  <w14:solidFill>
                    <w14:schemeClr w14:val="tx1"/>
                  </w14:solidFill>
                </w14:textFill>
              </w:rPr>
              <w:t>地区</w:t>
            </w:r>
            <w:r>
              <w:rPr>
                <w:rFonts w:hint="eastAsia" w:ascii="楷体_GB2312" w:hAnsi="楷体_GB2312" w:eastAsia="楷体_GB2312" w:cs="楷体_GB2312"/>
                <w:color w:val="000000" w:themeColor="text1"/>
                <w:sz w:val="28"/>
                <w:szCs w:val="28"/>
                <w14:textFill>
                  <w14:solidFill>
                    <w14:schemeClr w14:val="tx1"/>
                  </w14:solidFill>
                </w14:textFill>
              </w:rPr>
              <w:t>重点寺庙管理区新建10个示范性公共法律服务中心（站）</w:t>
            </w:r>
            <w:r>
              <w:rPr>
                <w:rFonts w:hint="eastAsia" w:ascii="楷体_GB2312" w:hAnsi="楷体_GB2312" w:eastAsia="楷体_GB2312" w:cs="楷体_GB2312"/>
                <w:color w:val="000000" w:themeColor="text1"/>
                <w:sz w:val="28"/>
                <w:szCs w:val="28"/>
                <w:lang w:eastAsia="zh-CN"/>
                <w14:textFill>
                  <w14:solidFill>
                    <w14:schemeClr w14:val="tx1"/>
                  </w14:solidFill>
                </w14:textFill>
              </w:rPr>
              <w:t>，</w:t>
            </w:r>
            <w:r>
              <w:rPr>
                <w:rFonts w:hint="eastAsia" w:ascii="楷体_GB2312" w:hAnsi="楷体_GB2312" w:eastAsia="楷体_GB2312" w:cs="楷体_GB2312"/>
                <w:color w:val="000000" w:themeColor="text1"/>
                <w:sz w:val="28"/>
                <w:szCs w:val="28"/>
                <w14:textFill>
                  <w14:solidFill>
                    <w14:schemeClr w14:val="tx1"/>
                  </w14:solidFill>
                </w14:textFill>
              </w:rPr>
              <w:t>提升凉山彝区5个</w:t>
            </w:r>
            <w:r>
              <w:rPr>
                <w:rFonts w:hint="eastAsia" w:ascii="楷体_GB2312" w:hAnsi="楷体_GB2312" w:eastAsia="楷体_GB2312" w:cs="楷体_GB2312"/>
                <w:color w:val="000000" w:themeColor="text1"/>
                <w:sz w:val="28"/>
                <w:szCs w:val="28"/>
                <w:lang w:eastAsia="zh-CN"/>
                <w14:textFill>
                  <w14:solidFill>
                    <w14:schemeClr w14:val="tx1"/>
                  </w14:solidFill>
                </w14:textFill>
              </w:rPr>
              <w:t>“</w:t>
            </w:r>
            <w:r>
              <w:rPr>
                <w:rFonts w:hint="eastAsia" w:ascii="楷体_GB2312" w:hAnsi="楷体_GB2312" w:eastAsia="楷体_GB2312" w:cs="楷体_GB2312"/>
                <w:color w:val="000000" w:themeColor="text1"/>
                <w:sz w:val="28"/>
                <w:szCs w:val="28"/>
                <w14:textFill>
                  <w14:solidFill>
                    <w14:schemeClr w14:val="tx1"/>
                  </w14:solidFill>
                </w14:textFill>
              </w:rPr>
              <w:t>爱之家</w:t>
            </w:r>
            <w:r>
              <w:rPr>
                <w:rFonts w:hint="eastAsia" w:ascii="楷体_GB2312" w:hAnsi="楷体_GB2312" w:eastAsia="楷体_GB2312" w:cs="楷体_GB2312"/>
                <w:color w:val="000000" w:themeColor="text1"/>
                <w:sz w:val="28"/>
                <w:szCs w:val="28"/>
                <w:lang w:eastAsia="zh-CN"/>
                <w14:textFill>
                  <w14:solidFill>
                    <w14:schemeClr w14:val="tx1"/>
                  </w14:solidFill>
                </w14:textFill>
              </w:rPr>
              <w:t>”</w:t>
            </w:r>
            <w:r>
              <w:rPr>
                <w:rFonts w:hint="eastAsia" w:ascii="楷体_GB2312" w:hAnsi="楷体_GB2312" w:eastAsia="楷体_GB2312" w:cs="楷体_GB2312"/>
                <w:color w:val="000000" w:themeColor="text1"/>
                <w:sz w:val="28"/>
                <w:szCs w:val="28"/>
                <w14:textFill>
                  <w14:solidFill>
                    <w14:schemeClr w14:val="tx1"/>
                  </w14:solidFill>
                </w14:textFill>
              </w:rPr>
              <w:t>禁毒防艾法律服务工作站精准法律宣传教育和延伸帮扶能力。培育100名民族地区法律服务双语人才。</w:t>
            </w:r>
          </w:p>
          <w:p>
            <w:pPr>
              <w:spacing w:line="360" w:lineRule="auto"/>
              <w:ind w:firstLine="562" w:firstLineChars="200"/>
              <w:rPr>
                <w:rFonts w:hint="eastAsia" w:ascii="楷体_GB2312" w:hAnsi="楷体_GB2312" w:eastAsia="楷体_GB2312" w:cs="楷体_GB2312"/>
                <w:color w:val="121212"/>
                <w:sz w:val="28"/>
                <w:szCs w:val="28"/>
              </w:rPr>
            </w:pPr>
            <w:r>
              <w:rPr>
                <w:rFonts w:hint="eastAsia" w:ascii="楷体_GB2312" w:hAnsi="楷体_GB2312" w:eastAsia="楷体_GB2312" w:cs="楷体_GB2312"/>
                <w:b/>
                <w:bCs/>
                <w:color w:val="121212"/>
                <w:sz w:val="28"/>
                <w:szCs w:val="28"/>
              </w:rPr>
              <w:t>成渝双城经济圈公共法律服务协同发展工程。</w:t>
            </w:r>
            <w:r>
              <w:rPr>
                <w:rFonts w:hint="eastAsia" w:ascii="楷体_GB2312" w:hAnsi="楷体_GB2312" w:eastAsia="楷体_GB2312" w:cs="楷体_GB2312"/>
                <w:color w:val="121212"/>
                <w:sz w:val="28"/>
                <w:szCs w:val="28"/>
              </w:rPr>
              <w:t>在川渝毗邻地区打造一批高标准公共法律服务中心</w:t>
            </w:r>
            <w:r>
              <w:rPr>
                <w:rFonts w:hint="eastAsia" w:ascii="楷体_GB2312" w:hAnsi="楷体_GB2312" w:eastAsia="楷体_GB2312" w:cs="楷体_GB2312"/>
                <w:color w:val="121212"/>
                <w:sz w:val="28"/>
                <w:szCs w:val="28"/>
                <w:lang w:eastAsia="zh-CN"/>
              </w:rPr>
              <w:t>，在遂</w:t>
            </w:r>
            <w:r>
              <w:rPr>
                <w:rFonts w:hint="eastAsia" w:ascii="楷体_GB2312" w:hAnsi="楷体_GB2312" w:eastAsia="楷体_GB2312" w:cs="楷体_GB2312"/>
                <w:color w:val="121212"/>
                <w:sz w:val="28"/>
                <w:szCs w:val="28"/>
                <w:lang w:val="en-US" w:eastAsia="zh-CN"/>
              </w:rPr>
              <w:t>潼</w:t>
            </w:r>
            <w:r>
              <w:rPr>
                <w:rFonts w:hint="eastAsia" w:ascii="楷体_GB2312" w:hAnsi="楷体_GB2312" w:eastAsia="楷体_GB2312" w:cs="楷体_GB2312"/>
                <w:color w:val="121212"/>
                <w:sz w:val="28"/>
                <w:szCs w:val="28"/>
              </w:rPr>
              <w:t>川渝毗邻地区一体化发展先行区</w:t>
            </w:r>
            <w:r>
              <w:rPr>
                <w:rFonts w:hint="eastAsia" w:ascii="楷体_GB2312" w:hAnsi="楷体_GB2312" w:eastAsia="楷体_GB2312" w:cs="楷体_GB2312"/>
                <w:color w:val="121212"/>
                <w:sz w:val="28"/>
                <w:szCs w:val="28"/>
                <w:lang w:eastAsia="zh-CN"/>
              </w:rPr>
              <w:t>、</w:t>
            </w:r>
            <w:r>
              <w:rPr>
                <w:rFonts w:hint="eastAsia" w:ascii="楷体_GB2312" w:hAnsi="楷体_GB2312" w:eastAsia="楷体_GB2312" w:cs="楷体_GB2312"/>
                <w:color w:val="121212"/>
                <w:sz w:val="28"/>
                <w:szCs w:val="28"/>
                <w:lang w:val="en-US" w:eastAsia="zh-CN"/>
              </w:rPr>
              <w:t>泸永江融合发展示范区等川渝毗邻地区合作平台</w:t>
            </w:r>
            <w:r>
              <w:rPr>
                <w:rFonts w:hint="eastAsia" w:ascii="楷体_GB2312" w:hAnsi="楷体_GB2312" w:eastAsia="楷体_GB2312" w:cs="楷体_GB2312"/>
                <w:color w:val="121212"/>
                <w:sz w:val="28"/>
                <w:szCs w:val="28"/>
                <w:lang w:eastAsia="zh-CN"/>
              </w:rPr>
              <w:t>内打造一批</w:t>
            </w:r>
            <w:r>
              <w:rPr>
                <w:rFonts w:hint="eastAsia" w:ascii="楷体_GB2312" w:hAnsi="楷体_GB2312" w:eastAsia="楷体_GB2312" w:cs="楷体_GB2312"/>
                <w:color w:val="121212"/>
                <w:sz w:val="28"/>
                <w:szCs w:val="28"/>
              </w:rPr>
              <w:t>地标性法治文化阵地。</w:t>
            </w:r>
          </w:p>
          <w:p>
            <w:pPr>
              <w:spacing w:line="360" w:lineRule="auto"/>
              <w:ind w:firstLine="562" w:firstLineChars="200"/>
              <w:rPr>
                <w:rFonts w:hint="eastAsia" w:ascii="楷体_GB2312" w:hAnsi="楷体_GB2312" w:eastAsia="楷体_GB2312" w:cs="楷体_GB2312"/>
                <w:color w:val="121212"/>
                <w:sz w:val="28"/>
                <w:szCs w:val="28"/>
              </w:rPr>
            </w:pPr>
            <w:r>
              <w:rPr>
                <w:rFonts w:hint="eastAsia" w:ascii="楷体_GB2312" w:hAnsi="楷体_GB2312" w:eastAsia="楷体_GB2312" w:cs="楷体_GB2312"/>
                <w:b/>
                <w:bCs/>
                <w:color w:val="121212"/>
                <w:sz w:val="28"/>
                <w:szCs w:val="28"/>
              </w:rPr>
              <w:t>公共法律服务拓展工程。</w:t>
            </w:r>
            <w:r>
              <w:rPr>
                <w:rFonts w:hint="eastAsia" w:ascii="楷体_GB2312" w:hAnsi="楷体_GB2312" w:eastAsia="楷体_GB2312" w:cs="楷体_GB2312"/>
                <w:color w:val="121212"/>
                <w:sz w:val="28"/>
                <w:szCs w:val="28"/>
              </w:rPr>
              <w:t>鼓励开展地校合作，开展学校公共法律服务工作站示范创建，在全省打造10个示范性高校公共法律服务中心；建成33个监狱公共法律服务中心；实现收治戒毒场所公共法律服务中心全覆盖，提升省内35个社区戒毒（康复）工作指导站服务水平，覆盖省内毒情严重市（县）；建立健全安置帮教工作师资库，配置1000个安置帮教公益岗位服务人员。</w:t>
            </w:r>
          </w:p>
          <w:p>
            <w:pPr>
              <w:pStyle w:val="2"/>
              <w:ind w:firstLine="562" w:firstLineChars="200"/>
              <w:rPr>
                <w:rFonts w:hint="eastAsia" w:ascii="楷体_GB2312" w:hAnsi="楷体_GB2312" w:eastAsia="楷体_GB2312" w:cs="楷体_GB2312"/>
                <w:color w:val="121212"/>
                <w:sz w:val="28"/>
                <w:szCs w:val="28"/>
              </w:rPr>
            </w:pPr>
            <w:r>
              <w:rPr>
                <w:rFonts w:hint="eastAsia" w:ascii="楷体_GB2312" w:hAnsi="楷体_GB2312" w:eastAsia="楷体_GB2312" w:cs="楷体_GB2312"/>
                <w:b/>
                <w:bCs/>
                <w:color w:val="121212"/>
                <w:sz w:val="28"/>
                <w:szCs w:val="28"/>
              </w:rPr>
              <w:t>服务民营经济能力提升工程。</w:t>
            </w:r>
            <w:r>
              <w:rPr>
                <w:rFonts w:hint="eastAsia" w:ascii="楷体_GB2312" w:hAnsi="楷体_GB2312" w:eastAsia="楷体_GB2312" w:cs="楷体_GB2312"/>
                <w:color w:val="121212"/>
                <w:sz w:val="28"/>
                <w:szCs w:val="28"/>
              </w:rPr>
              <w:t>每个县（市区）组建1个“民营企业专项法律服务团”，推进民营企业“法治讲堂”“法治体检”常态化，探索开发套餐式“惠企”法律服务产品。在全省打造40个标准化</w:t>
            </w:r>
            <w:r>
              <w:rPr>
                <w:rFonts w:hint="eastAsia" w:ascii="楷体_GB2312" w:hAnsi="楷体_GB2312" w:eastAsia="楷体_GB2312" w:cs="楷体_GB2312"/>
                <w:color w:val="121212"/>
                <w:sz w:val="28"/>
                <w:szCs w:val="28"/>
                <w:lang w:eastAsia="zh-CN"/>
              </w:rPr>
              <w:t>、</w:t>
            </w:r>
            <w:r>
              <w:rPr>
                <w:rFonts w:hint="eastAsia" w:ascii="楷体_GB2312" w:hAnsi="楷体_GB2312" w:eastAsia="楷体_GB2312" w:cs="楷体_GB2312"/>
                <w:color w:val="121212"/>
                <w:sz w:val="28"/>
                <w:szCs w:val="28"/>
              </w:rPr>
              <w:t>规范化的民营（外来）企业投诉服务工作站。</w:t>
            </w:r>
          </w:p>
          <w:p>
            <w:pPr>
              <w:pStyle w:val="2"/>
              <w:ind w:firstLine="562" w:firstLineChars="200"/>
              <w:rPr>
                <w:rFonts w:hint="default" w:ascii="楷体_GB2312" w:hAnsi="楷体_GB2312" w:eastAsia="楷体_GB2312" w:cs="楷体_GB2312"/>
                <w:color w:val="121212"/>
                <w:sz w:val="28"/>
                <w:szCs w:val="28"/>
                <w:lang w:val="en-US" w:eastAsia="zh-CN"/>
              </w:rPr>
            </w:pPr>
            <w:r>
              <w:rPr>
                <w:rFonts w:hint="eastAsia" w:ascii="楷体_GB2312" w:hAnsi="楷体_GB2312" w:eastAsia="楷体_GB2312" w:cs="楷体_GB2312"/>
                <w:b/>
                <w:bCs/>
                <w:color w:val="121212"/>
                <w:sz w:val="28"/>
                <w:szCs w:val="28"/>
                <w:lang w:eastAsia="zh-CN"/>
              </w:rPr>
              <w:t>乡村振兴公共法律服务示范工程。</w:t>
            </w:r>
            <w:r>
              <w:rPr>
                <w:rFonts w:hint="eastAsia" w:ascii="楷体_GB2312" w:hAnsi="楷体_GB2312" w:eastAsia="楷体_GB2312" w:cs="楷体_GB2312"/>
                <w:color w:val="121212"/>
                <w:sz w:val="28"/>
                <w:szCs w:val="28"/>
                <w:lang w:eastAsia="zh-CN"/>
              </w:rPr>
              <w:t>全省打造</w:t>
            </w:r>
            <w:r>
              <w:rPr>
                <w:rFonts w:hint="eastAsia" w:ascii="楷体_GB2312" w:hAnsi="楷体_GB2312" w:eastAsia="楷体_GB2312" w:cs="楷体_GB2312"/>
                <w:color w:val="121212"/>
                <w:sz w:val="28"/>
                <w:szCs w:val="28"/>
                <w:lang w:val="en-US" w:eastAsia="zh-CN"/>
              </w:rPr>
              <w:t>25个乡村振兴公共法律服务示范中心，100个乡村振兴公共法律服务示范站（室）。</w:t>
            </w:r>
          </w:p>
        </w:tc>
      </w:tr>
    </w:tbl>
    <w:p>
      <w:pPr>
        <w:spacing w:line="360" w:lineRule="auto"/>
        <w:ind w:firstLine="640" w:firstLineChars="200"/>
        <w:rPr>
          <w:rFonts w:ascii="仿宋" w:hAnsi="仿宋" w:eastAsia="仿宋"/>
          <w:color w:val="121212"/>
          <w:sz w:val="32"/>
          <w:szCs w:val="32"/>
        </w:rPr>
      </w:pPr>
    </w:p>
    <w:p>
      <w:pPr>
        <w:widowControl/>
        <w:ind w:firstLine="1600" w:firstLineChars="500"/>
        <w:jc w:val="left"/>
        <w:rPr>
          <w:rFonts w:hint="eastAsia" w:ascii="黑体" w:hAnsi="黑体" w:eastAsia="黑体" w:cs="黑体"/>
          <w:color w:val="121212"/>
          <w:kern w:val="44"/>
          <w:sz w:val="32"/>
          <w:szCs w:val="32"/>
        </w:rPr>
      </w:pPr>
      <w:bookmarkStart w:id="42" w:name="_Toc6588"/>
      <w:r>
        <w:rPr>
          <w:rFonts w:hint="eastAsia" w:ascii="黑体" w:hAnsi="黑体" w:eastAsia="黑体" w:cs="黑体"/>
          <w:color w:val="121212"/>
          <w:kern w:val="44"/>
          <w:sz w:val="32"/>
          <w:szCs w:val="32"/>
        </w:rPr>
        <w:t>第六章  打造高能级公共法律服务业态</w:t>
      </w:r>
      <w:bookmarkEnd w:id="42"/>
    </w:p>
    <w:p>
      <w:pPr>
        <w:keepNext/>
        <w:keepLines/>
        <w:spacing w:beforeLines="30" w:afterLines="30" w:line="360" w:lineRule="auto"/>
        <w:jc w:val="center"/>
        <w:outlineLvl w:val="1"/>
        <w:rPr>
          <w:rFonts w:hint="eastAsia" w:ascii="楷体_GB2312" w:hAnsi="楷体_GB2312" w:eastAsia="楷体_GB2312" w:cs="楷体_GB2312"/>
          <w:b/>
          <w:bCs/>
          <w:color w:val="121212"/>
          <w:sz w:val="32"/>
          <w:szCs w:val="32"/>
        </w:rPr>
      </w:pPr>
      <w:bookmarkStart w:id="43" w:name="_Toc13550"/>
      <w:r>
        <w:rPr>
          <w:rFonts w:hint="eastAsia" w:ascii="楷体_GB2312" w:hAnsi="楷体_GB2312" w:eastAsia="楷体_GB2312" w:cs="楷体_GB2312"/>
          <w:b/>
          <w:bCs/>
          <w:color w:val="121212"/>
          <w:sz w:val="32"/>
          <w:szCs w:val="32"/>
        </w:rPr>
        <w:t>第一节  建设天府中央法务区法律服务高地</w:t>
      </w:r>
      <w:bookmarkEnd w:id="43"/>
    </w:p>
    <w:p>
      <w:pPr>
        <w:spacing w:line="360" w:lineRule="auto"/>
        <w:ind w:firstLine="640" w:firstLineChars="200"/>
        <w:rPr>
          <w:rFonts w:hint="eastAsia" w:ascii="仿宋_GB2312" w:hAnsi="仿宋_GB2312" w:eastAsia="仿宋_GB2312" w:cs="仿宋_GB2312"/>
          <w:color w:val="121212"/>
          <w:sz w:val="32"/>
          <w:szCs w:val="32"/>
        </w:rPr>
      </w:pPr>
      <w:r>
        <w:rPr>
          <w:rFonts w:hint="eastAsia" w:ascii="仿宋_GB2312" w:hAnsi="仿宋_GB2312" w:eastAsia="仿宋_GB2312" w:cs="仿宋_GB2312"/>
          <w:color w:val="121212"/>
          <w:sz w:val="32"/>
          <w:szCs w:val="32"/>
        </w:rPr>
        <w:t>按照“建立一套体系，构建四个支撑，发挥四个效应，实现一个跨越”的“1441”法律服务发展思路、途径和举措，建立一套全领域、全过程、全时空的现代法律服务体系，构建高品质营商、高质量发展、高水平开放、高素质人才四个支撑，发挥聚合效应、辐射效应、叠加效应、示范效应四个效应，构建专业化、国际化、市场化、智能化法务服务品牌，将天府中央法务区打造成为立足四川、辐射西部、影响全国、面向世界的一流法律服务高地，努力实现从法律服务大省向法律服务强省跨越。</w:t>
      </w:r>
    </w:p>
    <w:p>
      <w:pPr>
        <w:spacing w:line="360" w:lineRule="auto"/>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color w:val="121212"/>
          <w:sz w:val="32"/>
          <w:szCs w:val="32"/>
          <w:lang w:eastAsia="zh-CN"/>
        </w:rPr>
        <w:t>全面丰富法务资源</w:t>
      </w:r>
      <w:r>
        <w:rPr>
          <w:rFonts w:hint="eastAsia" w:ascii="仿宋_GB2312" w:hAnsi="仿宋_GB2312" w:eastAsia="仿宋_GB2312" w:cs="仿宋_GB2312"/>
          <w:b/>
          <w:bCs/>
          <w:color w:val="121212"/>
          <w:sz w:val="32"/>
          <w:szCs w:val="32"/>
        </w:rPr>
        <w:t>。</w:t>
      </w:r>
      <w:r>
        <w:rPr>
          <w:rFonts w:hint="eastAsia" w:ascii="仿宋_GB2312" w:hAnsi="仿宋_GB2312" w:eastAsia="仿宋_GB2312" w:cs="仿宋_GB2312"/>
          <w:color w:val="121212"/>
          <w:sz w:val="32"/>
          <w:szCs w:val="32"/>
        </w:rPr>
        <w:t>建设国际纠纷解决平台，探索建立自贸区国际仲裁委员会、“一带一路”国际仲裁中心、国际商事纠纷调解中心和外国法查明中心等“一会三中心”，实现国际商事争议便利化解决。建设中外法治交流平台，常态化举办区域性法治论坛，申报并筹办涉外高端法治论坛，力争</w:t>
      </w:r>
      <w:r>
        <w:rPr>
          <w:rFonts w:hint="eastAsia" w:ascii="仿宋_GB2312" w:hAnsi="仿宋_GB2312" w:eastAsia="仿宋_GB2312" w:cs="仿宋_GB2312"/>
          <w:color w:val="121212"/>
          <w:sz w:val="32"/>
          <w:szCs w:val="32"/>
          <w:lang w:eastAsia="zh-CN"/>
        </w:rPr>
        <w:t>设立</w:t>
      </w:r>
      <w:r>
        <w:rPr>
          <w:rFonts w:hint="eastAsia" w:ascii="仿宋_GB2312" w:hAnsi="仿宋_GB2312" w:eastAsia="仿宋_GB2312" w:cs="仿宋_GB2312"/>
          <w:color w:val="121212"/>
          <w:sz w:val="32"/>
          <w:szCs w:val="32"/>
        </w:rPr>
        <w:t>国际法律服务论坛永久会址。建设法治教育研究平台，推动国家律师学院、公证研究院（公证学院）、</w:t>
      </w:r>
      <w:r>
        <w:rPr>
          <w:rFonts w:hint="eastAsia" w:ascii="仿宋_GB2312" w:hAnsi="仿宋_GB2312" w:eastAsia="仿宋_GB2312" w:cs="仿宋_GB2312"/>
          <w:color w:val="121212"/>
          <w:sz w:val="32"/>
          <w:szCs w:val="32"/>
          <w:lang w:eastAsia="zh-CN"/>
        </w:rPr>
        <w:t>司法鉴定研究院、仲裁研究院</w:t>
      </w:r>
      <w:r>
        <w:rPr>
          <w:rFonts w:hint="eastAsia" w:ascii="仿宋_GB2312" w:hAnsi="仿宋_GB2312" w:eastAsia="仿宋_GB2312" w:cs="仿宋_GB2312"/>
          <w:color w:val="121212"/>
          <w:sz w:val="32"/>
          <w:szCs w:val="32"/>
        </w:rPr>
        <w:t>建设，</w:t>
      </w:r>
      <w:r>
        <w:rPr>
          <w:rFonts w:hint="eastAsia" w:ascii="仿宋_GB2312" w:hAnsi="仿宋_GB2312" w:eastAsia="仿宋_GB2312" w:cs="仿宋_GB2312"/>
          <w:color w:val="000000" w:themeColor="text1"/>
          <w:sz w:val="32"/>
          <w:szCs w:val="32"/>
          <w:lang w:eastAsia="zh-CN"/>
          <w14:textFill>
            <w14:solidFill>
              <w14:schemeClr w14:val="tx1"/>
            </w14:solidFill>
          </w14:textFill>
        </w:rPr>
        <w:t>前期启动国家律师学院西部分院建设。</w:t>
      </w:r>
      <w:r>
        <w:rPr>
          <w:rFonts w:hint="eastAsia" w:ascii="仿宋_GB2312" w:hAnsi="仿宋_GB2312" w:eastAsia="仿宋_GB2312" w:cs="仿宋_GB2312"/>
          <w:color w:val="000000" w:themeColor="text1"/>
          <w:sz w:val="32"/>
          <w:szCs w:val="32"/>
          <w14:textFill>
            <w14:solidFill>
              <w14:schemeClr w14:val="tx1"/>
            </w14:solidFill>
          </w14:textFill>
        </w:rPr>
        <w:t>依托四川大学、西南财经大学、西南交通大学、西南民族大学</w:t>
      </w:r>
      <w:r>
        <w:rPr>
          <w:rFonts w:hint="eastAsia" w:ascii="仿宋_GB2312" w:hAnsi="仿宋_GB2312" w:eastAsia="仿宋_GB2312" w:cs="仿宋_GB2312"/>
          <w:color w:val="000000" w:themeColor="text1"/>
          <w:sz w:val="32"/>
          <w:szCs w:val="32"/>
          <w:lang w:eastAsia="zh-CN"/>
          <w14:textFill>
            <w14:solidFill>
              <w14:schemeClr w14:val="tx1"/>
            </w14:solidFill>
          </w14:textFill>
        </w:rPr>
        <w:t>等</w:t>
      </w:r>
      <w:r>
        <w:rPr>
          <w:rFonts w:hint="eastAsia" w:ascii="仿宋_GB2312" w:hAnsi="仿宋_GB2312" w:eastAsia="仿宋_GB2312" w:cs="仿宋_GB2312"/>
          <w:color w:val="000000" w:themeColor="text1"/>
          <w:sz w:val="32"/>
          <w:szCs w:val="32"/>
          <w14:textFill>
            <w14:solidFill>
              <w14:schemeClr w14:val="tx1"/>
            </w14:solidFill>
          </w14:textFill>
        </w:rPr>
        <w:t>优质资源开展民族治理、生态环境、信息科技、健康养老、知识产权、基层治理等专业法治研究，打造习近平法治思想研究实践先行区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建设法治人才培养平台，</w:t>
      </w:r>
      <w:r>
        <w:rPr>
          <w:rFonts w:hint="eastAsia" w:ascii="仿宋_GB2312" w:hAnsi="仿宋_GB2312" w:eastAsia="仿宋_GB2312" w:cs="仿宋_GB2312"/>
          <w:color w:val="000000" w:themeColor="text1"/>
          <w:sz w:val="32"/>
          <w:szCs w:val="32"/>
          <w:lang w:eastAsia="zh-CN"/>
          <w14:textFill>
            <w14:solidFill>
              <w14:schemeClr w14:val="tx1"/>
            </w14:solidFill>
          </w14:textFill>
        </w:rPr>
        <w:t>打造“高能级法学教育培训、应用型实践人才培养、青少年法治教育宣传、卓越法治人才培养”四位一体的西部法学教育培训聚集区。建设以</w:t>
      </w:r>
      <w:r>
        <w:rPr>
          <w:rFonts w:hint="eastAsia" w:ascii="仿宋_GB2312" w:hAnsi="仿宋_GB2312" w:eastAsia="仿宋_GB2312" w:cs="仿宋_GB2312"/>
          <w:color w:val="000000" w:themeColor="text1"/>
          <w:sz w:val="32"/>
          <w:szCs w:val="32"/>
          <w14:textFill>
            <w14:solidFill>
              <w14:schemeClr w14:val="tx1"/>
            </w14:solidFill>
          </w14:textFill>
        </w:rPr>
        <w:t>天</w:t>
      </w:r>
      <w:r>
        <w:rPr>
          <w:rFonts w:hint="eastAsia" w:ascii="仿宋_GB2312" w:hAnsi="仿宋_GB2312" w:eastAsia="仿宋_GB2312" w:cs="仿宋_GB2312"/>
          <w:color w:val="121212"/>
          <w:sz w:val="32"/>
          <w:szCs w:val="32"/>
        </w:rPr>
        <w:t>府</w:t>
      </w:r>
      <w:r>
        <w:rPr>
          <w:rFonts w:hint="eastAsia" w:ascii="仿宋_GB2312" w:hAnsi="仿宋_GB2312" w:eastAsia="仿宋_GB2312" w:cs="仿宋_GB2312"/>
          <w:sz w:val="32"/>
          <w:szCs w:val="32"/>
        </w:rPr>
        <w:t>律法众创空间、天府律法孵化器为主干的法律服务人才中心</w:t>
      </w:r>
      <w:r>
        <w:rPr>
          <w:rFonts w:hint="eastAsia" w:ascii="仿宋_GB2312" w:hAnsi="仿宋_GB2312" w:eastAsia="仿宋_GB2312" w:cs="仿宋_GB2312"/>
          <w:sz w:val="32"/>
          <w:szCs w:val="32"/>
          <w:lang w:eastAsia="zh-CN"/>
        </w:rPr>
        <w:t>。加大互联网领域高端研究机构引进力度，打造互联网法治高端智库。</w:t>
      </w:r>
    </w:p>
    <w:p>
      <w:pPr>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融合创新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法务业态</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建设法律服务孵化平台，加大境内外知名法律服务机构招引力度，引进审计、会计等其他知名中介服务机构，打造高能级“法务+”平台和法务旗舰机构。打造司法鉴定“总部+园区”研究、孵化、产出综合中心。建设法治文化示范平台，打造法务综合体。规划建设地标性法治文化阵地。创新发展智能法务新业态，支持法律服务机构、高校和企业联合设立法治产品创新平台和法律科技创新研究中心，开展法律大数据研究、法律智能软件开发、法律产业智能分析、法律服务产品研发。</w:t>
      </w:r>
    </w:p>
    <w:p>
      <w:pPr>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优化升级智慧法务</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全面升级天府法务智慧服务平台，开发移动端平台，提供全时空、全领域、全过程的全生命周期法律服务，打造国内一流的国际化、市场化和智能化法律服务网络。推进政法服务深度对接，实现天府法务网与政法各单位服务系统身份信息互信互认、办件结果互通互享，实现法律服务“一网通办”、司法科技“一网通用”、法律法规“一网通览”、法律服务从业人员诚信信息“一网通查”。</w:t>
      </w:r>
    </w:p>
    <w:p>
      <w:pPr>
        <w:keepNext/>
        <w:keepLines/>
        <w:spacing w:beforeLines="30" w:afterLines="30" w:line="360" w:lineRule="auto"/>
        <w:jc w:val="center"/>
        <w:outlineLvl w:val="1"/>
        <w:rPr>
          <w:rFonts w:hint="eastAsia" w:ascii="楷体_GB2312" w:hAnsi="楷体_GB2312" w:eastAsia="楷体_GB2312" w:cs="楷体_GB2312"/>
          <w:b/>
          <w:bCs/>
          <w:sz w:val="32"/>
          <w:szCs w:val="32"/>
        </w:rPr>
      </w:pPr>
      <w:bookmarkStart w:id="44" w:name="_Toc25811"/>
      <w:r>
        <w:rPr>
          <w:rFonts w:hint="eastAsia" w:ascii="楷体_GB2312" w:hAnsi="楷体_GB2312" w:eastAsia="楷体_GB2312" w:cs="楷体_GB2312"/>
          <w:b/>
          <w:bCs/>
          <w:sz w:val="32"/>
          <w:szCs w:val="32"/>
        </w:rPr>
        <w:t>第二节  加快成德眉资公共法律服务同城化建设</w:t>
      </w:r>
      <w:bookmarkEnd w:id="44"/>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成德眉资信息互联、资源共享、集中受理、一站式解决问题的综合性公共法律服务实体平台，“全时服务”热线平台和“扫码可得”网络平台，实现公共法律服务资源共享、全域通办。建立成德眉资公共法律服务智能化产品孵化中心，探索建立公共法律服务智能化产业联盟，制定智能化公共法律服务产品标准，力争在5年内实现区域内公共法律服务智能化产品全覆盖。加强成德眉资公共法律服务标准化规范化建设，建立完善公共法律服务评价体系，探索建立“第三方”质量评估和群众满意度测评指标体系。合作开展成德眉资高质量发展法治护航行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打造具有全国影响力的区域性公共法律服务协作典范。</w:t>
      </w:r>
    </w:p>
    <w:p>
      <w:pPr>
        <w:pStyle w:val="2"/>
        <w:rPr>
          <w:rFonts w:hint="default" w:eastAsia="仿宋_GB2312"/>
          <w:lang w:val="en-US" w:eastAsia="zh-CN"/>
        </w:rPr>
      </w:pPr>
      <w:r>
        <w:rPr>
          <w:rFonts w:hint="eastAsia" w:ascii="仿宋_GB2312" w:hAnsi="仿宋_GB2312" w:eastAsia="仿宋_GB2312" w:cs="仿宋_GB2312"/>
          <w:sz w:val="32"/>
          <w:szCs w:val="32"/>
          <w:lang w:val="en-US" w:eastAsia="zh-CN"/>
        </w:rPr>
        <w:t xml:space="preserve">    </w:t>
      </w:r>
    </w:p>
    <w:p>
      <w:pPr>
        <w:keepNext/>
        <w:keepLines/>
        <w:spacing w:beforeLines="30" w:afterLines="30" w:line="360" w:lineRule="auto"/>
        <w:jc w:val="center"/>
        <w:outlineLvl w:val="1"/>
        <w:rPr>
          <w:rFonts w:hint="eastAsia" w:ascii="楷体_GB2312" w:hAnsi="楷体_GB2312" w:eastAsia="楷体_GB2312" w:cs="楷体_GB2312"/>
          <w:b/>
          <w:bCs/>
          <w:sz w:val="32"/>
          <w:szCs w:val="32"/>
        </w:rPr>
      </w:pPr>
      <w:bookmarkStart w:id="45" w:name="_Toc3815"/>
      <w:r>
        <w:rPr>
          <w:rFonts w:hint="eastAsia" w:ascii="楷体_GB2312" w:hAnsi="楷体_GB2312" w:eastAsia="楷体_GB2312" w:cs="楷体_GB2312"/>
          <w:b/>
          <w:bCs/>
          <w:sz w:val="32"/>
          <w:szCs w:val="32"/>
        </w:rPr>
        <w:t>第三节  加强自</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由</w:t>
      </w:r>
      <w:r>
        <w:rPr>
          <w:rFonts w:hint="eastAsia" w:ascii="楷体_GB2312" w:hAnsi="楷体_GB2312" w:eastAsia="楷体_GB2312" w:cs="楷体_GB2312"/>
          <w:b/>
          <w:bCs/>
          <w:color w:val="000000" w:themeColor="text1"/>
          <w:sz w:val="32"/>
          <w:szCs w:val="32"/>
          <w14:textFill>
            <w14:solidFill>
              <w14:schemeClr w14:val="tx1"/>
            </w14:solidFill>
          </w14:textFill>
        </w:rPr>
        <w:t>贸</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易</w:t>
      </w:r>
      <w:r>
        <w:rPr>
          <w:rFonts w:hint="eastAsia" w:ascii="楷体_GB2312" w:hAnsi="楷体_GB2312" w:eastAsia="楷体_GB2312" w:cs="楷体_GB2312"/>
          <w:b/>
          <w:bCs/>
          <w:color w:val="000000" w:themeColor="text1"/>
          <w:sz w:val="32"/>
          <w:szCs w:val="32"/>
          <w14:textFill>
            <w14:solidFill>
              <w14:schemeClr w14:val="tx1"/>
            </w14:solidFill>
          </w14:textFill>
        </w:rPr>
        <w:t>试</w:t>
      </w:r>
      <w:r>
        <w:rPr>
          <w:rFonts w:hint="eastAsia" w:ascii="楷体_GB2312" w:hAnsi="楷体_GB2312" w:eastAsia="楷体_GB2312" w:cs="楷体_GB2312"/>
          <w:b/>
          <w:bCs/>
          <w:sz w:val="32"/>
          <w:szCs w:val="32"/>
        </w:rPr>
        <w:t>验区公共法律服务集成</w:t>
      </w:r>
      <w:bookmarkEnd w:id="45"/>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加强法律服务资源集成，争取“中外律所联营”等法律服务业开放政策落地川渝</w:t>
      </w:r>
      <w:r>
        <w:rPr>
          <w:rFonts w:hint="eastAsia" w:ascii="仿宋_GB2312" w:hAnsi="仿宋_GB2312" w:eastAsia="仿宋_GB2312" w:cs="仿宋_GB2312"/>
          <w:sz w:val="32"/>
          <w:szCs w:val="32"/>
          <w:lang w:eastAsia="zh-CN"/>
        </w:rPr>
        <w:t>自由贸易试验区</w:t>
      </w:r>
      <w:r>
        <w:rPr>
          <w:rFonts w:hint="eastAsia" w:ascii="仿宋_GB2312" w:hAnsi="仿宋_GB2312" w:eastAsia="仿宋_GB2312" w:cs="仿宋_GB2312"/>
          <w:sz w:val="32"/>
          <w:szCs w:val="32"/>
        </w:rPr>
        <w:t>协同开放示范区，推动国际仲裁和一带一路商事调解发展，深化服务贸易创新发展试点。加强纠纷解决集成，有效联动律师、公证、司法鉴定、仲裁、调解和诉讼、警务、检务资源，建设便捷高效的“一站式”多元纠纷解决平台。加强法治数据集成，强化自贸试验区公共法律服务工作站与政法部门数据资源平台对接共享。加强智力集成，依托高校、科研机构，协同建设自贸试验区法治研究中心。</w:t>
      </w:r>
    </w:p>
    <w:p>
      <w:pPr>
        <w:keepNext/>
        <w:keepLines/>
        <w:spacing w:beforeLines="30" w:afterLines="30" w:line="360" w:lineRule="auto"/>
        <w:jc w:val="center"/>
        <w:outlineLvl w:val="1"/>
        <w:rPr>
          <w:rFonts w:hint="eastAsia" w:ascii="楷体_GB2312" w:hAnsi="楷体_GB2312" w:eastAsia="楷体_GB2312" w:cs="楷体_GB2312"/>
          <w:b/>
          <w:bCs/>
          <w:sz w:val="32"/>
          <w:szCs w:val="32"/>
        </w:rPr>
      </w:pPr>
      <w:bookmarkStart w:id="46" w:name="_Toc26836"/>
      <w:r>
        <w:rPr>
          <w:rFonts w:hint="eastAsia" w:ascii="楷体_GB2312" w:hAnsi="楷体_GB2312" w:eastAsia="楷体_GB2312" w:cs="楷体_GB2312"/>
          <w:b/>
          <w:bCs/>
          <w:sz w:val="32"/>
          <w:szCs w:val="32"/>
        </w:rPr>
        <w:t>第四节  提升服务创新驱动高质量发展能级</w:t>
      </w:r>
      <w:bookmarkEnd w:id="46"/>
    </w:p>
    <w:p>
      <w:pPr>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提升科技创新法律服务能级。</w:t>
      </w:r>
      <w:r>
        <w:rPr>
          <w:rFonts w:hint="eastAsia" w:ascii="仿宋_GB2312" w:hAnsi="仿宋_GB2312" w:eastAsia="仿宋_GB2312" w:cs="仿宋_GB2312"/>
          <w:sz w:val="32"/>
          <w:szCs w:val="32"/>
        </w:rPr>
        <w:t>服务创新驱动与融合发展，建设成渝绵“创新金三角”法律服务</w:t>
      </w:r>
      <w:r>
        <w:rPr>
          <w:rFonts w:hint="eastAsia" w:ascii="仿宋_GB2312" w:hAnsi="仿宋_GB2312" w:eastAsia="仿宋_GB2312" w:cs="仿宋_GB2312"/>
          <w:color w:val="121212"/>
          <w:sz w:val="32"/>
          <w:szCs w:val="32"/>
        </w:rPr>
        <w:t>平台。建设</w:t>
      </w:r>
      <w:r>
        <w:rPr>
          <w:rFonts w:hint="eastAsia" w:ascii="仿宋_GB2312" w:hAnsi="仿宋_GB2312" w:eastAsia="仿宋_GB2312" w:cs="仿宋_GB2312"/>
          <w:sz w:val="32"/>
          <w:szCs w:val="32"/>
        </w:rPr>
        <w:t>绵阳科技创新先行示范区高能级公共法律服务中心，设立科技创新法律服务专区，为科技创新企业提供“自助式、一站式”公共法律服务。支持绵阳市游仙区、涪城区、安州区、高新区与科技城科技创新示范区打造“一城多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共建共享一体化公共法律服务</w:t>
      </w:r>
      <w:r>
        <w:rPr>
          <w:rFonts w:hint="eastAsia" w:ascii="仿宋_GB2312" w:hAnsi="仿宋_GB2312" w:eastAsia="仿宋_GB2312" w:cs="仿宋_GB2312"/>
          <w:sz w:val="32"/>
          <w:szCs w:val="32"/>
          <w:lang w:eastAsia="zh-CN"/>
        </w:rPr>
        <w:t>网络</w:t>
      </w:r>
      <w:r>
        <w:rPr>
          <w:rFonts w:hint="eastAsia" w:ascii="仿宋_GB2312" w:hAnsi="仿宋_GB2312" w:eastAsia="仿宋_GB2312" w:cs="仿宋_GB2312"/>
          <w:sz w:val="32"/>
          <w:szCs w:val="32"/>
        </w:rPr>
        <w:t>，建成一批科技创新企业智慧公共法律服务示范点。支持开发科技创新企业全生命周期法律服务产品，提供“点餐式”服务。组建</w:t>
      </w:r>
      <w:r>
        <w:rPr>
          <w:rFonts w:hint="eastAsia" w:ascii="仿宋_GB2312" w:hAnsi="仿宋_GB2312" w:eastAsia="仿宋_GB2312" w:cs="仿宋_GB2312"/>
          <w:sz w:val="32"/>
          <w:szCs w:val="32"/>
          <w:lang w:eastAsia="zh-CN"/>
        </w:rPr>
        <w:t>各市（州）</w:t>
      </w:r>
      <w:r>
        <w:rPr>
          <w:rFonts w:hint="eastAsia" w:ascii="仿宋_GB2312" w:hAnsi="仿宋_GB2312" w:eastAsia="仿宋_GB2312" w:cs="仿宋_GB2312"/>
          <w:sz w:val="32"/>
          <w:szCs w:val="32"/>
        </w:rPr>
        <w:t>科技创新法律服务顾问团与专家库，实施创新驱动法律服务人才培育工程。</w:t>
      </w:r>
    </w:p>
    <w:p>
      <w:pPr>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加强知识产权协同保护。</w:t>
      </w:r>
      <w:r>
        <w:rPr>
          <w:rFonts w:hint="eastAsia" w:ascii="仿宋_GB2312" w:hAnsi="仿宋_GB2312" w:eastAsia="仿宋_GB2312" w:cs="仿宋_GB2312"/>
          <w:b w:val="0"/>
          <w:bCs w:val="0"/>
          <w:sz w:val="32"/>
          <w:szCs w:val="32"/>
          <w:lang w:eastAsia="zh-CN"/>
        </w:rPr>
        <w:t>加强知识产权全链条保护，强化创新源头保护，做好知识产权风险和防范工作。</w:t>
      </w:r>
      <w:r>
        <w:rPr>
          <w:rFonts w:hint="eastAsia" w:ascii="仿宋_GB2312" w:hAnsi="仿宋_GB2312" w:eastAsia="仿宋_GB2312" w:cs="仿宋_GB2312"/>
          <w:b w:val="0"/>
          <w:bCs w:val="0"/>
          <w:sz w:val="32"/>
          <w:szCs w:val="32"/>
        </w:rPr>
        <w:t>探索在</w:t>
      </w:r>
      <w:r>
        <w:rPr>
          <w:rFonts w:hint="eastAsia" w:ascii="仿宋_GB2312" w:hAnsi="仿宋_GB2312" w:eastAsia="仿宋_GB2312" w:cs="仿宋_GB2312"/>
          <w:sz w:val="32"/>
          <w:szCs w:val="32"/>
        </w:rPr>
        <w:t>国家实验室、天府</w:t>
      </w:r>
      <w:r>
        <w:rPr>
          <w:rFonts w:hint="eastAsia" w:ascii="仿宋_GB2312" w:hAnsi="仿宋_GB2312" w:eastAsia="仿宋_GB2312" w:cs="仿宋_GB2312"/>
          <w:sz w:val="32"/>
          <w:szCs w:val="32"/>
          <w:lang w:eastAsia="zh-CN"/>
        </w:rPr>
        <w:t>实验</w:t>
      </w:r>
      <w:r>
        <w:rPr>
          <w:rFonts w:hint="eastAsia" w:ascii="仿宋_GB2312" w:hAnsi="仿宋_GB2312" w:eastAsia="仿宋_GB2312" w:cs="仿宋_GB2312"/>
          <w:sz w:val="32"/>
          <w:szCs w:val="32"/>
        </w:rPr>
        <w:t>室</w:t>
      </w:r>
      <w:r>
        <w:rPr>
          <w:rFonts w:hint="eastAsia" w:ascii="仿宋_GB2312" w:hAnsi="仿宋_GB2312" w:eastAsia="仿宋_GB2312" w:cs="仿宋_GB2312"/>
          <w:sz w:val="32"/>
          <w:szCs w:val="32"/>
          <w:lang w:eastAsia="zh-CN"/>
        </w:rPr>
        <w:t>、重大科技基础设施、产业创新中心</w:t>
      </w:r>
      <w:r>
        <w:rPr>
          <w:rFonts w:hint="eastAsia" w:ascii="仿宋_GB2312" w:hAnsi="仿宋_GB2312" w:eastAsia="仿宋_GB2312" w:cs="仿宋_GB2312"/>
          <w:sz w:val="32"/>
          <w:szCs w:val="32"/>
        </w:rPr>
        <w:t>等高能级创新平台和重点产业园区、创新孵化园等创新资源聚集区设立公共法律服务工作站，围绕知识产权设立、流转、权利救济、纠纷解决、域外保护等环节提供一站式法律服务</w:t>
      </w:r>
      <w:r>
        <w:rPr>
          <w:rFonts w:hint="eastAsia" w:ascii="仿宋_GB2312" w:hAnsi="仿宋_GB2312" w:eastAsia="仿宋_GB2312" w:cs="仿宋_GB2312"/>
          <w:sz w:val="32"/>
          <w:szCs w:val="32"/>
          <w:lang w:eastAsia="zh-CN"/>
        </w:rPr>
        <w:t>，保护“知识产权全生命周期”的各项权益</w:t>
      </w:r>
      <w:r>
        <w:rPr>
          <w:rFonts w:hint="eastAsia" w:ascii="仿宋_GB2312" w:hAnsi="仿宋_GB2312" w:eastAsia="仿宋_GB2312" w:cs="仿宋_GB2312"/>
          <w:sz w:val="32"/>
          <w:szCs w:val="32"/>
        </w:rPr>
        <w:t>。支持法律服务机构与知名高校、科研单位共同建立</w:t>
      </w:r>
      <w:r>
        <w:rPr>
          <w:rFonts w:hint="eastAsia" w:ascii="仿宋_GB2312" w:hAnsi="仿宋_GB2312" w:eastAsia="仿宋_GB2312" w:cs="仿宋_GB2312"/>
          <w:sz w:val="32"/>
          <w:szCs w:val="32"/>
          <w:lang w:eastAsia="zh-CN"/>
        </w:rPr>
        <w:t>服务于</w:t>
      </w:r>
      <w:r>
        <w:rPr>
          <w:rFonts w:hint="eastAsia" w:ascii="仿宋_GB2312" w:hAnsi="仿宋_GB2312" w:eastAsia="仿宋_GB2312" w:cs="仿宋_GB2312"/>
          <w:sz w:val="32"/>
          <w:szCs w:val="32"/>
        </w:rPr>
        <w:t>知识产权</w:t>
      </w:r>
      <w:r>
        <w:rPr>
          <w:rFonts w:hint="eastAsia" w:ascii="仿宋_GB2312" w:hAnsi="仿宋_GB2312" w:eastAsia="仿宋_GB2312" w:cs="仿宋_GB2312"/>
          <w:sz w:val="32"/>
          <w:szCs w:val="32"/>
          <w:lang w:eastAsia="zh-CN"/>
        </w:rPr>
        <w:t>保护的</w:t>
      </w:r>
      <w:r>
        <w:rPr>
          <w:rFonts w:hint="eastAsia" w:ascii="仿宋_GB2312" w:hAnsi="仿宋_GB2312" w:eastAsia="仿宋_GB2312" w:cs="仿宋_GB2312"/>
          <w:sz w:val="32"/>
          <w:szCs w:val="32"/>
        </w:rPr>
        <w:t>法律服务中心，打造一批知识产权保护示范法律服务机构。支持公证机构与网络科技公司广泛合作，拓展“互联网+公证”服务模式，探索“公证区块链”法律服务创新，开展电子数据存证、取证公证服务。加强知识产权纠纷人民调解组织网络体系建设，培育发展知识产权调解仲裁等组织，完善知识产权纠纷诉讼与调解对接，健全知识产权多元纠纷解决机制，构建知识产权司法保障一体化机制，支持公证机构与人民法院建立知识产权司法辅助合作机制，建立一批“知识产权司法审判辅助事务中心”，提高知识产权纠纷解决效率。</w:t>
      </w:r>
    </w:p>
    <w:p>
      <w:pPr>
        <w:spacing w:line="276" w:lineRule="auto"/>
        <w:jc w:val="center"/>
        <w:rPr>
          <w:rFonts w:ascii="黑体" w:hAnsi="黑体" w:eastAsia="黑体"/>
          <w:sz w:val="30"/>
          <w:szCs w:val="30"/>
        </w:rPr>
      </w:pPr>
      <w:r>
        <w:rPr>
          <w:rFonts w:hint="eastAsia" w:ascii="黑体" w:hAnsi="黑体" w:eastAsia="黑体"/>
          <w:sz w:val="30"/>
          <w:szCs w:val="30"/>
        </w:rPr>
        <w:t>专栏8  打造高能级公共法律服务业态</w:t>
      </w:r>
    </w:p>
    <w:tbl>
      <w:tblPr>
        <w:tblStyle w:val="9"/>
        <w:tblW w:w="86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jc w:val="center"/>
        </w:trPr>
        <w:tc>
          <w:tcPr>
            <w:tcW w:w="8633" w:type="dxa"/>
            <w:tcBorders>
              <w:top w:val="single" w:color="auto" w:sz="4" w:space="0"/>
              <w:left w:val="single" w:color="auto" w:sz="4" w:space="0"/>
              <w:bottom w:val="single" w:color="auto" w:sz="4" w:space="0"/>
              <w:right w:val="single" w:color="auto" w:sz="4" w:space="0"/>
            </w:tcBorders>
          </w:tcPr>
          <w:p>
            <w:pPr>
              <w:spacing w:line="360" w:lineRule="auto"/>
              <w:ind w:firstLine="562" w:firstLineChars="200"/>
              <w:rPr>
                <w:rFonts w:hint="eastAsia" w:ascii="楷体_GB2312" w:hAnsi="楷体_GB2312" w:eastAsia="楷体_GB2312" w:cs="楷体_GB2312"/>
                <w:sz w:val="28"/>
                <w:szCs w:val="28"/>
              </w:rPr>
            </w:pPr>
            <w:bookmarkStart w:id="47" w:name="_Toc1798986572_WPSOffice_Level1"/>
            <w:bookmarkStart w:id="48" w:name="_Toc275692636"/>
            <w:r>
              <w:rPr>
                <w:rFonts w:hint="eastAsia" w:ascii="楷体_GB2312" w:hAnsi="楷体_GB2312" w:eastAsia="楷体_GB2312" w:cs="楷体_GB2312"/>
                <w:b/>
                <w:bCs/>
                <w:sz w:val="28"/>
                <w:szCs w:val="28"/>
              </w:rPr>
              <w:t>法律服务产业升级行动。</w:t>
            </w:r>
            <w:r>
              <w:rPr>
                <w:rFonts w:hint="eastAsia" w:ascii="楷体_GB2312" w:hAnsi="楷体_GB2312" w:eastAsia="楷体_GB2312" w:cs="楷体_GB2312"/>
                <w:sz w:val="28"/>
                <w:szCs w:val="28"/>
              </w:rPr>
              <w:t>以天府中央法务区为牵引，打造集公共法律服务、法治理论研究创新、法治论坛交流合作，法治文化教育培训、智慧法务等全链条涉法服务功能于一体的专业化、国际化、市场化法治创新集聚区，在全省培育3个法律服务集聚区。</w:t>
            </w:r>
          </w:p>
          <w:p>
            <w:pPr>
              <w:spacing w:line="360" w:lineRule="auto"/>
              <w:ind w:firstLine="562" w:firstLineChars="200"/>
              <w:rPr>
                <w:rFonts w:hint="eastAsia" w:ascii="楷体_GB2312" w:hAnsi="楷体_GB2312" w:eastAsia="楷体_GB2312" w:cs="楷体_GB2312"/>
                <w:sz w:val="28"/>
                <w:szCs w:val="28"/>
              </w:rPr>
            </w:pPr>
            <w:r>
              <w:rPr>
                <w:rFonts w:hint="eastAsia" w:ascii="楷体_GB2312" w:hAnsi="楷体_GB2312" w:eastAsia="楷体_GB2312" w:cs="楷体_GB2312"/>
                <w:b/>
                <w:bCs/>
                <w:sz w:val="28"/>
                <w:szCs w:val="28"/>
              </w:rPr>
              <w:t>成德眉资公共法律服务同城化工程。</w:t>
            </w:r>
            <w:r>
              <w:rPr>
                <w:rFonts w:hint="eastAsia" w:ascii="楷体_GB2312" w:hAnsi="楷体_GB2312" w:eastAsia="楷体_GB2312" w:cs="楷体_GB2312"/>
                <w:sz w:val="28"/>
                <w:szCs w:val="28"/>
              </w:rPr>
              <w:t>成德眉资打造信息互联、资源共享、集中受理、一站式解决问题的综合性公共法律服务实体平台，成德眉资“12348”热线互联互通，同步“线上+线下”服务。构建成德眉资跨区域矛盾纠纷调处联动平台，在成都东部新区、德阳全面创新改革示范区、眉山现代服务业先行示范区、资阳临空服务区等地区打造10个公共法律服务同城化示范点。</w:t>
            </w:r>
          </w:p>
          <w:p>
            <w:pPr>
              <w:spacing w:line="360" w:lineRule="auto"/>
              <w:ind w:firstLine="562" w:firstLineChars="200"/>
              <w:rPr>
                <w:rFonts w:ascii="仿宋" w:hAnsi="仿宋" w:eastAsia="仿宋"/>
                <w:sz w:val="28"/>
                <w:szCs w:val="28"/>
              </w:rPr>
            </w:pPr>
            <w:r>
              <w:rPr>
                <w:rFonts w:hint="eastAsia" w:ascii="楷体_GB2312" w:hAnsi="楷体_GB2312" w:eastAsia="楷体_GB2312" w:cs="楷体_GB2312"/>
                <w:b/>
                <w:bCs/>
                <w:sz w:val="28"/>
                <w:szCs w:val="28"/>
              </w:rPr>
              <w:t>公共法律服务能级提升工程。</w:t>
            </w:r>
            <w:r>
              <w:rPr>
                <w:rFonts w:hint="eastAsia" w:ascii="楷体_GB2312" w:hAnsi="楷体_GB2312" w:eastAsia="楷体_GB2312" w:cs="楷体_GB2312"/>
                <w:sz w:val="28"/>
                <w:szCs w:val="28"/>
              </w:rPr>
              <w:t>重点培育10家服务创新驱动示范法律服务机构和100名服务创新驱动法律服务人才。在自贸试验区、符合条件的高新技术开发区（经济技术开发区）设立一批专业性强的公共法律服务中心和专业法律服务机构，在设有法学专业的高校、科研机构设立10个示范性公共法律服务工作站，打造公共法律服务研究和实践基地。组建科技创新法律服务顾问团与专家库。</w:t>
            </w:r>
          </w:p>
        </w:tc>
      </w:tr>
    </w:tbl>
    <w:p>
      <w:pPr>
        <w:spacing w:line="360" w:lineRule="auto"/>
        <w:ind w:firstLine="640" w:firstLineChars="200"/>
        <w:rPr>
          <w:rFonts w:ascii="仿宋" w:hAnsi="仿宋" w:eastAsia="仿宋"/>
          <w:sz w:val="32"/>
          <w:szCs w:val="32"/>
        </w:rPr>
      </w:pPr>
    </w:p>
    <w:p>
      <w:pPr>
        <w:pStyle w:val="2"/>
        <w:ind w:firstLine="2560" w:firstLineChars="800"/>
        <w:rPr>
          <w:rFonts w:hint="eastAsia" w:ascii="黑体" w:hAnsi="黑体" w:eastAsia="黑体" w:cs="黑体"/>
          <w:kern w:val="44"/>
          <w:sz w:val="32"/>
          <w:szCs w:val="32"/>
        </w:rPr>
      </w:pPr>
      <w:bookmarkStart w:id="49" w:name="_Toc580"/>
      <w:r>
        <w:rPr>
          <w:rFonts w:hint="eastAsia" w:ascii="黑体" w:hAnsi="黑体" w:eastAsia="黑体" w:cs="黑体"/>
          <w:kern w:val="44"/>
          <w:sz w:val="32"/>
          <w:szCs w:val="32"/>
        </w:rPr>
        <w:t>第七</w:t>
      </w:r>
      <w:bookmarkEnd w:id="47"/>
      <w:bookmarkEnd w:id="48"/>
      <w:r>
        <w:rPr>
          <w:rFonts w:hint="eastAsia" w:ascii="黑体" w:hAnsi="黑体" w:eastAsia="黑体" w:cs="黑体"/>
          <w:kern w:val="44"/>
          <w:sz w:val="32"/>
          <w:szCs w:val="32"/>
        </w:rPr>
        <w:t>章  健全实施保障</w:t>
      </w:r>
      <w:bookmarkEnd w:id="49"/>
    </w:p>
    <w:p>
      <w:pPr>
        <w:keepNext/>
        <w:keepLines/>
        <w:spacing w:beforeLines="30" w:afterLines="30" w:line="360" w:lineRule="auto"/>
        <w:jc w:val="center"/>
        <w:outlineLvl w:val="1"/>
        <w:rPr>
          <w:rFonts w:hint="eastAsia" w:ascii="楷体_GB2312" w:hAnsi="楷体_GB2312" w:eastAsia="楷体_GB2312" w:cs="楷体_GB2312"/>
          <w:b/>
          <w:bCs/>
          <w:sz w:val="32"/>
          <w:szCs w:val="32"/>
        </w:rPr>
      </w:pPr>
      <w:bookmarkStart w:id="50" w:name="_Toc1443906673"/>
      <w:bookmarkStart w:id="51" w:name="_Toc28989"/>
      <w:r>
        <w:rPr>
          <w:rFonts w:hint="eastAsia" w:ascii="楷体_GB2312" w:hAnsi="楷体_GB2312" w:eastAsia="楷体_GB2312" w:cs="楷体_GB2312"/>
          <w:b/>
          <w:bCs/>
          <w:sz w:val="32"/>
          <w:szCs w:val="32"/>
        </w:rPr>
        <w:t>第一节  加强</w:t>
      </w:r>
      <w:bookmarkEnd w:id="50"/>
      <w:r>
        <w:rPr>
          <w:rFonts w:hint="eastAsia" w:ascii="楷体_GB2312" w:hAnsi="楷体_GB2312" w:eastAsia="楷体_GB2312" w:cs="楷体_GB2312"/>
          <w:b/>
          <w:bCs/>
          <w:sz w:val="32"/>
          <w:szCs w:val="32"/>
        </w:rPr>
        <w:t>党的领导</w:t>
      </w:r>
      <w:bookmarkEnd w:id="51"/>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党的全面领导。把党的全面领导贯穿于推进公共法律服务体系建设全领域、全过程，把党的政治优势、组织优势转化为推进公共法律服务体系发展的强大动力。地方各级政府要把公共法律服务体系建设纳入本地区“十四五”国民经济和社会发展规划，列入为民办实事项目，督促和推动公共法律服务体系建设落地落实。</w:t>
      </w:r>
    </w:p>
    <w:p>
      <w:pPr>
        <w:keepNext/>
        <w:keepLines/>
        <w:spacing w:beforeLines="30" w:afterLines="30" w:line="360" w:lineRule="auto"/>
        <w:jc w:val="center"/>
        <w:outlineLvl w:val="1"/>
        <w:rPr>
          <w:rFonts w:hint="eastAsia" w:ascii="楷体_GB2312" w:hAnsi="楷体_GB2312" w:eastAsia="楷体_GB2312" w:cs="楷体_GB2312"/>
          <w:b/>
          <w:bCs/>
          <w:sz w:val="32"/>
          <w:szCs w:val="32"/>
        </w:rPr>
      </w:pPr>
      <w:bookmarkStart w:id="52" w:name="_Toc8102"/>
      <w:r>
        <w:rPr>
          <w:rFonts w:hint="eastAsia" w:ascii="楷体_GB2312" w:hAnsi="楷体_GB2312" w:eastAsia="楷体_GB2312" w:cs="楷体_GB2312"/>
          <w:b/>
          <w:bCs/>
          <w:sz w:val="32"/>
          <w:szCs w:val="32"/>
        </w:rPr>
        <w:t>第二节  加强统筹协调</w:t>
      </w:r>
      <w:bookmarkEnd w:id="52"/>
    </w:p>
    <w:p>
      <w:pPr>
        <w:spacing w:line="360" w:lineRule="auto"/>
        <w:ind w:firstLine="640" w:firstLineChars="200"/>
        <w:rPr>
          <w:rFonts w:hint="eastAsia" w:ascii="仿宋_GB2312" w:hAnsi="仿宋_GB2312" w:eastAsia="仿宋_GB2312" w:cs="仿宋_GB2312"/>
          <w:color w:val="121212"/>
          <w:sz w:val="32"/>
          <w:szCs w:val="32"/>
        </w:rPr>
      </w:pPr>
      <w:r>
        <w:rPr>
          <w:rFonts w:hint="eastAsia" w:ascii="仿宋_GB2312" w:hAnsi="仿宋_GB2312" w:eastAsia="仿宋_GB2312" w:cs="仿宋_GB2312"/>
          <w:sz w:val="32"/>
          <w:szCs w:val="32"/>
        </w:rPr>
        <w:t>建立健全省级公共法律服务体系建设联席会议机制，加大对跨区域、跨部门重大事项协调力度，研究推动重点任务、重大改革、重大项目</w:t>
      </w:r>
      <w:r>
        <w:rPr>
          <w:rFonts w:hint="eastAsia" w:ascii="仿宋_GB2312" w:hAnsi="仿宋_GB2312" w:eastAsia="仿宋_GB2312" w:cs="仿宋_GB2312"/>
          <w:color w:val="121212"/>
          <w:sz w:val="32"/>
          <w:szCs w:val="32"/>
        </w:rPr>
        <w:t>，谋划推进具体工作事项。由司法行政机关牵头，充分发挥人民法院、人民检察院、人力资源社会保障、发展改革、财政、民政、农业农村、信访等部门职能作用和资源优势，整体设计、协调推进规划编制、政策街接、标准制定实施、服务运行、财政保障等工作</w:t>
      </w:r>
      <w:r>
        <w:rPr>
          <w:rFonts w:hint="eastAsia" w:ascii="仿宋_GB2312" w:hAnsi="仿宋_GB2312" w:eastAsia="仿宋_GB2312" w:cs="仿宋_GB2312"/>
          <w:color w:val="121212"/>
          <w:sz w:val="32"/>
          <w:szCs w:val="32"/>
          <w:lang w:eastAsia="zh-CN"/>
        </w:rPr>
        <w:t>。</w:t>
      </w:r>
      <w:r>
        <w:rPr>
          <w:rFonts w:hint="eastAsia" w:ascii="仿宋_GB2312" w:hAnsi="仿宋_GB2312" w:eastAsia="仿宋_GB2312" w:cs="仿宋_GB2312"/>
          <w:color w:val="121212"/>
          <w:sz w:val="32"/>
          <w:szCs w:val="32"/>
        </w:rPr>
        <w:t>各地组织实施一批示范项目，及时总结经验，推广典型示范。</w:t>
      </w:r>
    </w:p>
    <w:p>
      <w:pPr>
        <w:keepNext/>
        <w:keepLines/>
        <w:spacing w:beforeLines="30" w:afterLines="30" w:line="360" w:lineRule="auto"/>
        <w:jc w:val="center"/>
        <w:outlineLvl w:val="1"/>
        <w:rPr>
          <w:rFonts w:hint="eastAsia" w:ascii="楷体_GB2312" w:hAnsi="楷体_GB2312" w:eastAsia="楷体_GB2312" w:cs="楷体_GB2312"/>
          <w:b/>
          <w:bCs/>
          <w:color w:val="121212"/>
          <w:sz w:val="32"/>
          <w:szCs w:val="32"/>
        </w:rPr>
      </w:pPr>
      <w:bookmarkStart w:id="53" w:name="_Toc23264"/>
      <w:r>
        <w:rPr>
          <w:rFonts w:hint="eastAsia" w:ascii="楷体_GB2312" w:hAnsi="楷体_GB2312" w:eastAsia="楷体_GB2312" w:cs="楷体_GB2312"/>
          <w:b/>
          <w:bCs/>
          <w:color w:val="121212"/>
          <w:sz w:val="32"/>
          <w:szCs w:val="32"/>
        </w:rPr>
        <w:t>第三节  加强</w:t>
      </w:r>
      <w:r>
        <w:rPr>
          <w:rFonts w:hint="eastAsia" w:ascii="楷体_GB2312" w:hAnsi="楷体_GB2312" w:eastAsia="楷体_GB2312" w:cs="楷体_GB2312"/>
          <w:b/>
          <w:bCs/>
          <w:color w:val="121212"/>
          <w:sz w:val="32"/>
          <w:szCs w:val="32"/>
          <w:lang w:eastAsia="zh-CN"/>
        </w:rPr>
        <w:t>基础</w:t>
      </w:r>
      <w:r>
        <w:rPr>
          <w:rFonts w:hint="eastAsia" w:ascii="楷体_GB2312" w:hAnsi="楷体_GB2312" w:eastAsia="楷体_GB2312" w:cs="楷体_GB2312"/>
          <w:b/>
          <w:bCs/>
          <w:color w:val="121212"/>
          <w:sz w:val="32"/>
          <w:szCs w:val="32"/>
        </w:rPr>
        <w:t>保障</w:t>
      </w:r>
      <w:bookmarkEnd w:id="53"/>
    </w:p>
    <w:p>
      <w:pPr>
        <w:spacing w:line="360" w:lineRule="auto"/>
        <w:ind w:firstLine="640" w:firstLineChars="200"/>
        <w:rPr>
          <w:rFonts w:hint="eastAsia" w:ascii="仿宋_GB2312" w:hAnsi="仿宋_GB2312" w:eastAsia="仿宋_GB2312" w:cs="仿宋_GB2312"/>
          <w:color w:val="121212"/>
          <w:sz w:val="32"/>
          <w:szCs w:val="32"/>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全面推进现代公共法律服务体系国家标准化试点。</w:t>
      </w:r>
      <w:r>
        <w:rPr>
          <w:rFonts w:hint="eastAsia" w:ascii="仿宋_GB2312" w:hAnsi="仿宋_GB2312" w:eastAsia="仿宋_GB2312" w:cs="仿宋_GB2312"/>
          <w:color w:val="121212"/>
          <w:sz w:val="32"/>
          <w:szCs w:val="32"/>
        </w:rPr>
        <w:t>建立</w:t>
      </w:r>
      <w:r>
        <w:rPr>
          <w:rFonts w:hint="eastAsia" w:ascii="仿宋_GB2312" w:hAnsi="仿宋_GB2312" w:eastAsia="仿宋_GB2312" w:cs="仿宋_GB2312"/>
          <w:color w:val="121212"/>
          <w:sz w:val="32"/>
          <w:szCs w:val="32"/>
          <w:lang w:eastAsia="zh-CN"/>
        </w:rPr>
        <w:t>全生命周期公共法律服务供给机制。</w:t>
      </w:r>
      <w:r>
        <w:rPr>
          <w:rFonts w:hint="eastAsia" w:ascii="仿宋_GB2312" w:hAnsi="仿宋_GB2312" w:eastAsia="仿宋_GB2312" w:cs="仿宋_GB2312"/>
          <w:color w:val="121212"/>
          <w:sz w:val="32"/>
          <w:szCs w:val="32"/>
        </w:rPr>
        <w:t>将公共法律服务经费需求纳入同级财政予以保障，建立健全公共法律服务资金保障机制。将基本公共法律服务事项纳入政府购买服务指导性目录，统筹利用中央和省财政转移支付资金向欠发达地区予以倾斜。完善政府购买公共法律服务机制，逐步扩大政府向社会组织购买公共法律服务的范围和规模。各级政府</w:t>
      </w:r>
      <w:r>
        <w:rPr>
          <w:rFonts w:hint="eastAsia" w:ascii="仿宋_GB2312" w:hAnsi="仿宋_GB2312" w:eastAsia="仿宋_GB2312" w:cs="仿宋_GB2312"/>
          <w:color w:val="121212"/>
          <w:sz w:val="32"/>
          <w:szCs w:val="32"/>
          <w:lang w:eastAsia="zh-CN"/>
        </w:rPr>
        <w:t>要</w:t>
      </w:r>
      <w:r>
        <w:rPr>
          <w:rFonts w:hint="eastAsia" w:ascii="仿宋_GB2312" w:hAnsi="仿宋_GB2312" w:eastAsia="仿宋_GB2312" w:cs="仿宋_GB2312"/>
          <w:color w:val="121212"/>
          <w:sz w:val="32"/>
          <w:szCs w:val="32"/>
        </w:rPr>
        <w:t>做好公共法律服务体系建设基础设施、业务装备、工作经费等基础保障。公共法律服务场所应利于业务开展和方便群众，所需房屋可通过新建、改扩建、划拨、租赁等方式予以保障，所需设施设备应纳入业务装备保障范围。鼓励和引导社会资金参与公共法律服务体系建设。统筹用好各类资金，注重经费使用绩效。</w:t>
      </w:r>
    </w:p>
    <w:p>
      <w:pPr>
        <w:spacing w:line="360" w:lineRule="auto"/>
        <w:ind w:firstLine="2249" w:firstLineChars="700"/>
        <w:rPr>
          <w:rFonts w:hint="eastAsia" w:ascii="楷体_GB2312" w:hAnsi="楷体_GB2312" w:eastAsia="楷体_GB2312" w:cs="楷体_GB2312"/>
          <w:b/>
          <w:bCs/>
          <w:color w:val="121212"/>
          <w:sz w:val="32"/>
          <w:szCs w:val="32"/>
        </w:rPr>
      </w:pPr>
      <w:r>
        <w:rPr>
          <w:rFonts w:hint="eastAsia" w:ascii="楷体_GB2312" w:hAnsi="楷体_GB2312" w:eastAsia="楷体_GB2312" w:cs="楷体_GB2312"/>
          <w:b/>
          <w:bCs/>
          <w:color w:val="121212"/>
          <w:sz w:val="32"/>
          <w:szCs w:val="32"/>
        </w:rPr>
        <w:t>第</w:t>
      </w:r>
      <w:r>
        <w:rPr>
          <w:rFonts w:hint="eastAsia" w:ascii="楷体_GB2312" w:hAnsi="楷体_GB2312" w:eastAsia="楷体_GB2312" w:cs="楷体_GB2312"/>
          <w:b/>
          <w:bCs/>
          <w:color w:val="121212"/>
          <w:sz w:val="32"/>
          <w:szCs w:val="32"/>
          <w:lang w:eastAsia="zh-CN"/>
        </w:rPr>
        <w:t>四</w:t>
      </w:r>
      <w:r>
        <w:rPr>
          <w:rFonts w:hint="eastAsia" w:ascii="楷体_GB2312" w:hAnsi="楷体_GB2312" w:eastAsia="楷体_GB2312" w:cs="楷体_GB2312"/>
          <w:b/>
          <w:bCs/>
          <w:color w:val="121212"/>
          <w:sz w:val="32"/>
          <w:szCs w:val="32"/>
        </w:rPr>
        <w:t>节  加强</w:t>
      </w:r>
      <w:r>
        <w:rPr>
          <w:rFonts w:hint="eastAsia" w:ascii="楷体_GB2312" w:hAnsi="楷体_GB2312" w:eastAsia="楷体_GB2312" w:cs="楷体_GB2312"/>
          <w:b/>
          <w:bCs/>
          <w:color w:val="121212"/>
          <w:sz w:val="32"/>
          <w:szCs w:val="32"/>
          <w:lang w:eastAsia="zh-CN"/>
        </w:rPr>
        <w:t>人才</w:t>
      </w:r>
      <w:r>
        <w:rPr>
          <w:rFonts w:hint="eastAsia" w:ascii="楷体_GB2312" w:hAnsi="楷体_GB2312" w:eastAsia="楷体_GB2312" w:cs="楷体_GB2312"/>
          <w:b/>
          <w:bCs/>
          <w:color w:val="121212"/>
          <w:sz w:val="32"/>
          <w:szCs w:val="32"/>
        </w:rPr>
        <w:t>保障</w:t>
      </w:r>
    </w:p>
    <w:p>
      <w:pPr>
        <w:spacing w:line="360" w:lineRule="auto"/>
        <w:ind w:firstLine="640" w:firstLineChars="200"/>
        <w:rPr>
          <w:rFonts w:hint="eastAsia" w:ascii="仿宋_GB2312" w:hAnsi="仿宋_GB2312" w:eastAsia="仿宋_GB2312" w:cs="仿宋_GB2312"/>
          <w:color w:val="121212"/>
          <w:sz w:val="32"/>
          <w:szCs w:val="32"/>
        </w:rPr>
      </w:pPr>
      <w:r>
        <w:rPr>
          <w:rFonts w:hint="eastAsia" w:ascii="仿宋_GB2312" w:hAnsi="仿宋_GB2312" w:eastAsia="仿宋_GB2312" w:cs="仿宋_GB2312"/>
          <w:color w:val="121212"/>
          <w:sz w:val="32"/>
          <w:szCs w:val="32"/>
        </w:rPr>
        <w:t>持续推进公共法律服务人才队伍革命化、正规化、专业化、职业化建设。充分发挥高等院校、科研院所、行业协会、专业机构作用，探索创新公共法律服务人才培养模式。健全公共法律服务人才教育培训指导，定期开展政治轮训和业务培训，提高专业化水平。完善公共法律服务人才职称评定、人才引进、专业评价等政策，推动建立健全激励政策鼓励社会力量参与公共法律服务，促进人才队伍均衡发展。</w:t>
      </w:r>
    </w:p>
    <w:p>
      <w:pPr>
        <w:keepNext/>
        <w:keepLines/>
        <w:spacing w:beforeLines="30" w:afterLines="30" w:line="360" w:lineRule="auto"/>
        <w:jc w:val="center"/>
        <w:outlineLvl w:val="1"/>
        <w:rPr>
          <w:rFonts w:hint="eastAsia" w:ascii="楷体_GB2312" w:hAnsi="楷体_GB2312" w:eastAsia="楷体_GB2312" w:cs="楷体_GB2312"/>
          <w:b/>
          <w:bCs/>
          <w:color w:val="121212"/>
          <w:sz w:val="32"/>
          <w:szCs w:val="32"/>
        </w:rPr>
      </w:pPr>
      <w:bookmarkStart w:id="54" w:name="_Toc27777"/>
      <w:r>
        <w:rPr>
          <w:rFonts w:hint="eastAsia" w:ascii="楷体_GB2312" w:hAnsi="楷体_GB2312" w:eastAsia="楷体_GB2312" w:cs="楷体_GB2312"/>
          <w:b/>
          <w:bCs/>
          <w:color w:val="121212"/>
          <w:sz w:val="32"/>
          <w:szCs w:val="32"/>
        </w:rPr>
        <w:t>第</w:t>
      </w:r>
      <w:r>
        <w:rPr>
          <w:rFonts w:hint="eastAsia" w:ascii="楷体_GB2312" w:hAnsi="楷体_GB2312" w:eastAsia="楷体_GB2312" w:cs="楷体_GB2312"/>
          <w:b/>
          <w:bCs/>
          <w:color w:val="121212"/>
          <w:sz w:val="32"/>
          <w:szCs w:val="32"/>
          <w:lang w:eastAsia="zh-CN"/>
        </w:rPr>
        <w:t>五</w:t>
      </w:r>
      <w:r>
        <w:rPr>
          <w:rFonts w:hint="eastAsia" w:ascii="楷体_GB2312" w:hAnsi="楷体_GB2312" w:eastAsia="楷体_GB2312" w:cs="楷体_GB2312"/>
          <w:b/>
          <w:bCs/>
          <w:color w:val="121212"/>
          <w:sz w:val="32"/>
          <w:szCs w:val="32"/>
        </w:rPr>
        <w:t>节  加强监测督查</w:t>
      </w:r>
      <w:bookmarkEnd w:id="54"/>
    </w:p>
    <w:p>
      <w:pPr>
        <w:spacing w:line="360" w:lineRule="auto"/>
        <w:ind w:firstLine="640" w:firstLineChars="200"/>
        <w:rPr>
          <w:rFonts w:hint="eastAsia" w:eastAsia="仿宋_GB2312"/>
          <w:color w:val="000000" w:themeColor="text1"/>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加强部门联动，</w:t>
      </w:r>
      <w:r>
        <w:rPr>
          <w:rFonts w:hint="eastAsia" w:ascii="仿宋_GB2312" w:hAnsi="仿宋_GB2312" w:eastAsia="仿宋_GB2312" w:cs="仿宋_GB2312"/>
          <w:color w:val="000000" w:themeColor="text1"/>
          <w:sz w:val="32"/>
          <w:szCs w:val="32"/>
          <w14:textFill>
            <w14:solidFill>
              <w14:schemeClr w14:val="tx1"/>
            </w14:solidFill>
          </w14:textFill>
        </w:rPr>
        <w:t>做好风险隐患预警</w:t>
      </w:r>
      <w:r>
        <w:rPr>
          <w:rFonts w:hint="eastAsia" w:ascii="仿宋_GB2312" w:hAnsi="仿宋_GB2312" w:eastAsia="仿宋_GB2312" w:cs="仿宋_GB2312"/>
          <w:color w:val="000000" w:themeColor="text1"/>
          <w:sz w:val="32"/>
          <w:szCs w:val="32"/>
          <w:lang w:eastAsia="zh-CN"/>
          <w14:textFill>
            <w14:solidFill>
              <w14:schemeClr w14:val="tx1"/>
            </w14:solidFill>
          </w14:textFill>
        </w:rPr>
        <w:t>。健全规划实施的绩效评估体系，</w:t>
      </w:r>
      <w:r>
        <w:rPr>
          <w:rFonts w:hint="eastAsia" w:ascii="仿宋_GB2312" w:hAnsi="仿宋_GB2312" w:eastAsia="仿宋_GB2312" w:cs="仿宋_GB2312"/>
          <w:color w:val="000000" w:themeColor="text1"/>
          <w:sz w:val="32"/>
          <w:szCs w:val="32"/>
          <w14:textFill>
            <w14:solidFill>
              <w14:schemeClr w14:val="tx1"/>
            </w14:solidFill>
          </w14:textFill>
        </w:rPr>
        <w:t>定期开展公共法律服务体系建设监测</w:t>
      </w:r>
      <w:r>
        <w:rPr>
          <w:rFonts w:hint="eastAsia" w:ascii="仿宋_GB2312" w:hAnsi="仿宋_GB2312" w:eastAsia="仿宋_GB2312" w:cs="仿宋_GB2312"/>
          <w:color w:val="000000" w:themeColor="text1"/>
          <w:sz w:val="32"/>
          <w:szCs w:val="32"/>
          <w:lang w:eastAsia="zh-CN"/>
          <w14:textFill>
            <w14:solidFill>
              <w14:schemeClr w14:val="tx1"/>
            </w14:solidFill>
          </w14:textFill>
        </w:rPr>
        <w:t>督查</w:t>
      </w:r>
      <w:r>
        <w:rPr>
          <w:rFonts w:hint="eastAsia" w:ascii="仿宋_GB2312" w:hAnsi="仿宋_GB2312" w:eastAsia="仿宋_GB2312" w:cs="仿宋_GB2312"/>
          <w:color w:val="000000" w:themeColor="text1"/>
          <w:sz w:val="32"/>
          <w:szCs w:val="32"/>
          <w14:textFill>
            <w14:solidFill>
              <w14:schemeClr w14:val="tx1"/>
            </w14:solidFill>
          </w14:textFill>
        </w:rPr>
        <w:t>，跟踪督促各地区相关规划内容的实施。建立健全第三方评估机制，开展中期评估，</w:t>
      </w:r>
      <w:r>
        <w:rPr>
          <w:rFonts w:hint="eastAsia" w:ascii="仿宋_GB2312" w:hAnsi="仿宋_GB2312" w:eastAsia="仿宋_GB2312" w:cs="仿宋_GB2312"/>
          <w:color w:val="000000" w:themeColor="text1"/>
          <w:sz w:val="32"/>
          <w:szCs w:val="32"/>
          <w:lang w:eastAsia="zh-CN"/>
          <w14:textFill>
            <w14:solidFill>
              <w14:schemeClr w14:val="tx1"/>
            </w14:solidFill>
          </w14:textFill>
        </w:rPr>
        <w:t>促进</w:t>
      </w:r>
      <w:r>
        <w:rPr>
          <w:rFonts w:hint="eastAsia" w:ascii="仿宋_GB2312" w:hAnsi="仿宋_GB2312" w:eastAsia="仿宋_GB2312" w:cs="仿宋_GB2312"/>
          <w:color w:val="000000" w:themeColor="text1"/>
          <w:sz w:val="32"/>
          <w:szCs w:val="32"/>
          <w14:textFill>
            <w14:solidFill>
              <w14:schemeClr w14:val="tx1"/>
            </w14:solidFill>
          </w14:textFill>
        </w:rPr>
        <w:t>公共法律服务体系建设规划</w:t>
      </w:r>
      <w:r>
        <w:rPr>
          <w:rFonts w:hint="eastAsia" w:ascii="仿宋_GB2312" w:hAnsi="仿宋_GB2312" w:eastAsia="仿宋_GB2312" w:cs="仿宋_GB2312"/>
          <w:color w:val="000000" w:themeColor="text1"/>
          <w:sz w:val="32"/>
          <w:szCs w:val="32"/>
          <w:lang w:eastAsia="zh-CN"/>
          <w14:textFill>
            <w14:solidFill>
              <w14:schemeClr w14:val="tx1"/>
            </w14:solidFill>
          </w14:textFill>
        </w:rPr>
        <w:t>落地落实</w:t>
      </w:r>
      <w:r>
        <w:rPr>
          <w:rFonts w:hint="eastAsia" w:ascii="仿宋_GB2312" w:hAnsi="仿宋_GB2312" w:eastAsia="仿宋_GB2312" w:cs="仿宋_GB2312"/>
          <w:color w:val="000000" w:themeColor="text1"/>
          <w:sz w:val="32"/>
          <w:szCs w:val="32"/>
          <w14:textFill>
            <w14:solidFill>
              <w14:schemeClr w14:val="tx1"/>
            </w14:solidFill>
          </w14:textFill>
        </w:rPr>
        <w:t>。创新宣传方式，加强舆论引导，</w:t>
      </w:r>
      <w:r>
        <w:rPr>
          <w:rFonts w:hint="eastAsia" w:ascii="仿宋_GB2312" w:hAnsi="仿宋_GB2312" w:eastAsia="仿宋_GB2312" w:cs="仿宋_GB2312"/>
          <w:color w:val="000000" w:themeColor="text1"/>
          <w:sz w:val="32"/>
          <w:szCs w:val="32"/>
          <w:lang w:eastAsia="zh-CN"/>
          <w14:textFill>
            <w14:solidFill>
              <w14:schemeClr w14:val="tx1"/>
            </w14:solidFill>
          </w14:textFill>
        </w:rPr>
        <w:t>提升人民群众对公共法律服务的知晓率、首选率、满意率。</w:t>
      </w:r>
    </w:p>
    <w:p>
      <w:pPr>
        <w:rPr>
          <w:rFonts w:hint="default" w:ascii="仿宋_GB2312" w:hAnsi="仿宋_GB2312" w:eastAsia="仿宋_GB2312" w:cs="仿宋_GB2312"/>
          <w:sz w:val="32"/>
          <w:szCs w:val="32"/>
          <w:lang w:val="en-US" w:eastAsia="zh-CN"/>
        </w:rPr>
      </w:pP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imes New Roman" w:hAnsi="Times New Roman"/>
        <w:sz w:val="28"/>
        <w:szCs w:val="28"/>
      </w:rPr>
    </w:pPr>
    <w:r>
      <w:rPr>
        <w:rFonts w:hint="eastAsia"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II</w:t>
    </w:r>
    <w:r>
      <w:rPr>
        <w:rFonts w:ascii="Times New Roman" w:hAnsi="Times New Roman"/>
        <w:sz w:val="28"/>
        <w:szCs w:val="28"/>
      </w:rPr>
      <w:fldChar w:fldCharType="end"/>
    </w:r>
    <w:r>
      <w:rPr>
        <w:rFonts w:hint="eastAsia"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rFonts w:hint="eastAsia"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II</w:t>
    </w:r>
    <w:r>
      <w:rPr>
        <w:rFonts w:ascii="Times New Roman" w:hAnsi="Times New Roman"/>
        <w:sz w:val="28"/>
        <w:szCs w:val="28"/>
      </w:rPr>
      <w:fldChar w:fldCharType="end"/>
    </w:r>
    <w:r>
      <w:rPr>
        <w:rFonts w:hint="eastAsia" w:ascii="Times New Roman" w:hAnsi="Times New Roman"/>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imes New Roman" w:hAnsi="Times New Roman"/>
        <w:sz w:val="28"/>
        <w:szCs w:val="28"/>
      </w:rPr>
    </w:pPr>
    <w:r>
      <w:rPr>
        <w:rFonts w:hint="eastAsia"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II</w:t>
    </w:r>
    <w:r>
      <w:rPr>
        <w:rFonts w:ascii="Times New Roman" w:hAnsi="Times New Roman"/>
        <w:sz w:val="28"/>
        <w:szCs w:val="28"/>
      </w:rPr>
      <w:fldChar w:fldCharType="end"/>
    </w:r>
    <w:r>
      <w:rPr>
        <w:rFonts w:hint="eastAsia" w:ascii="Times New Roman" w:hAnsi="Times New Roman"/>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rFonts w:hint="eastAsia"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II</w:t>
    </w:r>
    <w:r>
      <w:rPr>
        <w:rFonts w:ascii="Times New Roman" w:hAnsi="Times New Roman"/>
        <w:sz w:val="28"/>
        <w:szCs w:val="28"/>
      </w:rPr>
      <w:fldChar w:fldCharType="end"/>
    </w:r>
    <w:r>
      <w:rPr>
        <w:rFonts w:hint="eastAsia" w:ascii="Times New Roman" w:hAnsi="Times New Roman"/>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CF2564"/>
    <w:rsid w:val="12F747E6"/>
    <w:rsid w:val="29FC7E2D"/>
    <w:rsid w:val="34CF2564"/>
    <w:rsid w:val="3747288A"/>
    <w:rsid w:val="380C7E9B"/>
    <w:rsid w:val="430F33D7"/>
    <w:rsid w:val="497E73B6"/>
    <w:rsid w:val="702425CE"/>
    <w:rsid w:val="7421795B"/>
    <w:rsid w:val="74605098"/>
    <w:rsid w:val="7A101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next w:val="1"/>
    <w:qFormat/>
    <w:uiPriority w:val="0"/>
    <w:pPr>
      <w:keepNext/>
      <w:keepLines/>
      <w:widowControl w:val="0"/>
      <w:spacing w:before="340" w:after="330" w:line="578" w:lineRule="auto"/>
      <w:jc w:val="both"/>
      <w:outlineLvl w:val="0"/>
    </w:pPr>
    <w:rPr>
      <w:rFonts w:ascii="Calibri" w:hAnsi="Calibri" w:eastAsia="宋体" w:cs="Times New Roman"/>
      <w:b/>
      <w:bCs/>
      <w:kern w:val="44"/>
      <w:sz w:val="44"/>
      <w:szCs w:val="44"/>
      <w:lang w:val="en-US" w:eastAsia="zh-CN" w:bidi="ar-SA"/>
    </w:rPr>
  </w:style>
  <w:style w:type="paragraph" w:styleId="4">
    <w:name w:val="heading 2"/>
    <w:next w:val="1"/>
    <w:unhideWhenUsed/>
    <w:qFormat/>
    <w:uiPriority w:val="0"/>
    <w:pPr>
      <w:keepNext/>
      <w:keepLines/>
      <w:widowControl w:val="0"/>
      <w:spacing w:before="260" w:after="260" w:line="416" w:lineRule="auto"/>
      <w:jc w:val="both"/>
      <w:outlineLvl w:val="1"/>
    </w:pPr>
    <w:rPr>
      <w:rFonts w:asciiTheme="majorHAnsi" w:hAnsiTheme="majorHAnsi" w:eastAsiaTheme="majorEastAsia" w:cstheme="majorBidi"/>
      <w:b/>
      <w:bCs/>
      <w:kern w:val="2"/>
      <w:sz w:val="32"/>
      <w:szCs w:val="3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unhideWhenUsed/>
    <w:qFormat/>
    <w:uiPriority w:val="0"/>
    <w:pPr>
      <w:widowControl w:val="0"/>
      <w:spacing w:after="120"/>
      <w:jc w:val="both"/>
    </w:pPr>
    <w:rPr>
      <w:rFonts w:ascii="Calibri" w:hAnsi="Calibri" w:eastAsia="宋体" w:cs="Times New Roman"/>
      <w:kern w:val="2"/>
      <w:sz w:val="21"/>
      <w:szCs w:val="24"/>
      <w:lang w:val="en-US" w:eastAsia="zh-CN" w:bidi="ar-SA"/>
    </w:rPr>
  </w:style>
  <w:style w:type="paragraph" w:styleId="5">
    <w:name w:val="footer"/>
    <w:qFormat/>
    <w:uiPriority w:val="99"/>
    <w:pPr>
      <w:widowControl w:val="0"/>
      <w:tabs>
        <w:tab w:val="center" w:pos="4153"/>
        <w:tab w:val="right" w:pos="8306"/>
      </w:tabs>
      <w:snapToGrid w:val="0"/>
      <w:jc w:val="left"/>
    </w:pPr>
    <w:rPr>
      <w:rFonts w:ascii="Calibri" w:hAnsi="Calibri" w:eastAsia="宋体" w:cs="Times New Roman"/>
      <w:kern w:val="2"/>
      <w:sz w:val="18"/>
      <w:szCs w:val="22"/>
      <w:lang w:val="en-US" w:eastAsia="zh-CN" w:bidi="ar-SA"/>
    </w:rPr>
  </w:style>
  <w:style w:type="paragraph" w:styleId="6">
    <w:name w:val="toc 1"/>
    <w:next w:val="1"/>
    <w:qFormat/>
    <w:uiPriority w:val="39"/>
    <w:pPr>
      <w:widowControl w:val="0"/>
      <w:jc w:val="both"/>
    </w:pPr>
    <w:rPr>
      <w:rFonts w:ascii="Calibri" w:hAnsi="Calibri" w:eastAsia="宋体" w:cs="Times New Roman"/>
      <w:kern w:val="2"/>
      <w:sz w:val="21"/>
      <w:szCs w:val="22"/>
      <w:lang w:val="en-US" w:eastAsia="zh-CN" w:bidi="ar-SA"/>
    </w:rPr>
  </w:style>
  <w:style w:type="paragraph" w:styleId="7">
    <w:name w:val="toc 2"/>
    <w:next w:val="1"/>
    <w:qFormat/>
    <w:uiPriority w:val="39"/>
    <w:pPr>
      <w:widowControl w:val="0"/>
      <w:ind w:left="420" w:leftChars="200"/>
      <w:jc w:val="both"/>
    </w:pPr>
    <w:rPr>
      <w:rFonts w:ascii="Calibri" w:hAnsi="Calibri" w:eastAsia="宋体" w:cs="Times New Roman"/>
      <w:kern w:val="2"/>
      <w:sz w:val="21"/>
      <w:szCs w:val="22"/>
      <w:lang w:val="en-US" w:eastAsia="zh-CN" w:bidi="ar-SA"/>
    </w:rPr>
  </w:style>
  <w:style w:type="table" w:styleId="9">
    <w:name w:val="Table Gri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2020-04-26T09:36:00Z</dcterms:created>
  <dc:creator>lgc_ly</dc:creator>
  <cp:lastModifiedBy>荣飞</cp:lastModifiedBy>
  <dcterms:modified xsi:type="dcterms:W3CDTF">2021-07-29T10:24:19Z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