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bookmarkStart w:id="0" w:name="_Toc15306267"/>
      <w:bookmarkEnd w:id="0"/>
    </w:p>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11"/>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1" w:name="_Toc15396597"/>
      <w:bookmarkStart w:id="2" w:name="_Toc15377425"/>
      <w:bookmarkStart w:id="3" w:name="_Toc15378441"/>
      <w:bookmarkStart w:id="4" w:name="_Toc15377193"/>
      <w:bookmarkStart w:id="5" w:name="_Toc15396475"/>
      <w:r>
        <w:rPr>
          <w:rFonts w:hint="eastAsia" w:ascii="方正小标宋简体" w:hAnsi="方正小标宋简体" w:eastAsia="方正小标宋简体" w:cs="方正小标宋简体"/>
          <w:color w:val="000000"/>
          <w:sz w:val="72"/>
          <w:szCs w:val="72"/>
        </w:rPr>
        <w:t>2020年度</w:t>
      </w:r>
      <w:bookmarkEnd w:id="1"/>
      <w:bookmarkEnd w:id="2"/>
      <w:bookmarkEnd w:id="3"/>
      <w:bookmarkEnd w:id="4"/>
      <w:bookmarkEnd w:id="5"/>
    </w:p>
    <w:p>
      <w:pPr>
        <w:pStyle w:val="11"/>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6" w:name="_Toc153062671"/>
      <w:bookmarkEnd w:id="6"/>
      <w:r>
        <w:rPr>
          <w:rFonts w:hint="eastAsia" w:ascii="方正小标宋简体" w:hAnsi="方正小标宋简体" w:eastAsia="方正小标宋简体" w:cs="方正小标宋简体"/>
          <w:color w:val="000000"/>
          <w:sz w:val="72"/>
          <w:szCs w:val="72"/>
        </w:rPr>
        <w:t>四川省法律援助</w:t>
      </w:r>
      <w:bookmarkStart w:id="7" w:name="_Toc15306268"/>
      <w:r>
        <w:rPr>
          <w:rFonts w:hint="eastAsia" w:ascii="方正小标宋简体" w:hAnsi="方正小标宋简体" w:eastAsia="方正小标宋简体" w:cs="方正小标宋简体"/>
          <w:color w:val="000000"/>
          <w:sz w:val="72"/>
          <w:szCs w:val="72"/>
        </w:rPr>
        <w:t>中心</w:t>
      </w:r>
    </w:p>
    <w:p>
      <w:pPr>
        <w:pStyle w:val="11"/>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8" w:name="_Toc15396598"/>
      <w:bookmarkStart w:id="9" w:name="_Toc15377194"/>
      <w:bookmarkStart w:id="10" w:name="_Toc15396476"/>
      <w:bookmarkStart w:id="11" w:name="_Toc15378442"/>
      <w:bookmarkStart w:id="12" w:name="_Toc15377426"/>
      <w:r>
        <w:rPr>
          <w:rFonts w:hint="eastAsia" w:ascii="方正小标宋简体" w:hAnsi="方正小标宋简体" w:eastAsia="方正小标宋简体" w:cs="方正小标宋简体"/>
          <w:color w:val="000000"/>
          <w:sz w:val="72"/>
          <w:szCs w:val="72"/>
          <w:lang w:eastAsia="zh-CN"/>
        </w:rPr>
        <w:t>单位</w:t>
      </w:r>
      <w:r>
        <w:rPr>
          <w:rFonts w:hint="eastAsia" w:ascii="方正小标宋简体" w:hAnsi="方正小标宋简体" w:eastAsia="方正小标宋简体" w:cs="方正小标宋简体"/>
          <w:color w:val="000000"/>
          <w:sz w:val="72"/>
          <w:szCs w:val="72"/>
        </w:rPr>
        <w:t>决算</w:t>
      </w:r>
      <w:bookmarkEnd w:id="7"/>
      <w:bookmarkEnd w:id="8"/>
      <w:bookmarkEnd w:id="9"/>
      <w:bookmarkEnd w:id="10"/>
      <w:bookmarkEnd w:id="11"/>
      <w:bookmarkEnd w:id="12"/>
    </w:p>
    <w:p>
      <w:pPr>
        <w:pStyle w:val="11"/>
        <w:numPr>
          <w:ilvl w:val="0"/>
          <w:numId w:val="0"/>
        </w:numPr>
        <w:snapToGrid w:val="0"/>
        <w:spacing w:line="360" w:lineRule="auto"/>
        <w:ind w:left="0"/>
        <w:jc w:val="center"/>
        <w:outlineLvl w:val="0"/>
        <w:rPr>
          <w:rFonts w:ascii="方正小标宋简体" w:hAnsi="方正小标宋简体" w:eastAsia="方正小标宋简体"/>
          <w:sz w:val="52"/>
          <w:szCs w:val="52"/>
        </w:rPr>
      </w:pPr>
      <w:r>
        <w:rPr>
          <w:rFonts w:ascii="方正小标宋简体" w:hAnsi="方正小标宋简体" w:eastAsia="方正小标宋简体"/>
          <w:color w:val="000000"/>
          <w:sz w:val="52"/>
          <w:szCs w:val="52"/>
        </w:rPr>
        <w:t xml:space="preserve"> </w:t>
      </w:r>
    </w:p>
    <w:p>
      <w:pPr>
        <w:pStyle w:val="11"/>
        <w:numPr>
          <w:ilvl w:val="0"/>
          <w:numId w:val="0"/>
        </w:numPr>
        <w:snapToGrid w:val="0"/>
        <w:spacing w:line="360" w:lineRule="auto"/>
        <w:ind w:left="0"/>
        <w:jc w:val="center"/>
        <w:outlineLvl w:val="0"/>
        <w:rPr>
          <w:rFonts w:ascii="方正小标宋简体" w:hAnsi="方正小标宋简体" w:eastAsia="方正小标宋简体"/>
          <w:color w:val="000000"/>
          <w:sz w:val="52"/>
          <w:szCs w:val="52"/>
        </w:rPr>
      </w:pPr>
      <w:r>
        <w:br w:type="page"/>
      </w:r>
    </w:p>
    <w:p>
      <w:pPr>
        <w:pStyle w:val="11"/>
        <w:widowControl/>
        <w:jc w:val="center"/>
        <w:rPr>
          <w:rFonts w:ascii="黑体" w:hAnsi="黑体" w:eastAsia="黑体"/>
          <w:sz w:val="48"/>
          <w:szCs w:val="48"/>
        </w:rPr>
      </w:pPr>
      <w:r>
        <w:rPr>
          <w:rFonts w:ascii="黑体" w:hAnsi="黑体" w:eastAsia="黑体"/>
          <w:sz w:val="48"/>
          <w:szCs w:val="48"/>
        </w:rPr>
        <w:t>目</w:t>
      </w:r>
      <w:r>
        <w:rPr>
          <w:rFonts w:hint="eastAsia" w:ascii="黑体" w:hAnsi="黑体" w:eastAsia="黑体"/>
          <w:sz w:val="48"/>
          <w:szCs w:val="48"/>
          <w:lang w:val="en-US" w:eastAsia="zh-CN"/>
        </w:rPr>
        <w:t xml:space="preserve">  </w:t>
      </w:r>
      <w:r>
        <w:rPr>
          <w:rFonts w:ascii="黑体" w:hAnsi="黑体" w:eastAsia="黑体"/>
          <w:sz w:val="48"/>
          <w:szCs w:val="48"/>
        </w:rPr>
        <w:t>录</w:t>
      </w:r>
    </w:p>
    <w:p>
      <w:pPr>
        <w:pStyle w:val="11"/>
        <w:widowControl/>
        <w:jc w:val="center"/>
        <w:rPr>
          <w:rFonts w:ascii="黑体" w:hAnsi="黑体" w:eastAsia="黑体" w:cstheme="minorBidi"/>
          <w:sz w:val="28"/>
          <w:szCs w:val="28"/>
        </w:rPr>
      </w:pPr>
    </w:p>
    <w:p>
      <w:pPr>
        <w:pStyle w:val="11"/>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第一部分 单位概况……………………………………………</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一、职能简介…</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23"/>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二、2020年重点工</w:t>
      </w:r>
      <w:r>
        <w:rPr>
          <w:rFonts w:hint="eastAsia" w:ascii="仿宋_GB2312" w:hAnsi="仿宋_GB2312" w:eastAsia="仿宋_GB2312" w:cs="仿宋_GB2312"/>
          <w:spacing w:val="6"/>
          <w:sz w:val="32"/>
          <w:szCs w:val="32"/>
        </w:rPr>
        <w:t>作完</w:t>
      </w:r>
      <w:r>
        <w:rPr>
          <w:rFonts w:hint="eastAsia" w:ascii="仿宋_GB2312" w:hAnsi="仿宋_GB2312" w:eastAsia="仿宋_GB2312" w:cs="仿宋_GB2312"/>
          <w:sz w:val="32"/>
          <w:szCs w:val="32"/>
        </w:rPr>
        <w:t>成</w:t>
      </w:r>
      <w:r>
        <w:rPr>
          <w:rFonts w:hint="eastAsia" w:ascii="仿宋_GB2312" w:hAnsi="仿宋_GB2312" w:eastAsia="仿宋_GB2312" w:cs="仿宋_GB2312"/>
          <w:spacing w:val="6"/>
          <w:sz w:val="32"/>
          <w:szCs w:val="32"/>
        </w:rPr>
        <w:t>情况……</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第二部分 2020年度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w:t>
      </w:r>
      <w:r>
        <w:rPr>
          <w:rFonts w:hint="eastAsia" w:ascii="仿宋_GB2312" w:hAnsi="仿宋_GB2312" w:eastAsia="仿宋_GB2312" w:cs="仿宋_GB2312"/>
          <w:spacing w:val="17"/>
          <w:sz w:val="32"/>
          <w:szCs w:val="32"/>
        </w:rPr>
        <w:t>算情况</w:t>
      </w:r>
      <w:r>
        <w:rPr>
          <w:rFonts w:hint="eastAsia" w:ascii="仿宋_GB2312" w:hAnsi="仿宋_GB2312" w:eastAsia="仿宋_GB2312" w:cs="仿宋_GB2312"/>
          <w:sz w:val="32"/>
          <w:szCs w:val="32"/>
        </w:rPr>
        <w:t>说明</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一、收入支出</w:t>
      </w:r>
      <w:r>
        <w:rPr>
          <w:rFonts w:hint="eastAsia" w:ascii="仿宋_GB2312" w:hAnsi="仿宋_GB2312" w:eastAsia="仿宋_GB2312" w:cs="仿宋_GB2312"/>
          <w:spacing w:val="6"/>
          <w:sz w:val="32"/>
          <w:szCs w:val="32"/>
        </w:rPr>
        <w:t>决算总体</w:t>
      </w:r>
      <w:r>
        <w:rPr>
          <w:rFonts w:hint="eastAsia" w:ascii="仿宋_GB2312" w:hAnsi="仿宋_GB2312" w:eastAsia="仿宋_GB2312" w:cs="仿宋_GB2312"/>
          <w:sz w:val="32"/>
          <w:szCs w:val="32"/>
        </w:rPr>
        <w:t>情况</w:t>
      </w:r>
      <w:r>
        <w:rPr>
          <w:rFonts w:hint="eastAsia" w:ascii="仿宋_GB2312" w:hAnsi="仿宋_GB2312" w:eastAsia="仿宋_GB2312" w:cs="仿宋_GB2312"/>
          <w:spacing w:val="17"/>
          <w:sz w:val="32"/>
          <w:szCs w:val="32"/>
        </w:rPr>
        <w:t>说明</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二、收入决算情况</w:t>
      </w:r>
      <w:r>
        <w:rPr>
          <w:rFonts w:hint="eastAsia" w:ascii="仿宋_GB2312" w:hAnsi="仿宋_GB2312" w:eastAsia="仿宋_GB2312" w:cs="仿宋_GB2312"/>
          <w:spacing w:val="17"/>
          <w:sz w:val="32"/>
          <w:szCs w:val="32"/>
        </w:rPr>
        <w:t>说明</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三、支出决算情</w:t>
      </w:r>
      <w:r>
        <w:rPr>
          <w:rFonts w:hint="eastAsia" w:ascii="仿宋_GB2312" w:hAnsi="仿宋_GB2312" w:eastAsia="仿宋_GB2312" w:cs="仿宋_GB2312"/>
          <w:spacing w:val="17"/>
          <w:sz w:val="32"/>
          <w:szCs w:val="32"/>
        </w:rPr>
        <w:t>况说明…</w:t>
      </w: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四、财政拨款收入支出决</w:t>
      </w:r>
      <w:r>
        <w:rPr>
          <w:rFonts w:hint="eastAsia" w:ascii="仿宋_GB2312" w:hAnsi="仿宋_GB2312" w:eastAsia="仿宋_GB2312" w:cs="仿宋_GB2312"/>
          <w:spacing w:val="17"/>
          <w:sz w:val="32"/>
          <w:szCs w:val="32"/>
        </w:rPr>
        <w:t>算总体</w:t>
      </w:r>
      <w:r>
        <w:rPr>
          <w:rFonts w:hint="eastAsia" w:ascii="仿宋_GB2312" w:hAnsi="仿宋_GB2312" w:eastAsia="仿宋_GB2312" w:cs="仿宋_GB2312"/>
          <w:sz w:val="32"/>
          <w:szCs w:val="32"/>
        </w:rPr>
        <w:t>情况说明………………</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pacing w:val="0"/>
          <w:sz w:val="32"/>
          <w:szCs w:val="32"/>
        </w:rPr>
        <w:t>一般公共预算财政拨款支出决算</w:t>
      </w:r>
      <w:r>
        <w:rPr>
          <w:rFonts w:hint="eastAsia" w:ascii="仿宋_GB2312" w:hAnsi="仿宋_GB2312" w:eastAsia="仿宋_GB2312" w:cs="仿宋_GB2312"/>
          <w:spacing w:val="6"/>
          <w:sz w:val="32"/>
          <w:szCs w:val="32"/>
        </w:rPr>
        <w:t>情况说明………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六、一般公共预算财政拨款基本支出</w:t>
      </w:r>
      <w:r>
        <w:rPr>
          <w:rFonts w:hint="eastAsia" w:ascii="仿宋_GB2312" w:hAnsi="仿宋_GB2312" w:eastAsia="仿宋_GB2312" w:cs="仿宋_GB2312"/>
          <w:spacing w:val="6"/>
          <w:sz w:val="32"/>
          <w:szCs w:val="32"/>
        </w:rPr>
        <w:t>决算情况说明……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七、“三公”经费财政拨款支出决算情</w:t>
      </w:r>
      <w:r>
        <w:rPr>
          <w:rFonts w:hint="eastAsia" w:ascii="仿宋_GB2312" w:hAnsi="仿宋_GB2312" w:eastAsia="仿宋_GB2312" w:cs="仿宋_GB2312"/>
          <w:spacing w:val="6"/>
          <w:sz w:val="32"/>
          <w:szCs w:val="32"/>
        </w:rPr>
        <w:t>况说明…………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八、政府性基金预算支出决算情况说明………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九、国有资本经营预算支出决算情况说明………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十、其他重要事项的情况说明………………………………</w:t>
      </w:r>
      <w:r>
        <w:rPr>
          <w:rFonts w:hint="eastAsia" w:ascii="仿宋_GB2312" w:hAnsi="仿宋_GB2312" w:eastAsia="仿宋_GB2312" w:cs="仿宋_GB2312"/>
          <w:spacing w:val="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第三部分 名词解</w:t>
      </w:r>
      <w:r>
        <w:rPr>
          <w:rFonts w:hint="eastAsia" w:ascii="仿宋_GB2312" w:hAnsi="仿宋_GB2312" w:eastAsia="仿宋_GB2312" w:cs="仿宋_GB2312"/>
          <w:spacing w:val="17"/>
          <w:sz w:val="32"/>
          <w:szCs w:val="32"/>
        </w:rPr>
        <w:t>释………</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第四部分 </w:t>
      </w:r>
      <w:r>
        <w:rPr>
          <w:rFonts w:hint="eastAsia" w:ascii="仿宋_GB2312" w:hAnsi="仿宋_GB2312" w:eastAsia="仿宋_GB2312" w:cs="仿宋_GB2312"/>
          <w:spacing w:val="17"/>
          <w:sz w:val="32"/>
          <w:szCs w:val="32"/>
        </w:rPr>
        <w:t>附件</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第五部分 附表……………………………</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bookmarkStart w:id="13" w:name="_Toc15377196"/>
      <w:bookmarkEnd w:id="13"/>
      <w:bookmarkStart w:id="14" w:name="_Toc15396599"/>
      <w:bookmarkEnd w:id="14"/>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sectPr>
          <w:pgSz w:w="11906" w:h="16838"/>
          <w:pgMar w:top="1531" w:right="1418" w:bottom="1531" w:left="1418" w:header="851" w:footer="992" w:gutter="0"/>
          <w:pgNumType w:fmt="decimal" w:start="1"/>
          <w:formProt w:val="0"/>
          <w:titlePg/>
          <w:docGrid w:type="lines" w:linePitch="312" w:charSpace="287743"/>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t xml:space="preserve">第一部分 </w:t>
      </w:r>
      <w:r>
        <w:rPr>
          <w:rFonts w:hint="eastAsia" w:ascii="方正小标宋简体" w:hAnsi="方正小标宋简体" w:eastAsia="方正小标宋简体" w:cs="方正小标宋简体"/>
          <w:i w:val="0"/>
          <w:iCs w:val="0"/>
          <w:color w:val="000000" w:themeColor="text1"/>
          <w:sz w:val="44"/>
          <w:szCs w:val="44"/>
          <w:u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t>单位概况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olor w:val="000000" w:themeColor="text1"/>
          <w:sz w:val="32"/>
          <w:szCs w:val="32"/>
          <w:u w:val="none"/>
          <w14:textFill>
            <w14:solidFill>
              <w14:schemeClr w14:val="tx1"/>
            </w14:solidFill>
          </w14:textFill>
        </w:rPr>
      </w:pPr>
      <w:r>
        <w:rPr>
          <w:rFonts w:hint="eastAsia" w:ascii="黑体" w:hAnsi="黑体" w:eastAsia="黑体" w:cs="黑体"/>
          <w:i w:val="0"/>
          <w:iCs w:val="0"/>
          <w:color w:val="000000" w:themeColor="text1"/>
          <w:sz w:val="32"/>
          <w:szCs w:val="32"/>
          <w:u w:val="none"/>
          <w14:textFill>
            <w14:solidFill>
              <w14:schemeClr w14:val="tx1"/>
            </w14:solidFill>
          </w14:textFill>
        </w:rPr>
        <w:t>一、职能简介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四川省法律援助中心</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为</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司法厅直属、正处级、依照公务员法管理事业单位。核定司法专项编制20人</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，现有</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在编人员</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12</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人。</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依据</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《事业单位法人证书》、省机构编制委员会确定工作职责</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为</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“承办法律援助案件、管理法律援助资金”</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；依据</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《四川省司法厅构建“优化协调高效”工作体系方案（试行）的通知》确定</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的</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职责</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为</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省法援中心履行法律援助实施职责，办理法律援助案件，负责法律援助经费的管理使用。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olor w:val="000000" w:themeColor="text1"/>
          <w:sz w:val="32"/>
          <w:szCs w:val="32"/>
          <w:u w:val="none"/>
          <w:lang w:eastAsia="zh-CN"/>
          <w14:textFill>
            <w14:solidFill>
              <w14:schemeClr w14:val="tx1"/>
            </w14:solidFill>
          </w14:textFill>
        </w:rPr>
      </w:pPr>
      <w:r>
        <w:rPr>
          <w:rFonts w:hint="eastAsia" w:ascii="黑体" w:hAnsi="黑体" w:eastAsia="黑体" w:cs="黑体"/>
          <w:i w:val="0"/>
          <w:iCs w:val="0"/>
          <w:color w:val="000000" w:themeColor="text1"/>
          <w:sz w:val="32"/>
          <w:szCs w:val="32"/>
          <w:u w:val="none"/>
          <w:lang w:val="en-US" w:eastAsia="zh-CN"/>
          <w14:textFill>
            <w14:solidFill>
              <w14:schemeClr w14:val="tx1"/>
            </w14:solidFill>
          </w14:textFill>
        </w:rPr>
        <w:t>二、2020年重点</w:t>
      </w:r>
      <w:r>
        <w:rPr>
          <w:rFonts w:hint="eastAsia" w:ascii="黑体" w:hAnsi="黑体" w:eastAsia="黑体" w:cs="黑体"/>
          <w:i w:val="0"/>
          <w:iCs w:val="0"/>
          <w:color w:val="000000" w:themeColor="text1"/>
          <w:sz w:val="32"/>
          <w:szCs w:val="32"/>
          <w:u w:val="none"/>
          <w14:textFill>
            <w14:solidFill>
              <w14:schemeClr w14:val="tx1"/>
            </w14:solidFill>
          </w14:textFill>
        </w:rPr>
        <w:t>工作</w:t>
      </w:r>
      <w:r>
        <w:rPr>
          <w:rFonts w:hint="eastAsia" w:ascii="黑体" w:hAnsi="黑体" w:eastAsia="黑体" w:cs="黑体"/>
          <w:i w:val="0"/>
          <w:iCs w:val="0"/>
          <w:color w:val="000000" w:themeColor="text1"/>
          <w:sz w:val="32"/>
          <w:szCs w:val="32"/>
          <w:u w:val="none"/>
          <w:lang w:eastAsia="zh-CN"/>
          <w14:textFill>
            <w14:solidFill>
              <w14:schemeClr w14:val="tx1"/>
            </w14:solidFill>
          </w14:textFill>
        </w:rPr>
        <w:t>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2020</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年</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，全省法律援助工作</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统筹规划助力疫情期间企业复工复产，矢志不渝为农民工提供优质高效法律援助服务，加大力度管理运行法律服务信息平台，持之以恒扩大法律援助覆盖面、提升法律援助案件质量，努力为建成全业务、全时空的法律服务网络做出积极贡献。全省共批准办理法律援助案件63540件，</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通过电话、网络、实体窗口提供免费法律咨询服务</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650826人次。</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其中</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省法律援助中心直接办理</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1570件</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。组织运营驻场服务人员205人，驻中国法律服务网服务人员解答公众咨询27070件次、驻12348四川法网解答件33318件次。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2020年重点推进了以下几项工作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1.提供优质高效农民工维权服务：</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各级法援机构开展《保障农民工工资支付条例》宣传活动，依托公共法律服务实体平台、12348公共法律服务热线、司法行政微信、微博等播放农民工法律援助动画片、发布农民工讨薪维权典型案例。畅通农民工讨薪“绿色通道”，对农民工讨薪案件，均做到当日受理、当日审批、当日指派。简化农民工讨薪案件受理资料，落实关于农民工讨薪、工伤法律援助案件免予审查经济困难条件的规定</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2.积极落实司法部三大项目在川实施：三大项目即</w:t>
      </w:r>
      <w:r>
        <w:rPr>
          <w:rFonts w:hint="eastAsia" w:ascii="仿宋_GB2312" w:hAnsi="仿宋_GB2312" w:eastAsia="仿宋_GB2312" w:cs="仿宋_GB2312"/>
          <w:i w:val="0"/>
          <w:iCs w:val="0"/>
          <w:color w:val="000000" w:themeColor="text1"/>
          <w:sz w:val="32"/>
          <w:szCs w:val="32"/>
          <w:u w:val="none"/>
          <w:lang w:val="zh-CN" w:eastAsia="zh-CN"/>
          <w14:textFill>
            <w14:solidFill>
              <w14:schemeClr w14:val="tx1"/>
            </w14:solidFill>
          </w14:textFill>
        </w:rPr>
        <w:t>“1+1”中国法律援助志愿者行动、</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西部基层法律援助志愿服务行动</w:t>
      </w:r>
      <w:r>
        <w:rPr>
          <w:rFonts w:hint="eastAsia" w:ascii="仿宋_GB2312" w:hAnsi="仿宋_GB2312" w:eastAsia="仿宋_GB2312" w:cs="仿宋_GB2312"/>
          <w:i w:val="0"/>
          <w:iCs w:val="0"/>
          <w:color w:val="000000" w:themeColor="text1"/>
          <w:sz w:val="32"/>
          <w:szCs w:val="32"/>
          <w:u w:val="none"/>
          <w:lang w:val="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中央专项彩票公益金法律援助项目</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2020年志愿者律师值班接待咨询545人次，办理案件98件，大学生志愿者接待咨询402人次，代写文书27份，参与宣传7次；西部大学生志愿者接待咨询378人次，代写文书58份，参与宣传87次；发放中央专项彩票公益金法律援助项目补贴502.48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3.强化民族地区区县法律援助对口帮扶工作：自2019年5月《司法厅关于</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民族地区区县法律援助对口帮扶实施方案</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下发以来，2020年累计为民族地区办理法律援助案件256件，解答群众来访咨询、代书3178件次，通过微信、短视频等新媒体平台解答咨询4万余人次，开展送法进寺庙等各项活动387场（次），发放宣传用品2.7万余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4.做好案件质量评估工作：2020年组织10个市州、区县提供55个法律援助案件，参与全国法律援助案件质量同行评估，评估结果：四川省的民事法律援助案件优良率在全国排名第二名。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5.积极开展案例库案例报送工作：从案例典型程度、办案效果、撰写质量等方面精选、编辑各地优秀法律援助案件报送给部法援案例库。截止目前，四川省法律援助中心报送的45件法律援助案例入选司法部司法行政（法律援助）案例库，入选数量位列全国前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6.</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为疫情防控提供法律政策指引</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和</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大力开展面向群众的线上服务</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省中心指导各地法律援助机构齐心协力、共同抗疫，并会同省律协选取26名在劳动争议、民商事、医疗卫生等方面具有专业特长的律师，组成疫情防控工作公益法律服务团</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解答与疫情有关的法律问题。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7.</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强省外法律援助工作站的日常规范管理</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2020年，在粤法律援助工作站为在粤川籍农民工提供咨询4600人次，办理法律援助案件194 件，举办宣传活动41场次，发放宣传资料16593份，引导川籍农民工到当地法律援助机构申请办理法律援助案件145件，有效维护其合法权益</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8.</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与公共法律服务建设，运营维护信息化平台</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为发挥好公共法律服务中的基础性作用，省法援中心继续做好两大法律服务网、12348法律服务热线的运营管理及维护，取得显著成效。2020年，12348热线有效来电35</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.7万</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次（去年18</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3</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万</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次，同比增长94.72%），接听电话25</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8</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万次</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（去年13</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2</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万</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次，同比增长95.03%），接通率72.31%</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在去年72.19%基础上，略有提升</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热线来电集中在劳动、合同、民间借贷、婚姻家庭、侵权等领域。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br w:type="page"/>
      </w:r>
    </w:p>
    <w:p>
      <w:pPr>
        <w:pStyle w:val="11"/>
        <w:keepNext w:val="0"/>
        <w:keepLines w:val="0"/>
        <w:pageBreakBefore w:val="0"/>
        <w:widowControl/>
        <w:kinsoku/>
        <w:wordWrap/>
        <w:overflowPunct/>
        <w:topLinePunct w:val="0"/>
        <w:autoSpaceDE/>
        <w:autoSpaceDN/>
        <w:bidi w:val="0"/>
        <w:adjustRightInd/>
        <w:snapToGrid/>
        <w:spacing w:line="640" w:lineRule="exact"/>
        <w:jc w:val="center"/>
        <w:textAlignment w:val="auto"/>
        <w:rPr>
          <w:rStyle w:val="9"/>
          <w:rFonts w:hint="eastAsia" w:ascii="方正小标宋简体" w:hAnsi="方正小标宋简体" w:eastAsia="方正小标宋简体" w:cs="方正小标宋简体"/>
          <w:b w:val="0"/>
          <w:bCs w:val="0"/>
        </w:rPr>
      </w:pPr>
      <w:bookmarkStart w:id="15" w:name="_Toc15396602"/>
      <w:bookmarkStart w:id="16" w:name="_Toc15377204"/>
      <w:r>
        <w:rPr>
          <w:rStyle w:val="9"/>
          <w:rFonts w:hint="eastAsia" w:ascii="方正小标宋简体" w:hAnsi="方正小标宋简体" w:eastAsia="方正小标宋简体" w:cs="方正小标宋简体"/>
          <w:b w:val="0"/>
          <w:bCs w:val="0"/>
        </w:rPr>
        <w:t xml:space="preserve">第二部分 </w:t>
      </w:r>
      <w:r>
        <w:rPr>
          <w:rStyle w:val="9"/>
          <w:rFonts w:hint="eastAsia" w:ascii="方正小标宋简体" w:hAnsi="方正小标宋简体" w:eastAsia="方正小标宋简体" w:cs="方正小标宋简体"/>
          <w:b w:val="0"/>
          <w:bCs w:val="0"/>
          <w:lang w:val="en-US" w:eastAsia="zh-CN"/>
        </w:rPr>
        <w:t xml:space="preserve"> </w:t>
      </w:r>
      <w:r>
        <w:rPr>
          <w:rStyle w:val="9"/>
          <w:rFonts w:hint="eastAsia" w:ascii="方正小标宋简体" w:hAnsi="方正小标宋简体" w:eastAsia="方正小标宋简体" w:cs="方正小标宋简体"/>
          <w:b w:val="0"/>
          <w:bCs w:val="0"/>
        </w:rPr>
        <w:t>2020年度</w:t>
      </w:r>
      <w:r>
        <w:rPr>
          <w:rStyle w:val="9"/>
          <w:rFonts w:hint="eastAsia" w:ascii="方正小标宋简体" w:hAnsi="方正小标宋简体" w:eastAsia="方正小标宋简体" w:cs="方正小标宋简体"/>
          <w:b w:val="0"/>
          <w:bCs w:val="0"/>
          <w:lang w:eastAsia="zh-CN"/>
        </w:rPr>
        <w:t>单位</w:t>
      </w:r>
      <w:r>
        <w:rPr>
          <w:rStyle w:val="9"/>
          <w:rFonts w:hint="eastAsia" w:ascii="方正小标宋简体" w:hAnsi="方正小标宋简体" w:eastAsia="方正小标宋简体" w:cs="方正小标宋简体"/>
          <w:b w:val="0"/>
          <w:bCs w:val="0"/>
        </w:rPr>
        <w:t>决算情况说明</w:t>
      </w:r>
      <w:bookmarkEnd w:id="15"/>
      <w:bookmarkEnd w:id="16"/>
    </w:p>
    <w:p>
      <w:pPr>
        <w:pStyle w:val="11"/>
        <w:keepNext w:val="0"/>
        <w:keepLines w:val="0"/>
        <w:pageBreakBefore w:val="0"/>
        <w:kinsoku/>
        <w:wordWrap/>
        <w:overflowPunct/>
        <w:topLinePunct w:val="0"/>
        <w:autoSpaceDE/>
        <w:autoSpaceDN/>
        <w:bidi w:val="0"/>
        <w:adjustRightInd/>
        <w:snapToGrid/>
        <w:spacing w:line="640" w:lineRule="exact"/>
        <w:textAlignment w:val="auto"/>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12"/>
          <w:rFonts w:hint="eastAsia" w:ascii="黑体" w:hAnsi="黑体" w:eastAsia="黑体" w:cs="黑体"/>
          <w:b w:val="0"/>
        </w:rPr>
      </w:pPr>
      <w:bookmarkStart w:id="17" w:name="_Toc15377205"/>
      <w:bookmarkStart w:id="18" w:name="_Toc15396603"/>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收</w:t>
      </w:r>
      <w:r>
        <w:rPr>
          <w:rStyle w:val="12"/>
          <w:rFonts w:hint="eastAsia" w:ascii="黑体" w:hAnsi="黑体" w:eastAsia="黑体" w:cs="黑体"/>
          <w:b w:val="0"/>
        </w:rPr>
        <w:t>入支出决算总体情况说明</w:t>
      </w:r>
      <w:bookmarkEnd w:id="17"/>
      <w:bookmarkEnd w:id="18"/>
    </w:p>
    <w:p>
      <w:pPr>
        <w:pStyle w:val="11"/>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2020年度收、支总计327.80万元。与2019年相比，收、支总计各增加3.72万元，上升1.15%。主要变动原因是人员调入调出和人员职务职级变动。</w:t>
      </w:r>
    </w:p>
    <w:p>
      <w:pPr>
        <w:pStyle w:val="11"/>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（图1：收、支决算总计变动情况图）（柱状图）</w:t>
      </w:r>
    </w:p>
    <w:p>
      <w:pPr>
        <w:pStyle w:val="11"/>
        <w:ind w:firstLineChars="200"/>
        <w:jc w:val="center"/>
        <w:rPr>
          <w:rFonts w:ascii="仿宋_GB2312" w:hAnsi="仿宋_GB2312" w:eastAsia="仿宋_GB2312"/>
          <w:color w:val="000000"/>
          <w:sz w:val="32"/>
          <w:szCs w:val="32"/>
        </w:rPr>
      </w:pPr>
      <w:r>
        <w:drawing>
          <wp:inline distT="0" distB="0" distL="0" distR="0">
            <wp:extent cx="3837305" cy="2713990"/>
            <wp:effectExtent l="0" t="0" r="0" b="0"/>
            <wp:docPr id="1" name="对象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0"/>
        <w:numPr>
          <w:ilvl w:val="0"/>
          <w:numId w:val="0"/>
        </w:numPr>
        <w:spacing w:line="600" w:lineRule="exact"/>
        <w:ind w:firstLine="640" w:firstLineChars="200"/>
        <w:outlineLvl w:val="1"/>
        <w:rPr>
          <w:rFonts w:hint="eastAsia" w:ascii="黑体" w:hAnsi="黑体" w:eastAsia="黑体"/>
          <w:color w:val="000000"/>
          <w:sz w:val="32"/>
          <w:szCs w:val="32"/>
          <w:lang w:eastAsia="zh-CN"/>
        </w:rPr>
      </w:pPr>
      <w:bookmarkStart w:id="19" w:name="_Toc15377206"/>
      <w:bookmarkStart w:id="20" w:name="_Toc15396604"/>
    </w:p>
    <w:p>
      <w:pPr>
        <w:pStyle w:val="20"/>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1"/>
        <w:rPr>
          <w:rStyle w:val="12"/>
          <w:rFonts w:ascii="黑体" w:hAnsi="黑体" w:eastAsia="黑体"/>
          <w:b w:val="0"/>
        </w:rPr>
      </w:pPr>
      <w:r>
        <w:rPr>
          <w:rFonts w:hint="eastAsia" w:ascii="黑体" w:hAnsi="黑体" w:eastAsia="黑体"/>
          <w:color w:val="000000"/>
          <w:sz w:val="32"/>
          <w:szCs w:val="32"/>
          <w:lang w:eastAsia="zh-CN"/>
        </w:rPr>
        <w:t>二、</w:t>
      </w:r>
      <w:r>
        <w:rPr>
          <w:rFonts w:ascii="黑体" w:hAnsi="黑体" w:eastAsia="黑体"/>
          <w:color w:val="000000"/>
          <w:sz w:val="32"/>
          <w:szCs w:val="32"/>
        </w:rPr>
        <w:t>收</w:t>
      </w:r>
      <w:r>
        <w:rPr>
          <w:rStyle w:val="12"/>
          <w:rFonts w:ascii="黑体" w:hAnsi="黑体" w:eastAsia="黑体"/>
          <w:b w:val="0"/>
        </w:rPr>
        <w:t>入决算情况说明</w:t>
      </w:r>
      <w:bookmarkEnd w:id="19"/>
      <w:bookmarkEnd w:id="20"/>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2020年本年收入合计327.80万元，其中：一般公共预算财政拨款收入327.80万元，占100%；政府性基金预算财政拨款收入0万元，占0%；</w:t>
      </w:r>
      <w:r>
        <w:rPr>
          <w:rFonts w:hint="eastAsia" w:ascii="仿宋_GB2312" w:hAnsi="仿宋_GB2312" w:eastAsia="仿宋_GB2312" w:cs="仿宋_GB2312"/>
          <w:color w:val="000000" w:themeColor="text1"/>
          <w:sz w:val="32"/>
          <w:szCs w:val="32"/>
          <w14:textFill>
            <w14:solidFill>
              <w14:schemeClr w14:val="tx1"/>
            </w14:solidFill>
          </w14:textFill>
        </w:rPr>
        <w:t>上级补助收入0</w:t>
      </w:r>
      <w:r>
        <w:rPr>
          <w:rFonts w:hint="eastAsia" w:ascii="仿宋_GB2312" w:hAnsi="仿宋_GB2312" w:eastAsia="仿宋_GB2312" w:cs="仿宋_GB2312"/>
          <w:color w:val="000000"/>
          <w:sz w:val="32"/>
          <w:szCs w:val="32"/>
        </w:rPr>
        <w:t>万元，占0%；事业收入0万元，占0%；经营收入0万元，占0%；附属单位上缴收入0万元，占0%；其他收入0万元，占0%。</w:t>
      </w:r>
    </w:p>
    <w:p>
      <w:pPr>
        <w:pStyle w:val="11"/>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（图2：收入决算结构图）（饼状图）</w:t>
      </w:r>
    </w:p>
    <w:p>
      <w:pPr>
        <w:pStyle w:val="11"/>
        <w:ind w:firstLineChars="200"/>
        <w:jc w:val="center"/>
        <w:rPr>
          <w:rFonts w:ascii="仿宋_GB2312" w:hAnsi="仿宋_GB2312" w:eastAsia="仿宋_GB2312"/>
          <w:color w:val="FF0000"/>
          <w:sz w:val="32"/>
          <w:szCs w:val="32"/>
        </w:rPr>
      </w:pPr>
      <w:r>
        <w:rPr>
          <w:rFonts w:ascii="仿宋_GB2312" w:hAnsi="仿宋_GB2312" w:eastAsia="仿宋_GB2312"/>
          <w:color w:val="FF0000"/>
          <w:sz w:val="32"/>
          <w:szCs w:val="32"/>
        </w:rPr>
        <w:drawing>
          <wp:anchor distT="0" distB="0" distL="0" distR="0" simplePos="0" relativeHeight="251659264" behindDoc="1" locked="0" layoutInCell="1" allowOverlap="1">
            <wp:simplePos x="0" y="0"/>
            <wp:positionH relativeFrom="column">
              <wp:posOffset>963295</wp:posOffset>
            </wp:positionH>
            <wp:positionV relativeFrom="paragraph">
              <wp:posOffset>143510</wp:posOffset>
            </wp:positionV>
            <wp:extent cx="4228465" cy="2773680"/>
            <wp:effectExtent l="4445" t="4445" r="15240" b="22225"/>
            <wp:wrapNone/>
            <wp:docPr id="2" name="对象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bookmarkStart w:id="21" w:name="_Toc15396605"/>
      <w:bookmarkStart w:id="22" w:name="_Toc15377207"/>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olor w:val="000000"/>
          <w:sz w:val="32"/>
          <w:szCs w:val="32"/>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12"/>
          <w:rFonts w:ascii="黑体" w:hAnsi="黑体" w:eastAsia="黑体"/>
          <w:b w:val="0"/>
          <w:spacing w:val="0"/>
          <w:w w:val="100"/>
        </w:rPr>
      </w:pPr>
      <w:r>
        <w:rPr>
          <w:rFonts w:hint="eastAsia" w:ascii="黑体" w:hAnsi="黑体" w:eastAsia="黑体"/>
          <w:color w:val="000000"/>
          <w:spacing w:val="0"/>
          <w:w w:val="100"/>
          <w:sz w:val="32"/>
          <w:szCs w:val="32"/>
          <w:lang w:eastAsia="zh-CN"/>
        </w:rPr>
        <w:t>三、</w:t>
      </w:r>
      <w:r>
        <w:rPr>
          <w:rFonts w:ascii="黑体" w:hAnsi="黑体" w:eastAsia="黑体"/>
          <w:color w:val="000000"/>
          <w:spacing w:val="0"/>
          <w:w w:val="100"/>
          <w:sz w:val="32"/>
          <w:szCs w:val="32"/>
        </w:rPr>
        <w:t>支</w:t>
      </w:r>
      <w:r>
        <w:rPr>
          <w:rStyle w:val="12"/>
          <w:rFonts w:ascii="黑体" w:hAnsi="黑体" w:eastAsia="黑体"/>
          <w:b w:val="0"/>
          <w:spacing w:val="0"/>
          <w:w w:val="100"/>
        </w:rPr>
        <w:t>出决算情况说明</w:t>
      </w:r>
      <w:bookmarkEnd w:id="21"/>
      <w:bookmarkEnd w:id="22"/>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color w:val="000000"/>
          <w:spacing w:val="-6"/>
          <w:w w:val="99"/>
          <w:sz w:val="32"/>
          <w:szCs w:val="32"/>
        </w:rPr>
      </w:pPr>
      <w:r>
        <w:rPr>
          <w:rFonts w:hint="eastAsia" w:ascii="仿宋_GB2312" w:hAnsi="仿宋_GB2312" w:eastAsia="仿宋_GB2312" w:cs="仿宋_GB2312"/>
          <w:color w:val="000000"/>
          <w:spacing w:val="0"/>
          <w:w w:val="100"/>
          <w:sz w:val="32"/>
          <w:szCs w:val="32"/>
        </w:rPr>
        <w:t>2020年本年支出合计327.80万元，其中：基本支出327.80万元，占100%；项目支出0万元，占0%；上缴上级支出0万元，占0%；经营支出0万元，占0%；对附属单位补助支出0万元，</w:t>
      </w:r>
      <w:r>
        <w:rPr>
          <w:rFonts w:hint="eastAsia" w:ascii="仿宋_GB2312" w:hAnsi="仿宋_GB2312" w:eastAsia="仿宋_GB2312" w:cs="仿宋_GB2312"/>
          <w:color w:val="000000"/>
          <w:spacing w:val="-6"/>
          <w:w w:val="99"/>
          <w:sz w:val="32"/>
          <w:szCs w:val="32"/>
        </w:rPr>
        <w:t>占0%。</w:t>
      </w:r>
    </w:p>
    <w:p>
      <w:pPr>
        <w:pStyle w:val="11"/>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（图3：支出决算结构图）（饼状图）</w:t>
      </w:r>
    </w:p>
    <w:p>
      <w:pPr>
        <w:pStyle w:val="11"/>
        <w:spacing w:line="600" w:lineRule="exact"/>
        <w:jc w:val="center"/>
        <w:rPr>
          <w:rFonts w:hint="eastAsia" w:ascii="黑体" w:hAnsi="黑体" w:eastAsia="黑体" w:cs="黑体"/>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0" distR="0" simplePos="0" relativeHeight="251658240" behindDoc="1" locked="0" layoutInCell="1" allowOverlap="1">
            <wp:simplePos x="0" y="0"/>
            <wp:positionH relativeFrom="column">
              <wp:posOffset>657225</wp:posOffset>
            </wp:positionH>
            <wp:positionV relativeFrom="paragraph">
              <wp:posOffset>231140</wp:posOffset>
            </wp:positionV>
            <wp:extent cx="4345305" cy="2742565"/>
            <wp:effectExtent l="4445" t="4445" r="12700" b="15240"/>
            <wp:wrapNone/>
            <wp:docPr id="3" name="对象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firstLineChars="200"/>
        <w:textAlignment w:val="auto"/>
        <w:outlineLvl w:val="1"/>
        <w:rPr>
          <w:rStyle w:val="12"/>
          <w:rFonts w:hint="eastAsia" w:ascii="黑体" w:hAnsi="黑体" w:eastAsia="黑体" w:cs="黑体"/>
          <w:b w:val="0"/>
          <w:color w:val="000000" w:themeColor="text1"/>
          <w14:textFill>
            <w14:solidFill>
              <w14:schemeClr w14:val="tx1"/>
            </w14:solidFill>
          </w14:textFill>
        </w:rPr>
      </w:pPr>
      <w:bookmarkStart w:id="23" w:name="_Toc15396606"/>
      <w:bookmarkStart w:id="24" w:name="_Toc15377208"/>
      <w:r>
        <w:rPr>
          <w:rFonts w:hint="eastAsia" w:ascii="黑体" w:hAnsi="黑体" w:eastAsia="黑体" w:cs="黑体"/>
          <w:color w:val="000000" w:themeColor="text1"/>
          <w:sz w:val="32"/>
          <w:szCs w:val="32"/>
          <w14:textFill>
            <w14:solidFill>
              <w14:schemeClr w14:val="tx1"/>
            </w14:solidFill>
          </w14:textFill>
        </w:rPr>
        <w:t>四、财</w:t>
      </w:r>
      <w:r>
        <w:rPr>
          <w:rStyle w:val="12"/>
          <w:rFonts w:hint="eastAsia" w:ascii="黑体" w:hAnsi="黑体" w:eastAsia="黑体" w:cs="黑体"/>
          <w:b w:val="0"/>
          <w:color w:val="000000" w:themeColor="text1"/>
          <w14:textFill>
            <w14:solidFill>
              <w14:schemeClr w14:val="tx1"/>
            </w14:solidFill>
          </w14:textFill>
        </w:rPr>
        <w:t>政拨款收入支出决算总体情况说明</w:t>
      </w:r>
      <w:bookmarkEnd w:id="23"/>
      <w:bookmarkEnd w:id="24"/>
    </w:p>
    <w:p>
      <w:pPr>
        <w:pStyle w:val="11"/>
        <w:keepNext w:val="0"/>
        <w:keepLines w:val="0"/>
        <w:pageBreakBefore w:val="0"/>
        <w:widowControl w:val="0"/>
        <w:kinsoku/>
        <w:wordWrap/>
        <w:overflowPunct/>
        <w:topLinePunct w:val="0"/>
        <w:autoSpaceDE/>
        <w:autoSpaceDN/>
        <w:bidi w:val="0"/>
        <w:adjustRightInd/>
        <w:snapToGrid/>
        <w:spacing w:line="700" w:lineRule="exact"/>
        <w:ind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2020年财政拨款收、支总计327.80万元。与2019年相比，财政拨款收、支总计各增加3.72万元，上升1.15%。主要变动原因是人员调入调出和人员职务职级变动。</w:t>
      </w:r>
    </w:p>
    <w:p>
      <w:pPr>
        <w:pStyle w:val="11"/>
        <w:keepNext w:val="0"/>
        <w:keepLines w:val="0"/>
        <w:pageBreakBefore w:val="0"/>
        <w:widowControl w:val="0"/>
        <w:kinsoku/>
        <w:wordWrap/>
        <w:overflowPunct/>
        <w:topLinePunct w:val="0"/>
        <w:autoSpaceDE/>
        <w:autoSpaceDN/>
        <w:bidi w:val="0"/>
        <w:adjustRightInd/>
        <w:snapToGrid/>
        <w:spacing w:line="700" w:lineRule="exact"/>
        <w:ind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（图4：财政拨款收、支决算总计变动情况）（柱状图）</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黑体" w:hAnsi="黑体" w:eastAsia="黑体" w:cs="黑体"/>
          <w:color w:val="000000" w:themeColor="text1"/>
          <w:sz w:val="32"/>
          <w:szCs w:val="32"/>
          <w14:textFill>
            <w14:solidFill>
              <w14:schemeClr w14:val="tx1"/>
            </w14:solidFill>
          </w14:textFill>
        </w:rPr>
      </w:pPr>
    </w:p>
    <w:p>
      <w:pPr>
        <w:pStyle w:val="11"/>
        <w:ind w:firstLine="641"/>
        <w:jc w:val="center"/>
        <w:rPr>
          <w:rFonts w:ascii="仿宋" w:hAnsi="仿宋" w:eastAsia="仿宋"/>
          <w:b/>
          <w:color w:val="00B050"/>
          <w:sz w:val="32"/>
          <w:szCs w:val="32"/>
        </w:rPr>
      </w:pPr>
      <w:r>
        <w:rPr>
          <w:rFonts w:ascii="仿宋" w:hAnsi="仿宋" w:eastAsia="仿宋"/>
          <w:b/>
          <w:color w:val="00B050"/>
          <w:sz w:val="32"/>
          <w:szCs w:val="32"/>
        </w:rPr>
        <w:drawing>
          <wp:inline distT="0" distB="0" distL="0" distR="0">
            <wp:extent cx="4171315" cy="2900680"/>
            <wp:effectExtent l="4445" t="5080" r="15240" b="8890"/>
            <wp:docPr id="4" name="对象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Chars="200"/>
        <w:textAlignment w:val="auto"/>
        <w:outlineLvl w:val="1"/>
        <w:rPr>
          <w:rFonts w:hint="eastAsia" w:ascii="黑体" w:hAnsi="黑体" w:eastAsia="黑体" w:cs="黑体"/>
          <w:color w:val="000000"/>
          <w:sz w:val="32"/>
          <w:szCs w:val="32"/>
        </w:rPr>
      </w:pPr>
      <w:bookmarkStart w:id="25" w:name="_Toc15396607"/>
      <w:bookmarkStart w:id="26" w:name="_Toc15377209"/>
    </w:p>
    <w:p>
      <w:pPr>
        <w:pStyle w:val="11"/>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Chars="200"/>
        <w:textAlignment w:val="auto"/>
        <w:outlineLvl w:val="1"/>
        <w:rPr>
          <w:rStyle w:val="12"/>
          <w:rFonts w:hint="eastAsia" w:ascii="黑体" w:hAnsi="黑体" w:eastAsia="黑体" w:cs="黑体"/>
          <w:b w:val="0"/>
        </w:rPr>
      </w:pPr>
      <w:r>
        <w:rPr>
          <w:rFonts w:hint="eastAsia" w:ascii="黑体" w:hAnsi="黑体" w:eastAsia="黑体" w:cs="黑体"/>
          <w:color w:val="000000"/>
          <w:sz w:val="32"/>
          <w:szCs w:val="32"/>
        </w:rPr>
        <w:t>五、</w:t>
      </w:r>
      <w:r>
        <w:rPr>
          <w:rFonts w:hint="eastAsia" w:ascii="黑体" w:hAnsi="黑体" w:eastAsia="黑体" w:cs="黑体"/>
          <w:b/>
          <w:color w:val="000000"/>
          <w:sz w:val="32"/>
          <w:szCs w:val="32"/>
        </w:rPr>
        <w:t>一</w:t>
      </w:r>
      <w:r>
        <w:rPr>
          <w:rStyle w:val="12"/>
          <w:rFonts w:hint="eastAsia" w:ascii="黑体" w:hAnsi="黑体" w:eastAsia="黑体" w:cs="黑体"/>
          <w:b w:val="0"/>
        </w:rPr>
        <w:t>般公共预算财政拨款支出决算情况说明</w:t>
      </w:r>
      <w:bookmarkEnd w:id="25"/>
      <w:bookmarkEnd w:id="26"/>
    </w:p>
    <w:p>
      <w:pPr>
        <w:pStyle w:val="11"/>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firstLineChars="200"/>
        <w:textAlignment w:val="auto"/>
        <w:outlineLvl w:val="2"/>
        <w:rPr>
          <w:rFonts w:hint="eastAsia" w:ascii="楷体_GB2312" w:hAnsi="楷体_GB2312" w:eastAsia="楷体_GB2312" w:cs="楷体_GB2312"/>
          <w:b/>
          <w:bCs w:val="0"/>
          <w:color w:val="000000"/>
          <w:sz w:val="32"/>
          <w:szCs w:val="32"/>
        </w:rPr>
      </w:pPr>
      <w:bookmarkStart w:id="27" w:name="_Toc15377210"/>
      <w:r>
        <w:rPr>
          <w:rFonts w:hint="eastAsia" w:ascii="楷体_GB2312" w:hAnsi="楷体_GB2312" w:eastAsia="楷体_GB2312" w:cs="楷体_GB2312"/>
          <w:b/>
          <w:bCs w:val="0"/>
          <w:color w:val="000000"/>
          <w:sz w:val="32"/>
          <w:szCs w:val="32"/>
        </w:rPr>
        <w:t>（一）一般公共预算财政拨款支出决算总体情况</w:t>
      </w:r>
      <w:bookmarkEnd w:id="27"/>
    </w:p>
    <w:p>
      <w:pPr>
        <w:pStyle w:val="11"/>
        <w:keepNext w:val="0"/>
        <w:keepLines w:val="0"/>
        <w:pageBreakBefore w:val="0"/>
        <w:widowControl w:val="0"/>
        <w:kinsoku/>
        <w:wordWrap/>
        <w:overflowPunct/>
        <w:topLinePunct w:val="0"/>
        <w:autoSpaceDE/>
        <w:autoSpaceDN/>
        <w:bidi w:val="0"/>
        <w:adjustRightInd/>
        <w:snapToGrid/>
        <w:spacing w:line="660" w:lineRule="exact"/>
        <w:ind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2020年一般公共预算财政拨款支出327.80万元，占本年支出合计的100%。与2019年相比，一般公共预算财政拨款增加3.72万元，上升1.15%。主要变动原因是人员调入调出和人员职务职级变动</w:t>
      </w:r>
    </w:p>
    <w:p>
      <w:pPr>
        <w:pStyle w:val="11"/>
        <w:keepNext w:val="0"/>
        <w:keepLines w:val="0"/>
        <w:pageBreakBefore w:val="0"/>
        <w:widowControl w:val="0"/>
        <w:kinsoku/>
        <w:wordWrap/>
        <w:overflowPunct/>
        <w:topLinePunct w:val="0"/>
        <w:autoSpaceDE/>
        <w:autoSpaceDN/>
        <w:bidi w:val="0"/>
        <w:adjustRightInd/>
        <w:snapToGrid/>
        <w:spacing w:line="660" w:lineRule="exact"/>
        <w:ind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（图5：一般公共预算财政拨款支出决算变动情况）（柱状图）</w:t>
      </w:r>
    </w:p>
    <w:p>
      <w:pPr>
        <w:pStyle w:val="11"/>
        <w:ind w:firstLineChars="200"/>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4285615" cy="1999615"/>
            <wp:effectExtent l="0" t="0" r="0" b="0"/>
            <wp:docPr id="5" name="对象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Chars="200"/>
        <w:textAlignment w:val="auto"/>
        <w:outlineLvl w:val="2"/>
        <w:rPr>
          <w:rFonts w:hint="eastAsia" w:ascii="楷体_GB2312" w:hAnsi="楷体_GB2312" w:eastAsia="楷体_GB2312" w:cs="楷体_GB2312"/>
          <w:b/>
          <w:bCs w:val="0"/>
          <w:color w:val="000000"/>
          <w:sz w:val="32"/>
          <w:szCs w:val="32"/>
        </w:rPr>
      </w:pPr>
      <w:bookmarkStart w:id="28" w:name="_Toc15377211"/>
      <w:r>
        <w:rPr>
          <w:rFonts w:hint="eastAsia" w:ascii="楷体_GB2312" w:hAnsi="楷体_GB2312" w:eastAsia="楷体_GB2312" w:cs="楷体_GB2312"/>
          <w:b/>
          <w:bCs w:val="0"/>
          <w:color w:val="000000"/>
          <w:sz w:val="32"/>
          <w:szCs w:val="32"/>
        </w:rPr>
        <w:t>（二）一般公共预算财政拨款支出决算结构情况</w:t>
      </w:r>
      <w:bookmarkEnd w:id="28"/>
    </w:p>
    <w:p>
      <w:pPr>
        <w:pStyle w:val="11"/>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政拨款支出327.80万元，主要用于以下方面: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支出254.70万元，占77.7%；</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themeColor="text1"/>
          <w:sz w:val="32"/>
          <w:szCs w:val="32"/>
          <w14:textFill>
            <w14:solidFill>
              <w14:schemeClr w14:val="tx1"/>
            </w14:solidFill>
          </w14:textFill>
        </w:rPr>
        <w:t>0万元，占0%；</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bCs/>
          <w:color w:val="000000" w:themeColor="text1"/>
          <w:sz w:val="32"/>
          <w:szCs w:val="32"/>
          <w14:textFill>
            <w14:solidFill>
              <w14:schemeClr w14:val="tx1"/>
            </w14:solidFill>
          </w14:textFill>
        </w:rPr>
        <w:t>文化旅游体育与传媒（类）支出0万元，占0%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支出20.10万元，占6.13%；</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卫生健康支出21</w:t>
      </w:r>
      <w:r>
        <w:rPr>
          <w:rFonts w:hint="eastAsia" w:ascii="仿宋_GB2312" w:hAnsi="仿宋_GB2312" w:eastAsia="仿宋_GB2312" w:cs="仿宋_GB2312"/>
          <w:color w:val="000000" w:themeColor="text1"/>
          <w:sz w:val="32"/>
          <w:szCs w:val="32"/>
          <w14:textFill>
            <w14:solidFill>
              <w14:schemeClr w14:val="tx1"/>
            </w14:solidFill>
          </w14:textFill>
        </w:rPr>
        <w:t>.97万元，占6.7%；住房保障支出31.03万元，占9.47%。</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pStyle w:val="11"/>
        <w:rPr>
          <w:rFonts w:ascii="仿宋" w:hAnsi="仿宋" w:eastAsia="仿宋"/>
          <w:color w:val="000000"/>
          <w:sz w:val="32"/>
          <w:szCs w:val="32"/>
        </w:rPr>
      </w:pPr>
      <w:r>
        <w:drawing>
          <wp:anchor distT="0" distB="0" distL="0" distR="0" simplePos="0" relativeHeight="251660288" behindDoc="1" locked="0" layoutInCell="1" allowOverlap="1">
            <wp:simplePos x="0" y="0"/>
            <wp:positionH relativeFrom="column">
              <wp:posOffset>788670</wp:posOffset>
            </wp:positionH>
            <wp:positionV relativeFrom="paragraph">
              <wp:posOffset>276225</wp:posOffset>
            </wp:positionV>
            <wp:extent cx="4170680" cy="2821305"/>
            <wp:effectExtent l="4445" t="4445" r="15875" b="12700"/>
            <wp:wrapTight wrapText="bothSides">
              <wp:wrapPolygon>
                <wp:start x="-23" y="-34"/>
                <wp:lineTo x="-23" y="21551"/>
                <wp:lineTo x="21485" y="21551"/>
                <wp:lineTo x="21485" y="-34"/>
                <wp:lineTo x="-23" y="-34"/>
              </wp:wrapPolygon>
            </wp:wrapTight>
            <wp:docPr id="6" name="对象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jc w:val="center"/>
        <w:rPr>
          <w:rFonts w:ascii="仿宋" w:hAnsi="仿宋" w:eastAsia="仿宋"/>
          <w:color w:val="000000"/>
          <w:sz w:val="32"/>
          <w:szCs w:val="32"/>
        </w:rPr>
      </w:pPr>
    </w:p>
    <w:p>
      <w:pPr>
        <w:pStyle w:val="11"/>
        <w:keepNext w:val="0"/>
        <w:keepLines w:val="0"/>
        <w:pageBreakBefore w:val="0"/>
        <w:widowControl w:val="0"/>
        <w:numPr>
          <w:ilvl w:val="0"/>
          <w:numId w:val="0"/>
        </w:numPr>
        <w:kinsoku/>
        <w:wordWrap/>
        <w:overflowPunct/>
        <w:topLinePunct w:val="0"/>
        <w:bidi w:val="0"/>
        <w:adjustRightInd/>
        <w:snapToGrid/>
        <w:spacing w:beforeLines="0" w:afterLines="0" w:line="560" w:lineRule="exact"/>
        <w:ind w:left="0" w:firstLineChars="200"/>
        <w:jc w:val="both"/>
        <w:textAlignment w:val="auto"/>
        <w:outlineLvl w:val="2"/>
        <w:rPr>
          <w:rFonts w:hint="eastAsia" w:ascii="楷体_GB2312" w:hAnsi="楷体_GB2312" w:eastAsia="楷体_GB2312" w:cs="楷体_GB2312"/>
          <w:b/>
          <w:bCs w:val="0"/>
          <w:i w:val="0"/>
          <w:iCs w:val="0"/>
          <w:color w:val="000000"/>
          <w:sz w:val="32"/>
          <w:szCs w:val="32"/>
          <w:u w:val="none"/>
        </w:rPr>
      </w:pPr>
      <w:bookmarkStart w:id="29" w:name="_Toc15377212"/>
      <w:r>
        <w:rPr>
          <w:rFonts w:hint="eastAsia" w:ascii="楷体_GB2312" w:hAnsi="楷体_GB2312" w:eastAsia="楷体_GB2312" w:cs="楷体_GB2312"/>
          <w:b/>
          <w:bCs w:val="0"/>
          <w:i w:val="0"/>
          <w:iCs w:val="0"/>
          <w:color w:val="000000"/>
          <w:sz w:val="32"/>
          <w:szCs w:val="32"/>
          <w:u w:val="none"/>
        </w:rPr>
        <w:t>（三）一般公共预算财政拨款支出决算具体情况</w:t>
      </w:r>
      <w:bookmarkEnd w:id="29"/>
    </w:p>
    <w:p>
      <w:pPr>
        <w:pStyle w:val="11"/>
        <w:keepNext w:val="0"/>
        <w:keepLines w:val="0"/>
        <w:pageBreakBefore w:val="0"/>
        <w:widowControl w:val="0"/>
        <w:numPr>
          <w:ilvl w:val="0"/>
          <w:numId w:val="0"/>
        </w:numPr>
        <w:kinsoku/>
        <w:wordWrap/>
        <w:overflowPunct/>
        <w:topLinePunct w:val="0"/>
        <w:bidi w:val="0"/>
        <w:adjustRightInd/>
        <w:snapToGrid/>
        <w:spacing w:beforeLines="0" w:afterLines="0" w:line="560" w:lineRule="exact"/>
        <w:ind w:left="0" w:firstLineChars="200"/>
        <w:jc w:val="both"/>
        <w:textAlignment w:val="auto"/>
        <w:outlineLvl w:val="2"/>
        <w:rPr>
          <w:rFonts w:hint="eastAsia" w:ascii="仿宋_GB2312" w:hAnsi="仿宋_GB2312" w:eastAsia="仿宋_GB2312" w:cs="仿宋_GB2312"/>
          <w:i w:val="0"/>
          <w:iCs w:val="0"/>
          <w:color w:val="FF0000"/>
          <w:sz w:val="32"/>
          <w:szCs w:val="32"/>
          <w:u w:val="none"/>
        </w:rPr>
      </w:pPr>
      <w:bookmarkStart w:id="30" w:name="_Toc15377444"/>
      <w:bookmarkStart w:id="31" w:name="_Toc15377213"/>
      <w:bookmarkStart w:id="32" w:name="_Toc15378460"/>
      <w:r>
        <w:rPr>
          <w:rFonts w:hint="eastAsia" w:ascii="仿宋_GB2312" w:hAnsi="仿宋_GB2312" w:eastAsia="仿宋_GB2312" w:cs="仿宋_GB2312"/>
          <w:b/>
          <w:i w:val="0"/>
          <w:iCs w:val="0"/>
          <w:color w:val="000000" w:themeColor="text1"/>
          <w:sz w:val="32"/>
          <w:szCs w:val="32"/>
          <w:u w:val="none"/>
          <w14:textFill>
            <w14:solidFill>
              <w14:schemeClr w14:val="tx1"/>
            </w14:solidFill>
          </w14:textFill>
        </w:rPr>
        <w:t>2020年一般公共预算支出决算数为327.80万元</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w:t>
      </w:r>
      <w:r>
        <w:rPr>
          <w:rStyle w:val="8"/>
          <w:rFonts w:hint="eastAsia" w:ascii="仿宋_GB2312" w:hAnsi="仿宋_GB2312" w:eastAsia="仿宋_GB2312" w:cs="仿宋_GB2312"/>
          <w:bCs/>
          <w:i w:val="0"/>
          <w:iCs w:val="0"/>
          <w:color w:val="000000" w:themeColor="text1"/>
          <w:sz w:val="32"/>
          <w:szCs w:val="32"/>
          <w:u w:val="none"/>
          <w14:textFill>
            <w14:solidFill>
              <w14:schemeClr w14:val="tx1"/>
            </w14:solidFill>
          </w14:textFill>
        </w:rPr>
        <w:t>完成</w:t>
      </w:r>
      <w:r>
        <w:rPr>
          <w:rStyle w:val="8"/>
          <w:rFonts w:hint="eastAsia" w:ascii="仿宋_GB2312" w:hAnsi="仿宋_GB2312" w:eastAsia="仿宋_GB2312" w:cs="仿宋_GB2312"/>
          <w:bCs/>
          <w:i w:val="0"/>
          <w:iCs w:val="0"/>
          <w:color w:val="000000"/>
          <w:sz w:val="32"/>
          <w:szCs w:val="32"/>
          <w:u w:val="none"/>
        </w:rPr>
        <w:t>预算94%。其中：</w:t>
      </w:r>
      <w:bookmarkEnd w:id="30"/>
      <w:bookmarkEnd w:id="31"/>
      <w:bookmarkEnd w:id="32"/>
    </w:p>
    <w:p>
      <w:pPr>
        <w:pStyle w:val="11"/>
        <w:keepNext w:val="0"/>
        <w:keepLines w:val="0"/>
        <w:pageBreakBefore w:val="0"/>
        <w:widowControl w:val="0"/>
        <w:kinsoku/>
        <w:wordWrap/>
        <w:overflowPunct/>
        <w:topLinePunct w:val="0"/>
        <w:bidi w:val="0"/>
        <w:adjustRightInd/>
        <w:snapToGrid/>
        <w:spacing w:beforeLines="0" w:afterLines="0" w:line="560" w:lineRule="exact"/>
        <w:ind w:firstLineChars="200"/>
        <w:jc w:val="both"/>
        <w:textAlignment w:val="auto"/>
        <w:rPr>
          <w:rStyle w:val="8"/>
          <w:rFonts w:hint="eastAsia" w:ascii="仿宋_GB2312" w:hAnsi="仿宋_GB2312" w:eastAsia="仿宋_GB2312" w:cs="仿宋_GB2312"/>
          <w:b w:val="0"/>
          <w:bCs/>
          <w:i w:val="0"/>
          <w:iCs w:val="0"/>
          <w:color w:val="000000"/>
          <w:sz w:val="32"/>
          <w:szCs w:val="32"/>
          <w:u w:val="none"/>
        </w:rPr>
      </w:pPr>
      <w:r>
        <w:rPr>
          <w:rStyle w:val="8"/>
          <w:rFonts w:hint="eastAsia" w:ascii="仿宋_GB2312" w:hAnsi="仿宋_GB2312" w:eastAsia="仿宋_GB2312" w:cs="仿宋_GB2312"/>
          <w:bCs/>
          <w:i w:val="0"/>
          <w:iCs w:val="0"/>
          <w:color w:val="000000"/>
          <w:sz w:val="32"/>
          <w:szCs w:val="32"/>
          <w:u w:val="none"/>
        </w:rPr>
        <w:t>1.公共安全支出（类）司法（款）行政运行（项）:</w:t>
      </w:r>
      <w:r>
        <w:rPr>
          <w:rStyle w:val="8"/>
          <w:rFonts w:hint="eastAsia" w:ascii="仿宋_GB2312" w:hAnsi="仿宋_GB2312" w:eastAsia="仿宋_GB2312" w:cs="仿宋_GB2312"/>
          <w:b w:val="0"/>
          <w:bCs/>
          <w:i w:val="0"/>
          <w:iCs w:val="0"/>
          <w:color w:val="000000"/>
          <w:sz w:val="32"/>
          <w:szCs w:val="32"/>
          <w:u w:val="none"/>
        </w:rPr>
        <w:t xml:space="preserve"> 支出决算为254.70万元，完成预算96%；</w:t>
      </w:r>
    </w:p>
    <w:p>
      <w:pPr>
        <w:pStyle w:val="11"/>
        <w:keepNext w:val="0"/>
        <w:keepLines w:val="0"/>
        <w:pageBreakBefore w:val="0"/>
        <w:widowControl w:val="0"/>
        <w:kinsoku/>
        <w:wordWrap/>
        <w:overflowPunct/>
        <w:topLinePunct w:val="0"/>
        <w:bidi w:val="0"/>
        <w:adjustRightInd/>
        <w:snapToGrid/>
        <w:spacing w:beforeLines="0" w:afterLines="0" w:line="560" w:lineRule="exact"/>
        <w:ind w:firstLineChars="200"/>
        <w:jc w:val="both"/>
        <w:textAlignment w:val="auto"/>
        <w:rPr>
          <w:rStyle w:val="8"/>
          <w:rFonts w:hint="eastAsia" w:ascii="仿宋_GB2312" w:hAnsi="仿宋_GB2312" w:eastAsia="仿宋_GB2312" w:cs="仿宋_GB2312"/>
          <w:b w:val="0"/>
          <w:bCs/>
          <w:i w:val="0"/>
          <w:iCs w:val="0"/>
          <w:color w:val="000000"/>
          <w:sz w:val="32"/>
          <w:szCs w:val="32"/>
          <w:u w:val="none"/>
          <w:lang w:eastAsia="zh-CN"/>
        </w:rPr>
      </w:pPr>
      <w:r>
        <w:rPr>
          <w:rStyle w:val="8"/>
          <w:rFonts w:hint="eastAsia" w:ascii="仿宋_GB2312" w:hAnsi="仿宋_GB2312" w:eastAsia="仿宋_GB2312" w:cs="仿宋_GB2312"/>
          <w:bCs/>
          <w:i w:val="0"/>
          <w:iCs w:val="0"/>
          <w:color w:val="000000"/>
          <w:sz w:val="32"/>
          <w:szCs w:val="32"/>
          <w:u w:val="none"/>
        </w:rPr>
        <w:t>2.社会保障和就业（类）行政事业单位养老支出（款）机关事业单位养老保险缴费支出（项）:</w:t>
      </w:r>
      <w:r>
        <w:rPr>
          <w:rStyle w:val="8"/>
          <w:rFonts w:hint="eastAsia" w:ascii="仿宋_GB2312" w:hAnsi="仿宋_GB2312" w:eastAsia="仿宋_GB2312" w:cs="仿宋_GB2312"/>
          <w:b w:val="0"/>
          <w:bCs/>
          <w:i w:val="0"/>
          <w:iCs w:val="0"/>
          <w:color w:val="000000"/>
          <w:sz w:val="32"/>
          <w:szCs w:val="32"/>
          <w:u w:val="none"/>
        </w:rPr>
        <w:t xml:space="preserve"> 支出决算为</w:t>
      </w:r>
      <w:r>
        <w:rPr>
          <w:rStyle w:val="8"/>
          <w:rFonts w:hint="eastAsia" w:ascii="仿宋_GB2312" w:hAnsi="仿宋_GB2312" w:eastAsia="仿宋_GB2312" w:cs="仿宋_GB2312"/>
          <w:b w:val="0"/>
          <w:bCs/>
          <w:i w:val="0"/>
          <w:iCs w:val="0"/>
          <w:color w:val="000000"/>
          <w:sz w:val="32"/>
          <w:szCs w:val="32"/>
          <w:u w:val="none"/>
          <w:lang w:val="en-US" w:eastAsia="zh-CN"/>
        </w:rPr>
        <w:t>17.38</w:t>
      </w:r>
      <w:r>
        <w:rPr>
          <w:rStyle w:val="8"/>
          <w:rFonts w:hint="eastAsia" w:ascii="仿宋_GB2312" w:hAnsi="仿宋_GB2312" w:eastAsia="仿宋_GB2312" w:cs="仿宋_GB2312"/>
          <w:b w:val="0"/>
          <w:bCs/>
          <w:i w:val="0"/>
          <w:iCs w:val="0"/>
          <w:color w:val="000000"/>
          <w:sz w:val="32"/>
          <w:szCs w:val="32"/>
          <w:u w:val="none"/>
        </w:rPr>
        <w:t>万元，完成预算7</w:t>
      </w:r>
      <w:r>
        <w:rPr>
          <w:rStyle w:val="8"/>
          <w:rFonts w:hint="eastAsia" w:ascii="仿宋_GB2312" w:hAnsi="仿宋_GB2312" w:eastAsia="仿宋_GB2312" w:cs="仿宋_GB2312"/>
          <w:b w:val="0"/>
          <w:bCs/>
          <w:i w:val="0"/>
          <w:iCs w:val="0"/>
          <w:color w:val="000000"/>
          <w:sz w:val="32"/>
          <w:szCs w:val="32"/>
          <w:u w:val="none"/>
          <w:lang w:val="en-US" w:eastAsia="zh-CN"/>
        </w:rPr>
        <w:t>0</w:t>
      </w:r>
      <w:r>
        <w:rPr>
          <w:rStyle w:val="8"/>
          <w:rFonts w:hint="eastAsia" w:ascii="仿宋_GB2312" w:hAnsi="仿宋_GB2312" w:eastAsia="仿宋_GB2312" w:cs="仿宋_GB2312"/>
          <w:b w:val="0"/>
          <w:bCs/>
          <w:i w:val="0"/>
          <w:iCs w:val="0"/>
          <w:color w:val="000000"/>
          <w:sz w:val="32"/>
          <w:szCs w:val="32"/>
          <w:u w:val="none"/>
        </w:rPr>
        <w:t>%</w:t>
      </w:r>
      <w:r>
        <w:rPr>
          <w:rStyle w:val="8"/>
          <w:rFonts w:hint="eastAsia" w:ascii="仿宋_GB2312" w:hAnsi="仿宋_GB2312" w:eastAsia="仿宋_GB2312" w:cs="仿宋_GB2312"/>
          <w:b w:val="0"/>
          <w:bCs/>
          <w:i w:val="0"/>
          <w:iCs w:val="0"/>
          <w:color w:val="000000"/>
          <w:sz w:val="32"/>
          <w:szCs w:val="32"/>
          <w:u w:val="none"/>
          <w:lang w:eastAsia="zh-CN"/>
        </w:rPr>
        <w:t>；</w:t>
      </w:r>
    </w:p>
    <w:p>
      <w:pPr>
        <w:pStyle w:val="11"/>
        <w:keepNext w:val="0"/>
        <w:keepLines w:val="0"/>
        <w:pageBreakBefore w:val="0"/>
        <w:widowControl w:val="0"/>
        <w:kinsoku/>
        <w:wordWrap/>
        <w:overflowPunct/>
        <w:topLinePunct w:val="0"/>
        <w:bidi w:val="0"/>
        <w:adjustRightInd/>
        <w:snapToGrid/>
        <w:spacing w:beforeLines="0" w:afterLines="0" w:line="560" w:lineRule="exact"/>
        <w:ind w:firstLineChars="200"/>
        <w:jc w:val="both"/>
        <w:textAlignment w:val="auto"/>
        <w:rPr>
          <w:rFonts w:hint="eastAsia" w:ascii="仿宋_GB2312" w:hAnsi="仿宋_GB2312" w:eastAsia="仿宋_GB2312" w:cs="仿宋_GB2312"/>
          <w:b/>
          <w:i w:val="0"/>
          <w:iCs w:val="0"/>
          <w:color w:val="000000"/>
          <w:sz w:val="32"/>
          <w:szCs w:val="32"/>
          <w:u w:val="none"/>
        </w:rPr>
      </w:pPr>
      <w:r>
        <w:rPr>
          <w:rStyle w:val="8"/>
          <w:rFonts w:hint="eastAsia" w:ascii="仿宋_GB2312" w:hAnsi="仿宋_GB2312" w:eastAsia="仿宋_GB2312" w:cs="仿宋_GB2312"/>
          <w:bCs/>
          <w:i w:val="0"/>
          <w:iCs w:val="0"/>
          <w:color w:val="000000"/>
          <w:sz w:val="32"/>
          <w:szCs w:val="32"/>
          <w:u w:val="none"/>
          <w:lang w:val="en-US" w:eastAsia="zh-CN"/>
        </w:rPr>
        <w:t>3</w:t>
      </w:r>
      <w:r>
        <w:rPr>
          <w:rStyle w:val="8"/>
          <w:rFonts w:hint="eastAsia" w:ascii="仿宋_GB2312" w:hAnsi="仿宋_GB2312" w:eastAsia="仿宋_GB2312" w:cs="仿宋_GB2312"/>
          <w:bCs/>
          <w:i w:val="0"/>
          <w:iCs w:val="0"/>
          <w:color w:val="000000"/>
          <w:sz w:val="32"/>
          <w:szCs w:val="32"/>
          <w:u w:val="none"/>
        </w:rPr>
        <w:t>.社会保障和就业（类）行政事业单位养老支出（款）事业单位离退休（项）:</w:t>
      </w:r>
      <w:r>
        <w:rPr>
          <w:rStyle w:val="8"/>
          <w:rFonts w:hint="eastAsia" w:ascii="仿宋_GB2312" w:hAnsi="仿宋_GB2312" w:eastAsia="仿宋_GB2312" w:cs="仿宋_GB2312"/>
          <w:b w:val="0"/>
          <w:bCs/>
          <w:i w:val="0"/>
          <w:iCs w:val="0"/>
          <w:color w:val="000000"/>
          <w:sz w:val="32"/>
          <w:szCs w:val="32"/>
          <w:u w:val="none"/>
        </w:rPr>
        <w:t xml:space="preserve"> 支出决算为2.</w:t>
      </w:r>
      <w:r>
        <w:rPr>
          <w:rStyle w:val="8"/>
          <w:rFonts w:hint="eastAsia" w:ascii="仿宋_GB2312" w:hAnsi="仿宋_GB2312" w:eastAsia="仿宋_GB2312" w:cs="仿宋_GB2312"/>
          <w:b w:val="0"/>
          <w:bCs/>
          <w:i w:val="0"/>
          <w:iCs w:val="0"/>
          <w:color w:val="000000"/>
          <w:sz w:val="32"/>
          <w:szCs w:val="32"/>
          <w:u w:val="none"/>
          <w:lang w:val="en-US" w:eastAsia="zh-CN"/>
        </w:rPr>
        <w:t>72</w:t>
      </w:r>
      <w:r>
        <w:rPr>
          <w:rStyle w:val="8"/>
          <w:rFonts w:hint="eastAsia" w:ascii="仿宋_GB2312" w:hAnsi="仿宋_GB2312" w:eastAsia="仿宋_GB2312" w:cs="仿宋_GB2312"/>
          <w:b w:val="0"/>
          <w:bCs/>
          <w:i w:val="0"/>
          <w:iCs w:val="0"/>
          <w:color w:val="000000"/>
          <w:sz w:val="32"/>
          <w:szCs w:val="32"/>
          <w:u w:val="none"/>
        </w:rPr>
        <w:t>万元，完成预算100%；</w:t>
      </w:r>
    </w:p>
    <w:p>
      <w:pPr>
        <w:pStyle w:val="21"/>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Style w:val="8"/>
          <w:rFonts w:hint="eastAsia" w:ascii="仿宋_GB2312" w:hAnsi="仿宋_GB2312" w:eastAsia="仿宋_GB2312" w:cs="仿宋_GB2312"/>
          <w:b w:val="0"/>
          <w:bCs/>
          <w:i w:val="0"/>
          <w:iCs w:val="0"/>
          <w:color w:val="000000"/>
          <w:sz w:val="32"/>
          <w:szCs w:val="32"/>
          <w:u w:val="none"/>
        </w:rPr>
      </w:pPr>
      <w:r>
        <w:rPr>
          <w:rStyle w:val="8"/>
          <w:rFonts w:hint="eastAsia" w:ascii="仿宋_GB2312" w:hAnsi="仿宋_GB2312" w:eastAsia="仿宋_GB2312" w:cs="仿宋_GB2312"/>
          <w:bCs/>
          <w:i w:val="0"/>
          <w:iCs w:val="0"/>
          <w:color w:val="000000"/>
          <w:sz w:val="32"/>
          <w:szCs w:val="32"/>
          <w:u w:val="none"/>
          <w:lang w:val="en-US" w:eastAsia="zh-CN"/>
        </w:rPr>
        <w:t>4</w:t>
      </w:r>
      <w:r>
        <w:rPr>
          <w:rStyle w:val="8"/>
          <w:rFonts w:hint="eastAsia" w:ascii="仿宋_GB2312" w:hAnsi="仿宋_GB2312" w:eastAsia="仿宋_GB2312" w:cs="仿宋_GB2312"/>
          <w:bCs/>
          <w:i w:val="0"/>
          <w:iCs w:val="0"/>
          <w:color w:val="000000"/>
          <w:sz w:val="32"/>
          <w:szCs w:val="32"/>
          <w:u w:val="none"/>
        </w:rPr>
        <w:t>.</w:t>
      </w:r>
      <w:r>
        <w:rPr>
          <w:rFonts w:hint="eastAsia" w:ascii="仿宋_GB2312" w:hAnsi="仿宋_GB2312" w:eastAsia="仿宋_GB2312" w:cs="仿宋_GB2312"/>
          <w:b/>
          <w:bCs/>
          <w:i w:val="0"/>
          <w:iCs w:val="0"/>
          <w:color w:val="000000" w:themeColor="text1"/>
          <w:sz w:val="32"/>
          <w:szCs w:val="32"/>
          <w:u w:val="none"/>
          <w14:textFill>
            <w14:solidFill>
              <w14:schemeClr w14:val="tx1"/>
            </w14:solidFill>
          </w14:textFill>
        </w:rPr>
        <w:t>卫生健康</w:t>
      </w:r>
      <w:r>
        <w:rPr>
          <w:rStyle w:val="8"/>
          <w:rFonts w:hint="eastAsia" w:ascii="仿宋_GB2312" w:hAnsi="仿宋_GB2312" w:eastAsia="仿宋_GB2312" w:cs="仿宋_GB2312"/>
          <w:bCs/>
          <w:i w:val="0"/>
          <w:iCs w:val="0"/>
          <w:color w:val="000000"/>
          <w:sz w:val="32"/>
          <w:szCs w:val="32"/>
          <w:u w:val="none"/>
        </w:rPr>
        <w:t>（类）行政事业单位医疗（款）行政单位医疗（项）:</w:t>
      </w:r>
      <w:r>
        <w:rPr>
          <w:rStyle w:val="8"/>
          <w:rFonts w:hint="eastAsia" w:ascii="仿宋_GB2312" w:hAnsi="仿宋_GB2312" w:eastAsia="仿宋_GB2312" w:cs="仿宋_GB2312"/>
          <w:b w:val="0"/>
          <w:bCs/>
          <w:i w:val="0"/>
          <w:iCs w:val="0"/>
          <w:color w:val="000000"/>
          <w:sz w:val="32"/>
          <w:szCs w:val="32"/>
          <w:u w:val="none"/>
        </w:rPr>
        <w:t>支出决算为</w:t>
      </w:r>
      <w:r>
        <w:rPr>
          <w:rStyle w:val="8"/>
          <w:rFonts w:hint="eastAsia" w:ascii="仿宋_GB2312" w:hAnsi="仿宋_GB2312" w:eastAsia="仿宋_GB2312" w:cs="仿宋_GB2312"/>
          <w:b w:val="0"/>
          <w:bCs/>
          <w:i w:val="0"/>
          <w:iCs w:val="0"/>
          <w:color w:val="000000"/>
          <w:sz w:val="32"/>
          <w:szCs w:val="32"/>
          <w:u w:val="none"/>
          <w:lang w:val="en-US" w:eastAsia="zh-CN"/>
        </w:rPr>
        <w:t>18.66</w:t>
      </w:r>
      <w:r>
        <w:rPr>
          <w:rStyle w:val="8"/>
          <w:rFonts w:hint="eastAsia" w:ascii="仿宋_GB2312" w:hAnsi="仿宋_GB2312" w:eastAsia="仿宋_GB2312" w:cs="仿宋_GB2312"/>
          <w:b w:val="0"/>
          <w:bCs/>
          <w:i w:val="0"/>
          <w:iCs w:val="0"/>
          <w:color w:val="000000"/>
          <w:sz w:val="32"/>
          <w:szCs w:val="32"/>
          <w:u w:val="none"/>
        </w:rPr>
        <w:t>万元，完成预算100%，</w:t>
      </w:r>
    </w:p>
    <w:p>
      <w:pPr>
        <w:pStyle w:val="21"/>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i w:val="0"/>
          <w:iCs w:val="0"/>
          <w:color w:val="000000"/>
          <w:sz w:val="32"/>
          <w:szCs w:val="32"/>
          <w:u w:val="none"/>
        </w:rPr>
      </w:pPr>
      <w:r>
        <w:rPr>
          <w:rStyle w:val="8"/>
          <w:rFonts w:hint="eastAsia" w:ascii="仿宋_GB2312" w:hAnsi="仿宋_GB2312" w:eastAsia="仿宋_GB2312" w:cs="仿宋_GB2312"/>
          <w:b/>
          <w:bCs w:val="0"/>
          <w:i w:val="0"/>
          <w:iCs w:val="0"/>
          <w:color w:val="000000"/>
          <w:sz w:val="32"/>
          <w:szCs w:val="32"/>
          <w:u w:val="none"/>
          <w:lang w:val="en-US" w:eastAsia="zh-CN"/>
        </w:rPr>
        <w:t>5</w:t>
      </w:r>
      <w:r>
        <w:rPr>
          <w:rStyle w:val="8"/>
          <w:rFonts w:hint="eastAsia" w:ascii="仿宋_GB2312" w:hAnsi="仿宋_GB2312" w:eastAsia="仿宋_GB2312" w:cs="仿宋_GB2312"/>
          <w:b w:val="0"/>
          <w:bCs/>
          <w:i w:val="0"/>
          <w:iCs w:val="0"/>
          <w:color w:val="000000"/>
          <w:sz w:val="32"/>
          <w:szCs w:val="32"/>
          <w:u w:val="none"/>
          <w:lang w:val="en-US" w:eastAsia="zh-CN"/>
        </w:rPr>
        <w:t>.</w:t>
      </w:r>
      <w:r>
        <w:rPr>
          <w:rFonts w:hint="eastAsia" w:ascii="仿宋_GB2312" w:hAnsi="仿宋_GB2312" w:eastAsia="仿宋_GB2312" w:cs="仿宋_GB2312"/>
          <w:b/>
          <w:bCs/>
          <w:i w:val="0"/>
          <w:iCs w:val="0"/>
          <w:color w:val="000000" w:themeColor="text1"/>
          <w:sz w:val="32"/>
          <w:szCs w:val="32"/>
          <w:u w:val="none"/>
          <w14:textFill>
            <w14:solidFill>
              <w14:schemeClr w14:val="tx1"/>
            </w14:solidFill>
          </w14:textFill>
        </w:rPr>
        <w:t>卫生健康（类）行政事业单位医疗（款）公务员医疗补助（项</w:t>
      </w:r>
      <w:r>
        <w:rPr>
          <w:rStyle w:val="8"/>
          <w:rFonts w:hint="eastAsia" w:ascii="仿宋_GB2312" w:hAnsi="仿宋_GB2312" w:eastAsia="仿宋_GB2312" w:cs="仿宋_GB2312"/>
          <w:bCs/>
          <w:i w:val="0"/>
          <w:iCs w:val="0"/>
          <w:color w:val="000000"/>
          <w:sz w:val="32"/>
          <w:szCs w:val="32"/>
          <w:u w:val="none"/>
        </w:rPr>
        <w:t>）:</w:t>
      </w:r>
      <w:r>
        <w:rPr>
          <w:rFonts w:hint="eastAsia" w:ascii="仿宋_GB2312" w:hAnsi="仿宋_GB2312" w:eastAsia="仿宋_GB2312" w:cs="仿宋_GB2312"/>
          <w:i w:val="0"/>
          <w:iCs w:val="0"/>
          <w:color w:val="000000"/>
          <w:sz w:val="32"/>
          <w:szCs w:val="32"/>
          <w:u w:val="none"/>
        </w:rPr>
        <w:t>支出决算为</w:t>
      </w:r>
      <w:r>
        <w:rPr>
          <w:rFonts w:hint="eastAsia" w:ascii="仿宋_GB2312" w:hAnsi="仿宋_GB2312" w:eastAsia="仿宋_GB2312" w:cs="仿宋_GB2312"/>
          <w:i w:val="0"/>
          <w:iCs w:val="0"/>
          <w:color w:val="000000"/>
          <w:sz w:val="32"/>
          <w:szCs w:val="32"/>
          <w:u w:val="none"/>
          <w:lang w:val="en-US" w:eastAsia="zh-CN"/>
        </w:rPr>
        <w:t>3.31</w:t>
      </w:r>
      <w:r>
        <w:rPr>
          <w:rFonts w:hint="eastAsia" w:ascii="仿宋_GB2312" w:hAnsi="仿宋_GB2312" w:eastAsia="仿宋_GB2312" w:cs="仿宋_GB2312"/>
          <w:i w:val="0"/>
          <w:iCs w:val="0"/>
          <w:color w:val="000000"/>
          <w:sz w:val="32"/>
          <w:szCs w:val="32"/>
          <w:u w:val="none"/>
        </w:rPr>
        <w:t>万元，完成预算100%</w:t>
      </w:r>
      <w:r>
        <w:rPr>
          <w:rStyle w:val="8"/>
          <w:rFonts w:hint="eastAsia" w:ascii="仿宋_GB2312" w:hAnsi="仿宋_GB2312" w:eastAsia="仿宋_GB2312" w:cs="仿宋_GB2312"/>
          <w:b w:val="0"/>
          <w:bCs/>
          <w:i w:val="0"/>
          <w:iCs w:val="0"/>
          <w:color w:val="000000"/>
          <w:sz w:val="32"/>
          <w:szCs w:val="32"/>
          <w:u w:val="none"/>
        </w:rPr>
        <w:t>；</w:t>
      </w:r>
    </w:p>
    <w:p>
      <w:pPr>
        <w:pStyle w:val="11"/>
        <w:keepNext w:val="0"/>
        <w:keepLines w:val="0"/>
        <w:pageBreakBefore w:val="0"/>
        <w:widowControl w:val="0"/>
        <w:kinsoku/>
        <w:wordWrap/>
        <w:overflowPunct/>
        <w:topLinePunct w:val="0"/>
        <w:bidi w:val="0"/>
        <w:adjustRightInd/>
        <w:snapToGrid/>
        <w:spacing w:beforeLines="0" w:afterLines="0" w:line="560" w:lineRule="exact"/>
        <w:ind w:firstLineChars="200"/>
        <w:jc w:val="both"/>
        <w:textAlignment w:val="auto"/>
        <w:rPr>
          <w:rStyle w:val="8"/>
          <w:rFonts w:hint="eastAsia" w:ascii="仿宋_GB2312" w:hAnsi="仿宋_GB2312" w:eastAsia="仿宋_GB2312" w:cs="仿宋_GB2312"/>
          <w:b w:val="0"/>
          <w:bCs/>
          <w:i w:val="0"/>
          <w:iCs w:val="0"/>
          <w:color w:val="000000"/>
          <w:sz w:val="32"/>
          <w:szCs w:val="32"/>
          <w:u w:val="none"/>
        </w:rPr>
      </w:pPr>
      <w:r>
        <w:rPr>
          <w:rFonts w:hint="eastAsia" w:ascii="仿宋_GB2312" w:hAnsi="仿宋_GB2312" w:eastAsia="仿宋_GB2312" w:cs="仿宋_GB2312"/>
          <w:b/>
          <w:bCs/>
          <w:i w:val="0"/>
          <w:iCs w:val="0"/>
          <w:color w:val="000000"/>
          <w:sz w:val="32"/>
          <w:szCs w:val="32"/>
          <w:u w:val="none"/>
          <w:lang w:val="en-US" w:eastAsia="zh-CN"/>
        </w:rPr>
        <w:t>6</w:t>
      </w:r>
      <w:r>
        <w:rPr>
          <w:rFonts w:hint="eastAsia" w:ascii="仿宋_GB2312" w:hAnsi="仿宋_GB2312" w:eastAsia="仿宋_GB2312" w:cs="仿宋_GB2312"/>
          <w:i w:val="0"/>
          <w:iCs w:val="0"/>
          <w:color w:val="000000"/>
          <w:sz w:val="32"/>
          <w:szCs w:val="32"/>
          <w:u w:val="none"/>
        </w:rPr>
        <w:t>.</w:t>
      </w:r>
      <w:r>
        <w:rPr>
          <w:rFonts w:hint="eastAsia" w:ascii="仿宋_GB2312" w:hAnsi="仿宋_GB2312" w:eastAsia="仿宋_GB2312" w:cs="仿宋_GB2312"/>
          <w:b/>
          <w:bCs/>
          <w:i w:val="0"/>
          <w:iCs w:val="0"/>
          <w:color w:val="000000" w:themeColor="text1"/>
          <w:sz w:val="32"/>
          <w:szCs w:val="32"/>
          <w:u w:val="none"/>
          <w14:textFill>
            <w14:solidFill>
              <w14:schemeClr w14:val="tx1"/>
            </w14:solidFill>
          </w14:textFill>
        </w:rPr>
        <w:t>住房保障</w:t>
      </w:r>
      <w:r>
        <w:rPr>
          <w:rStyle w:val="8"/>
          <w:rFonts w:hint="eastAsia" w:ascii="仿宋_GB2312" w:hAnsi="仿宋_GB2312" w:eastAsia="仿宋_GB2312" w:cs="仿宋_GB2312"/>
          <w:bCs/>
          <w:i w:val="0"/>
          <w:iCs w:val="0"/>
          <w:color w:val="000000"/>
          <w:sz w:val="32"/>
          <w:szCs w:val="32"/>
          <w:u w:val="none"/>
        </w:rPr>
        <w:t>（类）住房改革支出（款）住房公积金（项）:</w:t>
      </w:r>
      <w:r>
        <w:rPr>
          <w:rStyle w:val="8"/>
          <w:rFonts w:hint="eastAsia" w:ascii="仿宋_GB2312" w:hAnsi="仿宋_GB2312" w:eastAsia="仿宋_GB2312" w:cs="仿宋_GB2312"/>
          <w:b w:val="0"/>
          <w:bCs/>
          <w:i w:val="0"/>
          <w:iCs w:val="0"/>
          <w:color w:val="000000"/>
          <w:sz w:val="32"/>
          <w:szCs w:val="32"/>
          <w:u w:val="none"/>
        </w:rPr>
        <w:t>支出决算为</w:t>
      </w:r>
      <w:r>
        <w:rPr>
          <w:rStyle w:val="8"/>
          <w:rFonts w:hint="eastAsia" w:ascii="仿宋_GB2312" w:hAnsi="仿宋_GB2312" w:eastAsia="仿宋_GB2312" w:cs="仿宋_GB2312"/>
          <w:b w:val="0"/>
          <w:bCs/>
          <w:i w:val="0"/>
          <w:iCs w:val="0"/>
          <w:color w:val="000000"/>
          <w:sz w:val="32"/>
          <w:szCs w:val="32"/>
          <w:u w:val="none"/>
          <w:lang w:val="en-US" w:eastAsia="zh-CN"/>
        </w:rPr>
        <w:t>24.88</w:t>
      </w:r>
      <w:r>
        <w:rPr>
          <w:rStyle w:val="8"/>
          <w:rFonts w:hint="eastAsia" w:ascii="仿宋_GB2312" w:hAnsi="仿宋_GB2312" w:eastAsia="仿宋_GB2312" w:cs="仿宋_GB2312"/>
          <w:b w:val="0"/>
          <w:bCs/>
          <w:i w:val="0"/>
          <w:iCs w:val="0"/>
          <w:color w:val="000000"/>
          <w:sz w:val="32"/>
          <w:szCs w:val="32"/>
          <w:u w:val="none"/>
        </w:rPr>
        <w:t>万元，完成预算</w:t>
      </w:r>
      <w:r>
        <w:rPr>
          <w:rStyle w:val="8"/>
          <w:rFonts w:hint="eastAsia" w:ascii="仿宋_GB2312" w:hAnsi="仿宋_GB2312" w:eastAsia="仿宋_GB2312" w:cs="仿宋_GB2312"/>
          <w:b w:val="0"/>
          <w:bCs/>
          <w:i w:val="0"/>
          <w:iCs w:val="0"/>
          <w:color w:val="000000"/>
          <w:sz w:val="32"/>
          <w:szCs w:val="32"/>
          <w:u w:val="none"/>
          <w:lang w:val="en-US" w:eastAsia="zh-CN"/>
        </w:rPr>
        <w:t>100</w:t>
      </w:r>
      <w:r>
        <w:rPr>
          <w:rStyle w:val="8"/>
          <w:rFonts w:hint="eastAsia" w:ascii="仿宋_GB2312" w:hAnsi="仿宋_GB2312" w:eastAsia="仿宋_GB2312" w:cs="仿宋_GB2312"/>
          <w:b w:val="0"/>
          <w:bCs/>
          <w:i w:val="0"/>
          <w:iCs w:val="0"/>
          <w:color w:val="000000"/>
          <w:sz w:val="32"/>
          <w:szCs w:val="32"/>
          <w:u w:val="none"/>
        </w:rPr>
        <w:t>%；</w:t>
      </w:r>
    </w:p>
    <w:p>
      <w:pPr>
        <w:pStyle w:val="21"/>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bCs/>
          <w:i w:val="0"/>
          <w:iCs w:val="0"/>
          <w:color w:val="000000"/>
          <w:kern w:val="2"/>
          <w:sz w:val="32"/>
          <w:szCs w:val="32"/>
          <w:u w:val="none"/>
          <w:lang w:val="en-US" w:eastAsia="zh-CN" w:bidi="ar-SA"/>
        </w:rPr>
        <w:t>7.住房保障（类）住房改革支出（款）购房补贴（项）:</w:t>
      </w:r>
      <w:r>
        <w:rPr>
          <w:rFonts w:hint="eastAsia" w:ascii="仿宋_GB2312" w:hAnsi="仿宋_GB2312" w:eastAsia="仿宋_GB2312" w:cs="仿宋_GB2312"/>
          <w:i w:val="0"/>
          <w:iCs w:val="0"/>
          <w:color w:val="000000"/>
          <w:sz w:val="32"/>
          <w:szCs w:val="32"/>
          <w:u w:val="none"/>
        </w:rPr>
        <w:t>支出决算为</w:t>
      </w:r>
      <w:r>
        <w:rPr>
          <w:rFonts w:hint="eastAsia" w:ascii="仿宋_GB2312" w:hAnsi="仿宋_GB2312" w:eastAsia="仿宋_GB2312" w:cs="仿宋_GB2312"/>
          <w:i w:val="0"/>
          <w:iCs w:val="0"/>
          <w:color w:val="000000"/>
          <w:sz w:val="32"/>
          <w:szCs w:val="32"/>
          <w:u w:val="none"/>
          <w:lang w:val="en-US" w:eastAsia="zh-CN"/>
        </w:rPr>
        <w:t>6.15</w:t>
      </w:r>
      <w:r>
        <w:rPr>
          <w:rFonts w:hint="eastAsia" w:ascii="仿宋_GB2312" w:hAnsi="仿宋_GB2312" w:eastAsia="仿宋_GB2312" w:cs="仿宋_GB2312"/>
          <w:i w:val="0"/>
          <w:iCs w:val="0"/>
          <w:color w:val="000000"/>
          <w:sz w:val="32"/>
          <w:szCs w:val="32"/>
          <w:u w:val="none"/>
        </w:rPr>
        <w:t>万元，完成预算</w:t>
      </w:r>
      <w:r>
        <w:rPr>
          <w:rFonts w:hint="eastAsia" w:ascii="仿宋_GB2312" w:hAnsi="仿宋_GB2312" w:eastAsia="仿宋_GB2312" w:cs="仿宋_GB2312"/>
          <w:i w:val="0"/>
          <w:iCs w:val="0"/>
          <w:color w:val="000000"/>
          <w:sz w:val="32"/>
          <w:szCs w:val="32"/>
          <w:u w:val="none"/>
          <w:lang w:val="en-US" w:eastAsia="zh-CN"/>
        </w:rPr>
        <w:t>75</w:t>
      </w:r>
      <w:r>
        <w:rPr>
          <w:rFonts w:hint="eastAsia" w:ascii="仿宋_GB2312" w:hAnsi="仿宋_GB2312" w:eastAsia="仿宋_GB2312" w:cs="仿宋_GB2312"/>
          <w:i w:val="0"/>
          <w:iCs w:val="0"/>
          <w:color w:val="000000"/>
          <w:sz w:val="32"/>
          <w:szCs w:val="32"/>
          <w:u w:val="none"/>
        </w:rPr>
        <w:t>%。</w:t>
      </w:r>
    </w:p>
    <w:p>
      <w:pPr>
        <w:pStyle w:val="11"/>
        <w:keepNext w:val="0"/>
        <w:keepLines w:val="0"/>
        <w:pageBreakBefore w:val="0"/>
        <w:widowControl w:val="0"/>
        <w:numPr>
          <w:ilvl w:val="0"/>
          <w:numId w:val="0"/>
        </w:numPr>
        <w:tabs>
          <w:tab w:val="right" w:pos="8306"/>
        </w:tabs>
        <w:kinsoku/>
        <w:wordWrap/>
        <w:overflowPunct/>
        <w:topLinePunct w:val="0"/>
        <w:bidi w:val="0"/>
        <w:adjustRightInd/>
        <w:snapToGrid/>
        <w:spacing w:beforeLines="0" w:afterLines="0" w:line="560" w:lineRule="exact"/>
        <w:ind w:left="0" w:firstLine="640" w:firstLineChars="200"/>
        <w:jc w:val="both"/>
        <w:textAlignment w:val="auto"/>
        <w:outlineLvl w:val="1"/>
        <w:rPr>
          <w:rStyle w:val="12"/>
          <w:rFonts w:hint="eastAsia" w:ascii="黑体" w:hAnsi="黑体" w:eastAsia="黑体" w:cs="黑体"/>
          <w:i w:val="0"/>
          <w:iCs w:val="0"/>
          <w:sz w:val="32"/>
          <w:szCs w:val="32"/>
          <w:u w:val="none"/>
        </w:rPr>
      </w:pPr>
      <w:bookmarkStart w:id="33" w:name="_Toc15377214"/>
      <w:bookmarkStart w:id="34" w:name="_Toc15396608"/>
      <w:r>
        <w:rPr>
          <w:rFonts w:hint="eastAsia" w:ascii="黑体" w:hAnsi="黑体" w:eastAsia="黑体" w:cs="黑体"/>
          <w:i w:val="0"/>
          <w:iCs w:val="0"/>
          <w:color w:val="000000"/>
          <w:sz w:val="32"/>
          <w:szCs w:val="32"/>
          <w:u w:val="none"/>
        </w:rPr>
        <w:t>六</w:t>
      </w:r>
      <w:r>
        <w:rPr>
          <w:rFonts w:hint="eastAsia" w:ascii="黑体" w:hAnsi="黑体" w:eastAsia="黑体" w:cs="黑体"/>
          <w:b/>
          <w:i w:val="0"/>
          <w:iCs w:val="0"/>
          <w:color w:val="000000"/>
          <w:sz w:val="32"/>
          <w:szCs w:val="32"/>
          <w:u w:val="none"/>
        </w:rPr>
        <w:t>、一</w:t>
      </w:r>
      <w:r>
        <w:rPr>
          <w:rStyle w:val="12"/>
          <w:rFonts w:hint="eastAsia" w:ascii="黑体" w:hAnsi="黑体" w:eastAsia="黑体" w:cs="黑体"/>
          <w:b w:val="0"/>
          <w:i w:val="0"/>
          <w:iCs w:val="0"/>
          <w:sz w:val="32"/>
          <w:szCs w:val="32"/>
          <w:u w:val="none"/>
        </w:rPr>
        <w:t>般公共预算财政拨款基本支出决算情况说明</w:t>
      </w:r>
      <w:bookmarkEnd w:id="33"/>
      <w:bookmarkEnd w:id="34"/>
    </w:p>
    <w:p>
      <w:pPr>
        <w:pStyle w:val="11"/>
        <w:keepNext w:val="0"/>
        <w:keepLines w:val="0"/>
        <w:pageBreakBefore w:val="0"/>
        <w:widowControl w:val="0"/>
        <w:kinsoku/>
        <w:wordWrap/>
        <w:overflowPunct/>
        <w:topLinePunct w:val="0"/>
        <w:bidi w:val="0"/>
        <w:adjustRightInd/>
        <w:snapToGrid/>
        <w:spacing w:beforeLines="0" w:afterLines="0" w:line="560" w:lineRule="exact"/>
        <w:ind w:firstLine="645"/>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2020年一般公共预算财政拨款基本支出327.80万元，其中：</w:t>
      </w:r>
    </w:p>
    <w:p>
      <w:pPr>
        <w:pStyle w:val="11"/>
        <w:keepNext w:val="0"/>
        <w:keepLines w:val="0"/>
        <w:pageBreakBefore w:val="0"/>
        <w:widowControl w:val="0"/>
        <w:kinsoku/>
        <w:wordWrap/>
        <w:overflowPunct/>
        <w:topLinePunct w:val="0"/>
        <w:bidi w:val="0"/>
        <w:adjustRightInd/>
        <w:snapToGrid/>
        <w:spacing w:beforeLines="0" w:afterLines="0" w:line="560" w:lineRule="exact"/>
        <w:ind w:firstLine="645"/>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人员经费283.06万元，主要包括：基本工资、津贴补贴、奖金、绩效工资、机关事业单位基本养老保险缴费、医疗费补助、住房公积金、其他对个人和家庭的补助支出等。</w:t>
      </w:r>
      <w:r>
        <w:rPr>
          <w:rFonts w:hint="eastAsia" w:ascii="仿宋_GB2312" w:hAnsi="仿宋_GB2312" w:eastAsia="仿宋_GB2312" w:cs="仿宋_GB2312"/>
          <w:i w:val="0"/>
          <w:iCs w:val="0"/>
          <w:color w:val="000000"/>
          <w:sz w:val="32"/>
          <w:szCs w:val="32"/>
          <w:u w:val="none"/>
        </w:rPr>
        <w:br w:type="textWrapping"/>
      </w:r>
      <w:r>
        <w:rPr>
          <w:rFonts w:hint="eastAsia" w:ascii="仿宋_GB2312" w:hAnsi="仿宋_GB2312" w:eastAsia="仿宋_GB2312" w:cs="仿宋_GB2312"/>
          <w:i w:val="0"/>
          <w:iCs w:val="0"/>
          <w:color w:val="000000"/>
          <w:sz w:val="32"/>
          <w:szCs w:val="32"/>
          <w:u w:val="none"/>
        </w:rPr>
        <w:t>　　日常公用经费44.74万元，主要包括：办公费、劳务费、租赁费、工会经费、福利费等。</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640" w:firstLineChars="200"/>
        <w:jc w:val="both"/>
        <w:textAlignment w:val="auto"/>
        <w:outlineLvl w:val="1"/>
        <w:rPr>
          <w:rStyle w:val="12"/>
          <w:rFonts w:hint="eastAsia" w:ascii="黑体" w:hAnsi="黑体" w:eastAsia="黑体" w:cs="黑体"/>
          <w:b w:val="0"/>
          <w:i w:val="0"/>
          <w:iCs w:val="0"/>
          <w:sz w:val="32"/>
          <w:szCs w:val="32"/>
          <w:u w:val="none"/>
        </w:rPr>
      </w:pPr>
      <w:bookmarkStart w:id="35" w:name="_Toc15396609"/>
      <w:bookmarkStart w:id="36" w:name="_Toc15377215"/>
      <w:r>
        <w:rPr>
          <w:rFonts w:hint="eastAsia" w:ascii="黑体" w:hAnsi="黑体" w:eastAsia="黑体" w:cs="黑体"/>
          <w:i w:val="0"/>
          <w:iCs w:val="0"/>
          <w:color w:val="000000"/>
          <w:sz w:val="32"/>
          <w:szCs w:val="32"/>
          <w:u w:val="none"/>
        </w:rPr>
        <w:t>七、</w:t>
      </w:r>
      <w:r>
        <w:rPr>
          <w:rStyle w:val="12"/>
          <w:rFonts w:hint="eastAsia" w:ascii="黑体" w:hAnsi="黑体" w:eastAsia="黑体" w:cs="黑体"/>
          <w:i w:val="0"/>
          <w:iCs w:val="0"/>
          <w:sz w:val="32"/>
          <w:szCs w:val="32"/>
          <w:u w:val="none"/>
        </w:rPr>
        <w:t>“</w:t>
      </w:r>
      <w:r>
        <w:rPr>
          <w:rStyle w:val="12"/>
          <w:rFonts w:hint="eastAsia" w:ascii="黑体" w:hAnsi="黑体" w:eastAsia="黑体" w:cs="黑体"/>
          <w:b w:val="0"/>
          <w:i w:val="0"/>
          <w:iCs w:val="0"/>
          <w:sz w:val="32"/>
          <w:szCs w:val="32"/>
          <w:u w:val="none"/>
        </w:rPr>
        <w:t>三公”经费财政拨款支出决算情况说明</w:t>
      </w:r>
      <w:bookmarkEnd w:id="35"/>
      <w:bookmarkEnd w:id="36"/>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643" w:firstLineChars="200"/>
        <w:jc w:val="both"/>
        <w:textAlignment w:val="auto"/>
        <w:outlineLvl w:val="2"/>
        <w:rPr>
          <w:rFonts w:hint="eastAsia" w:ascii="楷体_GB2312" w:hAnsi="楷体_GB2312" w:eastAsia="楷体_GB2312" w:cs="楷体_GB2312"/>
          <w:b/>
          <w:i w:val="0"/>
          <w:iCs w:val="0"/>
          <w:color w:val="000000"/>
          <w:sz w:val="32"/>
          <w:szCs w:val="32"/>
          <w:u w:val="none"/>
        </w:rPr>
      </w:pPr>
      <w:bookmarkStart w:id="37" w:name="_Toc15377216"/>
      <w:r>
        <w:rPr>
          <w:rFonts w:hint="eastAsia" w:ascii="楷体_GB2312" w:hAnsi="楷体_GB2312" w:eastAsia="楷体_GB2312" w:cs="楷体_GB2312"/>
          <w:b/>
          <w:i w:val="0"/>
          <w:iCs w:val="0"/>
          <w:color w:val="000000"/>
          <w:sz w:val="32"/>
          <w:szCs w:val="32"/>
          <w:u w:val="none"/>
        </w:rPr>
        <w:t>（一）“三公”经费财政拨款支出决算总体情况说明</w:t>
      </w:r>
      <w:bookmarkEnd w:id="37"/>
    </w:p>
    <w:p>
      <w:pPr>
        <w:pStyle w:val="11"/>
        <w:keepNext w:val="0"/>
        <w:keepLines w:val="0"/>
        <w:pageBreakBefore w:val="0"/>
        <w:widowControl w:val="0"/>
        <w:kinsoku/>
        <w:wordWrap/>
        <w:overflowPunct/>
        <w:topLinePunct w:val="0"/>
        <w:bidi w:val="0"/>
        <w:adjustRightInd/>
        <w:snapToGrid/>
        <w:spacing w:beforeLines="0" w:afterLines="0" w:line="600" w:lineRule="exact"/>
        <w:ind w:firstLine="64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2020年“三公”经费财政拨款支出决算为0元，完成预算0%。</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643" w:firstLineChars="200"/>
        <w:jc w:val="both"/>
        <w:textAlignment w:val="auto"/>
        <w:outlineLvl w:val="2"/>
        <w:rPr>
          <w:rFonts w:hint="eastAsia" w:ascii="楷体_GB2312" w:hAnsi="楷体_GB2312" w:eastAsia="楷体_GB2312" w:cs="楷体_GB2312"/>
          <w:b/>
          <w:i w:val="0"/>
          <w:iCs w:val="0"/>
          <w:color w:val="000000"/>
          <w:sz w:val="32"/>
          <w:szCs w:val="32"/>
          <w:u w:val="none"/>
        </w:rPr>
      </w:pPr>
      <w:bookmarkStart w:id="38" w:name="_Toc15377217"/>
      <w:r>
        <w:rPr>
          <w:rFonts w:hint="eastAsia" w:ascii="楷体_GB2312" w:hAnsi="楷体_GB2312" w:eastAsia="楷体_GB2312" w:cs="楷体_GB2312"/>
          <w:b/>
          <w:i w:val="0"/>
          <w:iCs w:val="0"/>
          <w:color w:val="000000"/>
          <w:sz w:val="32"/>
          <w:szCs w:val="32"/>
          <w:u w:val="none"/>
        </w:rPr>
        <w:t>（二）“三公”经费财政拨款支出决算具体情况说明</w:t>
      </w:r>
      <w:bookmarkEnd w:id="38"/>
    </w:p>
    <w:p>
      <w:pPr>
        <w:pStyle w:val="11"/>
        <w:keepNext w:val="0"/>
        <w:keepLines w:val="0"/>
        <w:pageBreakBefore w:val="0"/>
        <w:widowControl w:val="0"/>
        <w:kinsoku/>
        <w:wordWrap/>
        <w:overflowPunct/>
        <w:topLinePunct w:val="0"/>
        <w:bidi w:val="0"/>
        <w:adjustRightInd/>
        <w:snapToGrid/>
        <w:spacing w:beforeLines="0" w:afterLines="0" w:line="600" w:lineRule="exact"/>
        <w:ind w:firstLine="64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2020年“三公”经费财政拨款支出决算中，因公出国（境）费支出决算0万元，占0%；公务用车购置及运行维护费支出决算0万元，占0%；公务接待费支出决算0万元，占0%。具体情况如下：</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firstLine="643" w:firstLineChars="200"/>
        <w:jc w:val="both"/>
        <w:textAlignment w:val="auto"/>
        <w:rPr>
          <w:rStyle w:val="8"/>
          <w:rFonts w:hint="eastAsia" w:ascii="仿宋_GB2312" w:hAnsi="仿宋_GB2312" w:eastAsia="仿宋_GB2312" w:cs="仿宋_GB2312"/>
          <w:b w:val="0"/>
          <w:bCs/>
          <w:i w:val="0"/>
          <w:iCs w:val="0"/>
          <w:color w:val="000000"/>
          <w:sz w:val="32"/>
          <w:szCs w:val="32"/>
          <w:u w:val="none"/>
        </w:rPr>
      </w:pPr>
      <w:r>
        <w:rPr>
          <w:rFonts w:hint="eastAsia" w:ascii="仿宋_GB2312" w:hAnsi="仿宋_GB2312" w:eastAsia="仿宋_GB2312" w:cs="仿宋_GB2312"/>
          <w:b/>
          <w:i w:val="0"/>
          <w:iCs w:val="0"/>
          <w:color w:val="000000"/>
          <w:sz w:val="32"/>
          <w:szCs w:val="32"/>
          <w:u w:val="none"/>
          <w:lang w:val="en-US" w:eastAsia="zh-CN"/>
        </w:rPr>
        <w:t>1.</w:t>
      </w:r>
      <w:r>
        <w:rPr>
          <w:rFonts w:hint="eastAsia" w:ascii="仿宋_GB2312" w:hAnsi="仿宋_GB2312" w:eastAsia="仿宋_GB2312" w:cs="仿宋_GB2312"/>
          <w:b/>
          <w:i w:val="0"/>
          <w:iCs w:val="0"/>
          <w:color w:val="000000"/>
          <w:sz w:val="32"/>
          <w:szCs w:val="32"/>
          <w:u w:val="none"/>
        </w:rPr>
        <w:t>因公出国（境）经费支出</w:t>
      </w:r>
      <w:r>
        <w:rPr>
          <w:rFonts w:hint="eastAsia" w:ascii="仿宋_GB2312" w:hAnsi="仿宋_GB2312" w:eastAsia="仿宋_GB2312" w:cs="仿宋_GB2312"/>
          <w:i w:val="0"/>
          <w:iCs w:val="0"/>
          <w:color w:val="000000"/>
          <w:sz w:val="32"/>
          <w:szCs w:val="32"/>
          <w:u w:val="none"/>
        </w:rPr>
        <w:t>0万元，</w:t>
      </w:r>
      <w:r>
        <w:rPr>
          <w:rStyle w:val="8"/>
          <w:rFonts w:hint="eastAsia" w:ascii="仿宋_GB2312" w:hAnsi="仿宋_GB2312" w:eastAsia="仿宋_GB2312" w:cs="仿宋_GB2312"/>
          <w:b w:val="0"/>
          <w:bCs/>
          <w:i w:val="0"/>
          <w:iCs w:val="0"/>
          <w:color w:val="000000"/>
          <w:sz w:val="32"/>
          <w:szCs w:val="32"/>
          <w:u w:val="none"/>
        </w:rPr>
        <w:t>完成预算0%。</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i w:val="0"/>
          <w:iCs w:val="0"/>
          <w:color w:val="000000"/>
          <w:sz w:val="32"/>
          <w:szCs w:val="32"/>
          <w:u w:val="none"/>
        </w:rPr>
        <w:t>2.公务用车购置及运行维护费支出0</w:t>
      </w:r>
      <w:r>
        <w:rPr>
          <w:rFonts w:hint="eastAsia" w:ascii="仿宋_GB2312" w:hAnsi="仿宋_GB2312" w:eastAsia="仿宋_GB2312" w:cs="仿宋_GB2312"/>
          <w:i w:val="0"/>
          <w:iCs w:val="0"/>
          <w:color w:val="000000"/>
          <w:sz w:val="32"/>
          <w:szCs w:val="32"/>
          <w:u w:val="none"/>
        </w:rPr>
        <w:t>万元,</w:t>
      </w:r>
      <w:r>
        <w:rPr>
          <w:rStyle w:val="8"/>
          <w:rFonts w:hint="eastAsia" w:ascii="仿宋_GB2312" w:hAnsi="仿宋_GB2312" w:eastAsia="仿宋_GB2312" w:cs="仿宋_GB2312"/>
          <w:b w:val="0"/>
          <w:bCs/>
          <w:i w:val="0"/>
          <w:iCs w:val="0"/>
          <w:color w:val="000000"/>
          <w:sz w:val="32"/>
          <w:szCs w:val="32"/>
          <w:u w:val="none"/>
        </w:rPr>
        <w:t>完成预算0%。</w:t>
      </w:r>
    </w:p>
    <w:p>
      <w:pPr>
        <w:pStyle w:val="11"/>
        <w:keepNext w:val="0"/>
        <w:keepLines w:val="0"/>
        <w:pageBreakBefore w:val="0"/>
        <w:widowControl w:val="0"/>
        <w:kinsoku/>
        <w:wordWrap/>
        <w:overflowPunct/>
        <w:topLinePunct w:val="0"/>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b/>
          <w:i w:val="0"/>
          <w:iCs w:val="0"/>
          <w:color w:val="000000"/>
          <w:sz w:val="32"/>
          <w:szCs w:val="32"/>
          <w:u w:val="none"/>
        </w:rPr>
      </w:pPr>
      <w:r>
        <w:rPr>
          <w:rFonts w:hint="eastAsia" w:ascii="仿宋_GB2312" w:hAnsi="仿宋_GB2312" w:eastAsia="仿宋_GB2312" w:cs="仿宋_GB2312"/>
          <w:i w:val="0"/>
          <w:iCs w:val="0"/>
          <w:color w:val="000000"/>
          <w:sz w:val="32"/>
          <w:szCs w:val="32"/>
          <w:u w:val="none"/>
        </w:rPr>
        <w:t>其中：</w:t>
      </w:r>
      <w:r>
        <w:rPr>
          <w:rFonts w:hint="eastAsia" w:ascii="仿宋_GB2312" w:hAnsi="仿宋_GB2312" w:eastAsia="仿宋_GB2312" w:cs="仿宋_GB2312"/>
          <w:b/>
          <w:i w:val="0"/>
          <w:iCs w:val="0"/>
          <w:color w:val="000000"/>
          <w:sz w:val="32"/>
          <w:szCs w:val="32"/>
          <w:u w:val="none"/>
        </w:rPr>
        <w:t>公务用车购置支出</w:t>
      </w:r>
      <w:r>
        <w:rPr>
          <w:rFonts w:hint="eastAsia" w:ascii="仿宋_GB2312" w:hAnsi="仿宋_GB2312" w:eastAsia="仿宋_GB2312" w:cs="仿宋_GB2312"/>
          <w:i w:val="0"/>
          <w:iCs w:val="0"/>
          <w:color w:val="000000"/>
          <w:sz w:val="32"/>
          <w:szCs w:val="32"/>
          <w:u w:val="none"/>
        </w:rPr>
        <w:t>0万元。</w:t>
      </w:r>
    </w:p>
    <w:p>
      <w:pPr>
        <w:pStyle w:val="11"/>
        <w:keepNext w:val="0"/>
        <w:keepLines w:val="0"/>
        <w:pageBreakBefore w:val="0"/>
        <w:widowControl w:val="0"/>
        <w:kinsoku/>
        <w:wordWrap/>
        <w:overflowPunct/>
        <w:topLinePunct w:val="0"/>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i w:val="0"/>
          <w:iCs w:val="0"/>
          <w:color w:val="000000"/>
          <w:sz w:val="32"/>
          <w:szCs w:val="32"/>
          <w:u w:val="none"/>
        </w:rPr>
        <w:t>公务用车运行维护费支出</w:t>
      </w:r>
      <w:bookmarkStart w:id="67" w:name="_GoBack"/>
      <w:r>
        <w:rPr>
          <w:rFonts w:hint="eastAsia" w:ascii="仿宋_GB2312" w:hAnsi="仿宋_GB2312" w:eastAsia="仿宋_GB2312" w:cs="仿宋_GB2312"/>
          <w:b w:val="0"/>
          <w:bCs/>
          <w:i w:val="0"/>
          <w:iCs w:val="0"/>
          <w:color w:val="000000"/>
          <w:sz w:val="32"/>
          <w:szCs w:val="32"/>
          <w:u w:val="none"/>
        </w:rPr>
        <w:t>0</w:t>
      </w:r>
      <w:bookmarkEnd w:id="67"/>
      <w:r>
        <w:rPr>
          <w:rFonts w:hint="eastAsia" w:ascii="仿宋_GB2312" w:hAnsi="仿宋_GB2312" w:eastAsia="仿宋_GB2312" w:cs="仿宋_GB2312"/>
          <w:i w:val="0"/>
          <w:iCs w:val="0"/>
          <w:color w:val="000000"/>
          <w:sz w:val="32"/>
          <w:szCs w:val="32"/>
          <w:u w:val="none"/>
        </w:rPr>
        <w:t>万元。</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firstLine="643" w:firstLineChars="200"/>
        <w:jc w:val="both"/>
        <w:textAlignment w:val="auto"/>
        <w:rPr>
          <w:rStyle w:val="8"/>
          <w:rFonts w:hint="eastAsia" w:ascii="仿宋_GB2312" w:hAnsi="仿宋_GB2312" w:eastAsia="仿宋_GB2312" w:cs="仿宋_GB2312"/>
          <w:b w:val="0"/>
          <w:bCs/>
          <w:i w:val="0"/>
          <w:iCs w:val="0"/>
          <w:color w:val="000000"/>
          <w:sz w:val="32"/>
          <w:szCs w:val="32"/>
          <w:u w:val="none"/>
        </w:rPr>
      </w:pPr>
      <w:r>
        <w:rPr>
          <w:rFonts w:hint="eastAsia" w:ascii="仿宋_GB2312" w:hAnsi="仿宋_GB2312" w:eastAsia="仿宋_GB2312" w:cs="仿宋_GB2312"/>
          <w:b/>
          <w:i w:val="0"/>
          <w:iCs w:val="0"/>
          <w:color w:val="000000"/>
          <w:sz w:val="32"/>
          <w:szCs w:val="32"/>
          <w:u w:val="none"/>
          <w:lang w:val="en-US" w:eastAsia="zh-CN"/>
        </w:rPr>
        <w:t>3.</w:t>
      </w:r>
      <w:r>
        <w:rPr>
          <w:rFonts w:hint="eastAsia" w:ascii="仿宋_GB2312" w:hAnsi="仿宋_GB2312" w:eastAsia="仿宋_GB2312" w:cs="仿宋_GB2312"/>
          <w:b/>
          <w:i w:val="0"/>
          <w:iCs w:val="0"/>
          <w:color w:val="000000"/>
          <w:sz w:val="32"/>
          <w:szCs w:val="32"/>
          <w:u w:val="none"/>
        </w:rPr>
        <w:t>公务接待费支出</w:t>
      </w:r>
      <w:r>
        <w:rPr>
          <w:rFonts w:hint="eastAsia" w:ascii="仿宋_GB2312" w:hAnsi="仿宋_GB2312" w:eastAsia="仿宋_GB2312" w:cs="仿宋_GB2312"/>
          <w:i w:val="0"/>
          <w:iCs w:val="0"/>
          <w:color w:val="000000"/>
          <w:sz w:val="32"/>
          <w:szCs w:val="32"/>
          <w:u w:val="none"/>
        </w:rPr>
        <w:t>0万元，</w:t>
      </w:r>
      <w:r>
        <w:rPr>
          <w:rStyle w:val="8"/>
          <w:rFonts w:hint="eastAsia" w:ascii="仿宋_GB2312" w:hAnsi="仿宋_GB2312" w:eastAsia="仿宋_GB2312" w:cs="仿宋_GB2312"/>
          <w:b w:val="0"/>
          <w:bCs/>
          <w:i w:val="0"/>
          <w:iCs w:val="0"/>
          <w:color w:val="000000"/>
          <w:sz w:val="32"/>
          <w:szCs w:val="32"/>
          <w:u w:val="none"/>
        </w:rPr>
        <w:t>完成预算0%。</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无外事接待支出。</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640" w:firstLineChars="200"/>
        <w:jc w:val="both"/>
        <w:textAlignment w:val="auto"/>
        <w:outlineLvl w:val="1"/>
        <w:rPr>
          <w:rStyle w:val="12"/>
          <w:rFonts w:hint="eastAsia" w:ascii="黑体" w:hAnsi="黑体" w:eastAsia="黑体" w:cs="黑体"/>
          <w:i w:val="0"/>
          <w:iCs w:val="0"/>
          <w:sz w:val="32"/>
          <w:szCs w:val="32"/>
          <w:u w:val="none"/>
        </w:rPr>
      </w:pPr>
      <w:bookmarkStart w:id="39" w:name="_Toc15377218"/>
      <w:bookmarkStart w:id="40" w:name="_Toc15396610"/>
      <w:r>
        <w:rPr>
          <w:rFonts w:hint="eastAsia" w:ascii="黑体" w:hAnsi="黑体" w:eastAsia="黑体" w:cs="黑体"/>
          <w:i w:val="0"/>
          <w:iCs w:val="0"/>
          <w:color w:val="000000"/>
          <w:sz w:val="32"/>
          <w:szCs w:val="32"/>
          <w:u w:val="none"/>
        </w:rPr>
        <w:t>八、</w:t>
      </w:r>
      <w:r>
        <w:rPr>
          <w:rStyle w:val="12"/>
          <w:rFonts w:hint="eastAsia" w:ascii="黑体" w:hAnsi="黑体" w:eastAsia="黑体" w:cs="黑体"/>
          <w:b w:val="0"/>
          <w:i w:val="0"/>
          <w:iCs w:val="0"/>
          <w:sz w:val="32"/>
          <w:szCs w:val="32"/>
          <w:u w:val="none"/>
        </w:rPr>
        <w:t>政府性基金预算支出决算情况说明</w:t>
      </w:r>
      <w:bookmarkEnd w:id="39"/>
      <w:bookmarkEnd w:id="40"/>
    </w:p>
    <w:p>
      <w:pPr>
        <w:pStyle w:val="11"/>
        <w:keepNext w:val="0"/>
        <w:keepLines w:val="0"/>
        <w:pageBreakBefore w:val="0"/>
        <w:widowControl w:val="0"/>
        <w:kinsoku/>
        <w:wordWrap/>
        <w:overflowPunct/>
        <w:topLinePunct w:val="0"/>
        <w:bidi w:val="0"/>
        <w:adjustRightInd/>
        <w:snapToGrid/>
        <w:spacing w:beforeLines="0" w:afterLines="0" w:line="600" w:lineRule="exact"/>
        <w:ind w:firstLine="64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2020年政府性基金预算拨款支出0万元。</w:t>
      </w:r>
    </w:p>
    <w:p>
      <w:pPr>
        <w:pStyle w:val="11"/>
        <w:keepNext w:val="0"/>
        <w:keepLines w:val="0"/>
        <w:pageBreakBefore w:val="0"/>
        <w:widowControl w:val="0"/>
        <w:numPr>
          <w:ilvl w:val="0"/>
          <w:numId w:val="1"/>
        </w:numPr>
        <w:kinsoku/>
        <w:wordWrap/>
        <w:overflowPunct/>
        <w:topLinePunct w:val="0"/>
        <w:bidi w:val="0"/>
        <w:adjustRightInd/>
        <w:snapToGrid/>
        <w:spacing w:beforeLines="0" w:afterLines="0" w:line="600" w:lineRule="exact"/>
        <w:ind w:firstLine="640"/>
        <w:jc w:val="both"/>
        <w:textAlignment w:val="auto"/>
        <w:outlineLvl w:val="1"/>
        <w:rPr>
          <w:rStyle w:val="12"/>
          <w:rFonts w:hint="eastAsia" w:ascii="黑体" w:hAnsi="黑体" w:eastAsia="黑体" w:cs="黑体"/>
          <w:b w:val="0"/>
          <w:i w:val="0"/>
          <w:iCs w:val="0"/>
          <w:sz w:val="32"/>
          <w:szCs w:val="32"/>
          <w:u w:val="none"/>
        </w:rPr>
      </w:pPr>
      <w:bookmarkStart w:id="41" w:name="_Toc15396611"/>
      <w:bookmarkStart w:id="42" w:name="_Toc15377219"/>
      <w:r>
        <w:rPr>
          <w:rStyle w:val="12"/>
          <w:rFonts w:hint="eastAsia" w:ascii="黑体" w:hAnsi="黑体" w:eastAsia="黑体" w:cs="黑体"/>
          <w:b w:val="0"/>
          <w:i w:val="0"/>
          <w:iCs w:val="0"/>
          <w:sz w:val="32"/>
          <w:szCs w:val="32"/>
          <w:u w:val="none"/>
        </w:rPr>
        <w:t>国有资本经营预算支出决算情况说明</w:t>
      </w:r>
      <w:bookmarkEnd w:id="41"/>
      <w:bookmarkEnd w:id="42"/>
    </w:p>
    <w:p>
      <w:pPr>
        <w:pStyle w:val="11"/>
        <w:keepNext w:val="0"/>
        <w:keepLines w:val="0"/>
        <w:pageBreakBefore w:val="0"/>
        <w:widowControl w:val="0"/>
        <w:kinsoku/>
        <w:wordWrap/>
        <w:overflowPunct/>
        <w:topLinePunct w:val="0"/>
        <w:bidi w:val="0"/>
        <w:adjustRightInd/>
        <w:snapToGrid/>
        <w:spacing w:beforeLines="0" w:afterLines="0" w:line="600" w:lineRule="exact"/>
        <w:ind w:firstLine="64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2020年国有资本经营预算拨款支出0万元。</w:t>
      </w:r>
    </w:p>
    <w:p>
      <w:pPr>
        <w:pStyle w:val="11"/>
        <w:keepNext w:val="0"/>
        <w:keepLines w:val="0"/>
        <w:pageBreakBefore w:val="0"/>
        <w:widowControl w:val="0"/>
        <w:numPr>
          <w:ilvl w:val="0"/>
          <w:numId w:val="1"/>
        </w:numPr>
        <w:kinsoku/>
        <w:wordWrap/>
        <w:overflowPunct/>
        <w:topLinePunct w:val="0"/>
        <w:bidi w:val="0"/>
        <w:adjustRightInd/>
        <w:snapToGrid/>
        <w:spacing w:beforeLines="0" w:afterLines="0" w:line="600" w:lineRule="exact"/>
        <w:ind w:firstLine="640"/>
        <w:jc w:val="both"/>
        <w:textAlignment w:val="auto"/>
        <w:outlineLvl w:val="1"/>
        <w:rPr>
          <w:rStyle w:val="12"/>
          <w:rFonts w:hint="eastAsia" w:ascii="黑体" w:hAnsi="黑体" w:eastAsia="黑体" w:cs="黑体"/>
          <w:b w:val="0"/>
          <w:i w:val="0"/>
          <w:iCs w:val="0"/>
          <w:sz w:val="32"/>
          <w:szCs w:val="32"/>
          <w:u w:val="none"/>
        </w:rPr>
      </w:pPr>
      <w:bookmarkStart w:id="43" w:name="_Toc15396612"/>
      <w:bookmarkStart w:id="44" w:name="_Toc15377221"/>
      <w:r>
        <w:rPr>
          <w:rStyle w:val="12"/>
          <w:rFonts w:hint="eastAsia" w:ascii="黑体" w:hAnsi="黑体" w:eastAsia="黑体" w:cs="黑体"/>
          <w:b w:val="0"/>
          <w:i w:val="0"/>
          <w:iCs w:val="0"/>
          <w:sz w:val="32"/>
          <w:szCs w:val="32"/>
          <w:u w:val="none"/>
        </w:rPr>
        <w:t>其他重要事项的情况说明</w:t>
      </w:r>
      <w:bookmarkEnd w:id="43"/>
      <w:bookmarkEnd w:id="44"/>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Chars="200"/>
        <w:jc w:val="both"/>
        <w:textAlignment w:val="auto"/>
        <w:outlineLvl w:val="2"/>
        <w:rPr>
          <w:rFonts w:hint="eastAsia" w:ascii="楷体_GB2312" w:hAnsi="楷体_GB2312" w:eastAsia="楷体_GB2312" w:cs="楷体_GB2312"/>
          <w:i w:val="0"/>
          <w:iCs w:val="0"/>
          <w:color w:val="000000"/>
          <w:sz w:val="32"/>
          <w:szCs w:val="32"/>
          <w:u w:val="none"/>
        </w:rPr>
      </w:pPr>
      <w:bookmarkStart w:id="45" w:name="_Toc15377222"/>
      <w:r>
        <w:rPr>
          <w:rFonts w:hint="eastAsia" w:ascii="楷体_GB2312" w:hAnsi="楷体_GB2312" w:eastAsia="楷体_GB2312" w:cs="楷体_GB2312"/>
          <w:b/>
          <w:i w:val="0"/>
          <w:iCs w:val="0"/>
          <w:color w:val="000000"/>
          <w:sz w:val="32"/>
          <w:szCs w:val="32"/>
          <w:u w:val="none"/>
        </w:rPr>
        <w:t>（一）机关运行经费支出情况</w:t>
      </w:r>
      <w:bookmarkEnd w:id="45"/>
    </w:p>
    <w:p>
      <w:pPr>
        <w:pStyle w:val="11"/>
        <w:keepNext w:val="0"/>
        <w:keepLines w:val="0"/>
        <w:pageBreakBefore w:val="0"/>
        <w:widowControl w:val="0"/>
        <w:kinsoku/>
        <w:wordWrap/>
        <w:overflowPunct/>
        <w:topLinePunct w:val="0"/>
        <w:bidi w:val="0"/>
        <w:adjustRightInd/>
        <w:snapToGrid/>
        <w:spacing w:beforeLines="0" w:afterLines="0" w:line="600" w:lineRule="exact"/>
        <w:ind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中心为事业单位，无机关运行费支出。</w:t>
      </w:r>
    </w:p>
    <w:p>
      <w:pPr>
        <w:pStyle w:val="11"/>
        <w:keepNext w:val="0"/>
        <w:keepLines w:val="0"/>
        <w:pageBreakBefore w:val="0"/>
        <w:widowControl w:val="0"/>
        <w:numPr>
          <w:ilvl w:val="0"/>
          <w:numId w:val="0"/>
        </w:numPr>
        <w:kinsoku/>
        <w:wordWrap/>
        <w:overflowPunct/>
        <w:topLinePunct w:val="0"/>
        <w:bidi w:val="0"/>
        <w:adjustRightInd/>
        <w:snapToGrid/>
        <w:spacing w:beforeLines="0" w:afterLines="0" w:line="600" w:lineRule="exact"/>
        <w:ind w:left="0" w:firstLineChars="200"/>
        <w:jc w:val="both"/>
        <w:textAlignment w:val="auto"/>
        <w:outlineLvl w:val="2"/>
        <w:rPr>
          <w:rFonts w:hint="eastAsia" w:ascii="楷体_GB2312" w:hAnsi="楷体_GB2312" w:eastAsia="楷体_GB2312" w:cs="楷体_GB2312"/>
          <w:b/>
          <w:i w:val="0"/>
          <w:iCs w:val="0"/>
          <w:color w:val="000000"/>
          <w:sz w:val="32"/>
          <w:szCs w:val="32"/>
          <w:u w:val="none"/>
        </w:rPr>
      </w:pPr>
      <w:bookmarkStart w:id="46" w:name="_Toc15377223"/>
      <w:r>
        <w:rPr>
          <w:rFonts w:hint="eastAsia" w:ascii="楷体_GB2312" w:hAnsi="楷体_GB2312" w:eastAsia="楷体_GB2312" w:cs="楷体_GB2312"/>
          <w:b/>
          <w:i w:val="0"/>
          <w:iCs w:val="0"/>
          <w:color w:val="000000"/>
          <w:sz w:val="32"/>
          <w:szCs w:val="32"/>
          <w:u w:val="none"/>
        </w:rPr>
        <w:t>（二）政府采购支出情况</w:t>
      </w:r>
      <w:bookmarkEnd w:id="46"/>
    </w:p>
    <w:p>
      <w:pPr>
        <w:pStyle w:val="11"/>
        <w:keepNext w:val="0"/>
        <w:keepLines w:val="0"/>
        <w:pageBreakBefore w:val="0"/>
        <w:widowControl w:val="0"/>
        <w:kinsoku/>
        <w:wordWrap/>
        <w:overflowPunct/>
        <w:topLinePunct w:val="0"/>
        <w:bidi w:val="0"/>
        <w:adjustRightInd/>
        <w:snapToGrid/>
        <w:spacing w:beforeLines="0" w:afterLines="0" w:line="600" w:lineRule="exact"/>
        <w:ind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2020年，四川省法律援助中心政府采购支出总额0万元，其中：政府采购货物支出0万元、政府采购工程支出0万元、政府采购服务支出0万元。授予中小企业合同金额0万元，占政府采购支出总额的</w:t>
      </w:r>
      <w:r>
        <w:rPr>
          <w:rFonts w:hint="eastAsia" w:ascii="仿宋_GB2312" w:hAnsi="仿宋_GB2312" w:eastAsia="仿宋_GB2312" w:cs="仿宋_GB2312"/>
          <w:i w:val="0"/>
          <w:iCs w:val="0"/>
          <w:color w:val="000000"/>
          <w:sz w:val="32"/>
          <w:szCs w:val="32"/>
          <w:u w:val="none"/>
          <w:lang w:val="en-US" w:eastAsia="zh-CN"/>
        </w:rPr>
        <w:t>0</w:t>
      </w:r>
      <w:r>
        <w:rPr>
          <w:rFonts w:hint="eastAsia" w:ascii="仿宋_GB2312" w:hAnsi="仿宋_GB2312" w:eastAsia="仿宋_GB2312" w:cs="仿宋_GB2312"/>
          <w:i w:val="0"/>
          <w:iCs w:val="0"/>
          <w:color w:val="000000"/>
          <w:sz w:val="32"/>
          <w:szCs w:val="32"/>
          <w:u w:val="none"/>
        </w:rPr>
        <w:t>%，其中：授予小微企业合同金额0万元，占政府采购支出总额的0%。</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600" w:lineRule="exact"/>
        <w:ind w:left="0" w:firstLineChars="200"/>
        <w:jc w:val="both"/>
        <w:textAlignment w:val="auto"/>
        <w:outlineLvl w:val="2"/>
        <w:rPr>
          <w:rFonts w:hint="eastAsia" w:ascii="楷体_GB2312" w:hAnsi="楷体_GB2312" w:eastAsia="楷体_GB2312" w:cs="楷体_GB2312"/>
          <w:b/>
          <w:i w:val="0"/>
          <w:iCs w:val="0"/>
          <w:color w:val="000000"/>
          <w:sz w:val="32"/>
          <w:szCs w:val="32"/>
          <w:u w:val="none"/>
        </w:rPr>
      </w:pPr>
      <w:bookmarkStart w:id="47" w:name="_Toc15377224"/>
      <w:r>
        <w:rPr>
          <w:rFonts w:hint="eastAsia" w:ascii="楷体_GB2312" w:hAnsi="楷体_GB2312" w:eastAsia="楷体_GB2312" w:cs="楷体_GB2312"/>
          <w:b/>
          <w:i w:val="0"/>
          <w:iCs w:val="0"/>
          <w:color w:val="000000"/>
          <w:sz w:val="32"/>
          <w:szCs w:val="32"/>
          <w:u w:val="none"/>
        </w:rPr>
        <w:t>（三）国有资产占有使用情况</w:t>
      </w:r>
      <w:bookmarkEnd w:id="47"/>
    </w:p>
    <w:p>
      <w:pPr>
        <w:pStyle w:val="11"/>
        <w:keepNext w:val="0"/>
        <w:keepLines w:val="0"/>
        <w:pageBreakBefore w:val="0"/>
        <w:widowControl w:val="0"/>
        <w:kinsoku/>
        <w:wordWrap/>
        <w:overflowPunct/>
        <w:topLinePunct w:val="0"/>
        <w:autoSpaceDE w:val="0"/>
        <w:autoSpaceDN w:val="0"/>
        <w:bidi w:val="0"/>
        <w:adjustRightInd/>
        <w:snapToGrid/>
        <w:spacing w:beforeLines="0" w:afterLines="0" w:line="600" w:lineRule="exact"/>
        <w:ind w:firstLineChars="200"/>
        <w:jc w:val="both"/>
        <w:textAlignment w:val="auto"/>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sz w:val="32"/>
          <w:szCs w:val="32"/>
          <w:u w:val="none"/>
        </w:rPr>
        <w:t>截至2020年12月31日，四川省法律援助中心共有车辆0辆</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单价50万元以上通用设备0台（套），单价100</w:t>
      </w:r>
      <w:r>
        <w:rPr>
          <w:rFonts w:hint="eastAsia" w:ascii="仿宋_GB2312" w:hAnsi="仿宋_GB2312" w:eastAsia="仿宋_GB2312" w:cs="仿宋_GB2312"/>
          <w:i w:val="0"/>
          <w:iCs w:val="0"/>
          <w:color w:val="000000"/>
          <w:sz w:val="32"/>
          <w:szCs w:val="32"/>
          <w:u w:val="none"/>
        </w:rPr>
        <w:t>万元以上专用设备0台（套）。</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beforeLines="0" w:afterLines="0" w:line="600" w:lineRule="exact"/>
        <w:ind w:left="0" w:firstLineChars="200"/>
        <w:jc w:val="both"/>
        <w:textAlignment w:val="auto"/>
        <w:outlineLvl w:val="2"/>
        <w:rPr>
          <w:rFonts w:hint="eastAsia" w:ascii="楷体_GB2312" w:hAnsi="楷体_GB2312" w:eastAsia="楷体_GB2312" w:cs="楷体_GB2312"/>
          <w:b/>
          <w:i w:val="0"/>
          <w:iCs w:val="0"/>
          <w:color w:val="000000"/>
          <w:sz w:val="32"/>
          <w:szCs w:val="32"/>
          <w:u w:val="none"/>
        </w:rPr>
      </w:pPr>
      <w:r>
        <w:rPr>
          <w:rFonts w:hint="eastAsia" w:ascii="楷体_GB2312" w:hAnsi="楷体_GB2312" w:eastAsia="楷体_GB2312" w:cs="楷体_GB2312"/>
          <w:b/>
          <w:i w:val="0"/>
          <w:iCs w:val="0"/>
          <w:color w:val="000000"/>
          <w:sz w:val="32"/>
          <w:szCs w:val="32"/>
          <w:u w:val="none"/>
        </w:rPr>
        <w:t>（四）预算绩效管理情况。</w:t>
      </w:r>
    </w:p>
    <w:p>
      <w:pPr>
        <w:pStyle w:val="11"/>
        <w:keepNext w:val="0"/>
        <w:keepLines w:val="0"/>
        <w:pageBreakBefore w:val="0"/>
        <w:widowControl w:val="0"/>
        <w:kinsoku/>
        <w:wordWrap/>
        <w:overflowPunct/>
        <w:topLinePunct w:val="0"/>
        <w:bidi w:val="0"/>
        <w:adjustRightInd/>
        <w:snapToGrid/>
        <w:spacing w:beforeLines="0" w:afterLines="0" w:line="600" w:lineRule="exact"/>
        <w:ind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i w:val="0"/>
          <w:iCs w:val="0"/>
          <w:color w:val="auto"/>
          <w:sz w:val="32"/>
          <w:szCs w:val="32"/>
          <w:u w:val="none"/>
        </w:rPr>
        <w:t>本</w:t>
      </w:r>
      <w:r>
        <w:rPr>
          <w:rFonts w:hint="eastAsia" w:ascii="仿宋_GB2312" w:hAnsi="仿宋_GB2312" w:eastAsia="仿宋_GB2312" w:cs="仿宋_GB2312"/>
          <w:i w:val="0"/>
          <w:iCs w:val="0"/>
          <w:color w:val="auto"/>
          <w:sz w:val="32"/>
          <w:szCs w:val="32"/>
          <w:u w:val="none"/>
          <w:lang w:eastAsia="zh-CN"/>
        </w:rPr>
        <w:t>单位</w:t>
      </w:r>
      <w:r>
        <w:rPr>
          <w:rFonts w:hint="eastAsia" w:ascii="仿宋_GB2312" w:hAnsi="仿宋_GB2312" w:eastAsia="仿宋_GB2312" w:cs="仿宋_GB2312"/>
          <w:i w:val="0"/>
          <w:iCs w:val="0"/>
          <w:color w:val="auto"/>
          <w:sz w:val="32"/>
          <w:szCs w:val="32"/>
          <w:u w:val="none"/>
        </w:rPr>
        <w:t>无专项预算项目，因此未组织开展项目支出绩效评价</w:t>
      </w:r>
      <w:r>
        <w:rPr>
          <w:rFonts w:hint="eastAsia" w:ascii="仿宋_GB2312" w:hAnsi="仿宋_GB2312" w:eastAsia="仿宋_GB2312" w:cs="仿宋_GB2312"/>
          <w:i w:val="0"/>
          <w:iCs w:val="0"/>
          <w:color w:val="auto"/>
          <w:sz w:val="32"/>
          <w:szCs w:val="32"/>
          <w:u w:val="none"/>
          <w:lang w:eastAsia="zh-CN"/>
        </w:rPr>
        <w:t>。</w:t>
      </w:r>
      <w:r>
        <w:br w:type="page"/>
      </w:r>
    </w:p>
    <w:p>
      <w:pPr>
        <w:pStyle w:val="11"/>
        <w:widowControl/>
        <w:spacing w:line="600" w:lineRule="exact"/>
        <w:jc w:val="center"/>
        <w:rPr>
          <w:rStyle w:val="9"/>
          <w:rFonts w:hint="eastAsia" w:ascii="方正小标宋简体" w:hAnsi="方正小标宋简体" w:eastAsia="方正小标宋简体" w:cs="方正小标宋简体"/>
          <w:b w:val="0"/>
          <w:bCs w:val="0"/>
        </w:rPr>
      </w:pPr>
      <w:bookmarkStart w:id="48" w:name="_Toc15396613"/>
      <w:bookmarkStart w:id="49" w:name="_Toc15377225"/>
      <w:r>
        <w:rPr>
          <w:rStyle w:val="9"/>
          <w:rFonts w:hint="eastAsia" w:ascii="方正小标宋简体" w:hAnsi="方正小标宋简体" w:eastAsia="方正小标宋简体" w:cs="方正小标宋简体"/>
          <w:b w:val="0"/>
          <w:bCs w:val="0"/>
        </w:rPr>
        <w:t xml:space="preserve">第三部分  </w:t>
      </w:r>
      <w:r>
        <w:rPr>
          <w:rFonts w:hint="eastAsia" w:ascii="方正小标宋简体" w:hAnsi="方正小标宋简体" w:eastAsia="方正小标宋简体" w:cs="方正小标宋简体"/>
          <w:b w:val="0"/>
          <w:bCs w:val="0"/>
          <w:color w:val="000000"/>
          <w:sz w:val="44"/>
          <w:szCs w:val="44"/>
        </w:rPr>
        <w:t>名</w:t>
      </w:r>
      <w:r>
        <w:rPr>
          <w:rStyle w:val="9"/>
          <w:rFonts w:hint="eastAsia" w:ascii="方正小标宋简体" w:hAnsi="方正小标宋简体" w:eastAsia="方正小标宋简体" w:cs="方正小标宋简体"/>
          <w:b w:val="0"/>
          <w:bCs w:val="0"/>
        </w:rPr>
        <w:t>词解释</w:t>
      </w:r>
      <w:bookmarkEnd w:id="48"/>
      <w:bookmarkEnd w:id="49"/>
    </w:p>
    <w:p>
      <w:pPr>
        <w:pStyle w:val="11"/>
        <w:spacing w:line="600" w:lineRule="exact"/>
        <w:jc w:val="left"/>
        <w:rPr>
          <w:rFonts w:ascii="宋体" w:hAnsi="宋体"/>
          <w:b/>
          <w:color w:val="000000"/>
          <w:sz w:val="44"/>
          <w:szCs w:val="44"/>
        </w:rPr>
      </w:pP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1.财政拨款收入：指单位从同级财政部门取得的财政预算资金。</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2.事业收入：指事业单位开展专业业务活动及辅助活动取得的收入。</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3.经营收入：指事业单位在专业业务活动及其辅助活动之外开展非独立核算经营活动取得的收入。</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 xml:space="preserve">4.其他收入：指单位取得的除上述收入以外的各项收入。 </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 xml:space="preserve">5.使用非财政拨款结余：指事业单位使用以前年度积累的非财政拨款结余弥补当年收支差额的金额。 </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 xml:space="preserve">6.年初结转和结余：指以前年度尚未完成、结转到本年按有关规定继续使用的资金。 </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7.结余分配：指事业单位按照会计制度规定缴纳的所得税、提取的专用结余以及转入非财政拨款结余的金额等。</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8、年末结转和结余：指单位按有关规定结转到下年或以后年度继续使用的资金。</w:t>
      </w:r>
    </w:p>
    <w:p>
      <w:pPr>
        <w:pStyle w:val="1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9</w:t>
      </w:r>
      <w:r>
        <w:rPr>
          <w:rFonts w:ascii="仿宋_GB2312" w:hAnsi="仿宋_GB2312" w:eastAsia="仿宋_GB2312"/>
          <w:sz w:val="32"/>
          <w:szCs w:val="32"/>
        </w:rPr>
        <w:t>.公共安全支出（类）司法（款）行政运行（项）:反映</w:t>
      </w:r>
    </w:p>
    <w:p>
      <w:pPr>
        <w:pStyle w:val="19"/>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eastAsia="仿宋_GB2312"/>
          <w:sz w:val="32"/>
          <w:szCs w:val="32"/>
        </w:rPr>
      </w:pPr>
      <w:r>
        <w:rPr>
          <w:rFonts w:ascii="仿宋_GB2312" w:hAnsi="仿宋_GB2312" w:eastAsia="仿宋_GB2312"/>
          <w:sz w:val="32"/>
          <w:szCs w:val="32"/>
        </w:rPr>
        <w:t>行政单位（包括试行公务员管理的事业单位）的基本支出。</w:t>
      </w:r>
    </w:p>
    <w:p>
      <w:pPr>
        <w:pStyle w:val="1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10</w:t>
      </w:r>
      <w:r>
        <w:rPr>
          <w:rFonts w:ascii="仿宋_GB2312" w:hAnsi="仿宋_GB2312" w:eastAsia="仿宋_GB2312"/>
          <w:sz w:val="32"/>
          <w:szCs w:val="32"/>
        </w:rPr>
        <w:t>.社会保障和就业支出（类）行政事业单位离退休（款）未归口管理的行政事业单位离退休（项）: 指未实行归口管理的行政单位（包括实行公务员管理的事业单位）开支的离退休支出。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11</w:t>
      </w:r>
      <w:r>
        <w:rPr>
          <w:rFonts w:ascii="仿宋_GB2312" w:hAnsi="仿宋_GB2312" w:eastAsia="仿宋_GB2312"/>
          <w:sz w:val="32"/>
          <w:szCs w:val="32"/>
        </w:rPr>
        <w:t>.社会保障和就业支出（类）行政事业单位离退休（款）机关事业单位基本养老保险缴费支出（项）: 指机关事业单位实施养老保险制度由单位缴纳的基本养老保险支出。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color w:val="000000"/>
          <w:sz w:val="32"/>
          <w:szCs w:val="32"/>
        </w:rPr>
      </w:pPr>
      <w:r>
        <w:rPr>
          <w:rFonts w:ascii="仿宋_GB2312" w:hAnsi="仿宋_GB2312" w:eastAsia="仿宋_GB2312"/>
          <w:color w:val="000000"/>
          <w:sz w:val="32"/>
          <w:szCs w:val="32"/>
        </w:rPr>
        <w:t>12.医疗卫生与计划生育（类）行政事业单位医疗（款）事业单位医疗（项）：指反映行政事业单位医疗方面的支出。</w:t>
      </w:r>
    </w:p>
    <w:p>
      <w:pPr>
        <w:pStyle w:val="1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13</w:t>
      </w:r>
      <w:r>
        <w:rPr>
          <w:rFonts w:ascii="仿宋_GB2312" w:hAnsi="仿宋_GB2312" w:eastAsia="仿宋_GB2312"/>
          <w:sz w:val="32"/>
          <w:szCs w:val="32"/>
        </w:rPr>
        <w:t>.卫生健康支出（类）行政事业单位医疗（款）公务员医疗补助（项）:指财政部门集中安排的公务员补助经费。</w:t>
      </w:r>
    </w:p>
    <w:p>
      <w:pPr>
        <w:pStyle w:val="1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14</w:t>
      </w:r>
      <w:r>
        <w:rPr>
          <w:rFonts w:ascii="仿宋_GB2312" w:hAnsi="仿宋_GB2312" w:eastAsia="仿宋_GB2312"/>
          <w:sz w:val="32"/>
          <w:szCs w:val="32"/>
        </w:rPr>
        <w:t>.住房保障支付（类）住房改革支出（款）住房公积金（项）:指行政事业单位按人力资源和社会保障部、财政部规定的基本工资和津补贴以及规定比例为职工缴纳的住房公积金。</w:t>
      </w:r>
    </w:p>
    <w:p>
      <w:pPr>
        <w:pStyle w:val="1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sz w:val="32"/>
          <w:szCs w:val="32"/>
          <w:lang w:val="en-US" w:eastAsia="zh-CN"/>
        </w:rPr>
        <w:t>15</w:t>
      </w:r>
      <w:r>
        <w:rPr>
          <w:rFonts w:ascii="仿宋_GB2312" w:hAnsi="仿宋_GB2312" w:eastAsia="仿宋_GB2312"/>
          <w:sz w:val="32"/>
          <w:szCs w:val="32"/>
        </w:rPr>
        <w:t>.住房保障支出（类）住房改革支出（款）购房补贴（项）:指按房改政策规定，行政事业单位向符合条件职工（含离退休人员）、军队（含武警）向转役复员离退休人员发放的用于购买住房的补贴。</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16</w:t>
      </w:r>
      <w:r>
        <w:rPr>
          <w:rFonts w:ascii="仿宋_GB2312" w:hAnsi="仿宋_GB2312" w:eastAsia="仿宋_GB2312"/>
          <w:color w:val="000000"/>
          <w:sz w:val="32"/>
          <w:szCs w:val="32"/>
        </w:rPr>
        <w:t>.基本支出：指为保障机构正常运转、完成日常工作任务而发生的人员支出和公用支出。</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17</w:t>
      </w:r>
      <w:r>
        <w:rPr>
          <w:rFonts w:ascii="仿宋_GB2312" w:hAnsi="仿宋_GB2312" w:eastAsia="仿宋_GB2312"/>
          <w:color w:val="000000"/>
          <w:sz w:val="32"/>
          <w:szCs w:val="32"/>
        </w:rPr>
        <w:t xml:space="preserve">.项目支出：指在基本支出之外为完成特定行政任务和事业发展目标所发生的支出。 </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color w:val="000000"/>
          <w:sz w:val="32"/>
          <w:szCs w:val="32"/>
        </w:rPr>
      </w:pPr>
      <w:r>
        <w:rPr>
          <w:rFonts w:ascii="仿宋_GB2312" w:hAnsi="仿宋_GB2312" w:eastAsia="仿宋_GB2312"/>
          <w:color w:val="000000"/>
          <w:sz w:val="32"/>
          <w:szCs w:val="32"/>
        </w:rPr>
        <w:t>1</w:t>
      </w:r>
      <w:r>
        <w:rPr>
          <w:rFonts w:hint="eastAsia" w:ascii="仿宋_GB2312" w:hAnsi="仿宋_GB2312" w:eastAsia="仿宋_GB2312"/>
          <w:color w:val="000000"/>
          <w:sz w:val="32"/>
          <w:szCs w:val="32"/>
          <w:lang w:val="en-US" w:eastAsia="zh-CN"/>
        </w:rPr>
        <w:t>8</w:t>
      </w:r>
      <w:r>
        <w:rPr>
          <w:rFonts w:ascii="仿宋_GB2312" w:hAnsi="仿宋_GB2312" w:eastAsia="仿宋_GB2312"/>
          <w:color w:val="000000"/>
          <w:sz w:val="32"/>
          <w:szCs w:val="32"/>
        </w:rPr>
        <w:t>.经营支出：指事业单位在专业业务活动及其辅助活动之外开展非独立核算经营活动发生的支出。</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lang w:val="en-US" w:eastAsia="zh-CN"/>
        </w:rPr>
        <w:t>9</w:t>
      </w:r>
      <w:r>
        <w:rPr>
          <w:rFonts w:ascii="仿宋_GB2312" w:hAns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keepNext w:val="0"/>
        <w:keepLines w:val="0"/>
        <w:pageBreakBefore w:val="0"/>
        <w:widowControl w:val="0"/>
        <w:kinsoku/>
        <w:wordWrap/>
        <w:overflowPunct/>
        <w:topLinePunct w:val="0"/>
        <w:autoSpaceDE/>
        <w:autoSpaceDN/>
        <w:bidi w:val="0"/>
        <w:adjustRightInd/>
        <w:snapToGrid/>
        <w:spacing w:line="600" w:lineRule="exact"/>
        <w:ind w:firstLineChars="200"/>
        <w:jc w:val="both"/>
        <w:textAlignment w:val="auto"/>
        <w:rPr>
          <w:rFonts w:ascii="仿宋_GB2312" w:hAnsi="仿宋_GB2312" w:eastAsia="仿宋_GB2312"/>
          <w:sz w:val="32"/>
          <w:szCs w:val="32"/>
        </w:rPr>
      </w:pPr>
      <w:r>
        <w:rPr>
          <w:rFonts w:hint="eastAsia" w:ascii="仿宋_GB2312" w:hAnsi="仿宋_GB2312" w:eastAsia="仿宋_GB2312"/>
          <w:sz w:val="32"/>
          <w:szCs w:val="32"/>
          <w:lang w:val="en-US" w:eastAsia="zh-CN"/>
        </w:rPr>
        <w:t>20</w:t>
      </w:r>
      <w:r>
        <w:rPr>
          <w:rFonts w:ascii="仿宋_GB2312" w:hAns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jc w:val="both"/>
        <w:textAlignment w:val="auto"/>
        <w:outlineLvl w:val="0"/>
        <w:rPr>
          <w:rFonts w:ascii="黑体" w:hAnsi="黑体" w:eastAsia="黑体"/>
          <w:color w:val="000000"/>
          <w:sz w:val="32"/>
          <w:szCs w:val="32"/>
        </w:rPr>
      </w:pPr>
      <w:bookmarkStart w:id="50" w:name="_Toc15377226"/>
      <w:bookmarkEnd w:id="50"/>
      <w:bookmarkStart w:id="51" w:name="_Toc15396614"/>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jc w:val="both"/>
        <w:textAlignment w:val="auto"/>
        <w:outlineLvl w:val="0"/>
        <w:rPr>
          <w:rFonts w:ascii="黑体" w:hAnsi="黑体" w:eastAsia="黑体"/>
          <w:color w:val="000000"/>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jc w:val="both"/>
        <w:textAlignment w:val="auto"/>
        <w:outlineLvl w:val="0"/>
        <w:rPr>
          <w:rFonts w:ascii="黑体" w:hAnsi="黑体" w:eastAsia="黑体"/>
          <w:color w:val="000000"/>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jc w:val="both"/>
        <w:textAlignment w:val="auto"/>
        <w:outlineLvl w:val="0"/>
        <w:rPr>
          <w:rFonts w:ascii="黑体" w:hAnsi="黑体" w:eastAsia="黑体"/>
          <w:color w:val="000000"/>
          <w:sz w:val="32"/>
          <w:szCs w:val="32"/>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Style w:val="9"/>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9"/>
          <w:rFonts w:hint="eastAsia" w:ascii="方正小标宋简体" w:hAnsi="方正小标宋简体" w:eastAsia="方正小标宋简体" w:cs="方正小标宋简体"/>
          <w:b w:val="0"/>
        </w:rPr>
        <w:t xml:space="preserve">四部分 </w:t>
      </w:r>
      <w:r>
        <w:rPr>
          <w:rStyle w:val="9"/>
          <w:rFonts w:hint="eastAsia" w:ascii="方正小标宋简体" w:hAnsi="方正小标宋简体" w:eastAsia="方正小标宋简体" w:cs="方正小标宋简体"/>
          <w:b w:val="0"/>
          <w:lang w:val="en-US" w:eastAsia="zh-CN"/>
        </w:rPr>
        <w:t xml:space="preserve"> </w:t>
      </w:r>
      <w:r>
        <w:rPr>
          <w:rStyle w:val="9"/>
          <w:rFonts w:hint="eastAsia" w:ascii="方正小标宋简体" w:hAnsi="方正小标宋简体" w:eastAsia="方正小标宋简体" w:cs="方正小标宋简体"/>
          <w:b w:val="0"/>
        </w:rPr>
        <w:t>附件</w:t>
      </w:r>
      <w:bookmarkEnd w:id="51"/>
    </w:p>
    <w:p>
      <w:pPr>
        <w:pStyle w:val="11"/>
        <w:spacing w:line="600" w:lineRule="exact"/>
        <w:jc w:val="center"/>
        <w:rPr>
          <w:rFonts w:ascii="方正小标宋简体" w:hAnsi="方正小标宋简体" w:eastAsia="方正小标宋简体"/>
          <w:color w:val="FF0000"/>
          <w:kern w:val="0"/>
          <w:sz w:val="44"/>
          <w:szCs w:val="44"/>
          <w:lang w:val="zh-CN"/>
        </w:rPr>
      </w:pPr>
    </w:p>
    <w:p>
      <w:pPr>
        <w:pStyle w:val="11"/>
        <w:spacing w:line="6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无专项预算项目</w:t>
      </w:r>
    </w:p>
    <w:p>
      <w:pPr>
        <w:pStyle w:val="11"/>
        <w:spacing w:line="600" w:lineRule="exact"/>
        <w:rPr>
          <w:rFonts w:ascii="宋体" w:hAnsi="宋体"/>
          <w:sz w:val="32"/>
          <w:szCs w:val="32"/>
          <w:lang w:val="zh-CN"/>
        </w:rPr>
      </w:pPr>
    </w:p>
    <w:p>
      <w:pPr>
        <w:pStyle w:val="11"/>
        <w:spacing w:line="600" w:lineRule="exact"/>
        <w:rPr>
          <w:rFonts w:ascii="宋体" w:hAnsi="宋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sz w:val="44"/>
          <w:szCs w:val="44"/>
          <w:u w:val="none"/>
        </w:rPr>
      </w:pPr>
      <w:bookmarkStart w:id="52" w:name="_Toc153772261"/>
      <w:bookmarkEnd w:id="52"/>
      <w:bookmarkStart w:id="53" w:name="_Toc15396618"/>
      <w:r>
        <w:rPr>
          <w:rFonts w:hint="eastAsia" w:ascii="方正小标宋简体" w:hAnsi="方正小标宋简体" w:eastAsia="方正小标宋简体" w:cs="方正小标宋简体"/>
          <w:b w:val="0"/>
          <w:bCs w:val="0"/>
          <w:i w:val="0"/>
          <w:iCs w:val="0"/>
          <w:sz w:val="44"/>
          <w:szCs w:val="44"/>
          <w:u w:val="none"/>
        </w:rPr>
        <w:t>第五部分</w:t>
      </w:r>
      <w:r>
        <w:rPr>
          <w:rFonts w:hint="eastAsia" w:ascii="方正小标宋简体" w:hAnsi="方正小标宋简体" w:eastAsia="方正小标宋简体" w:cs="方正小标宋简体"/>
          <w:b w:val="0"/>
          <w:bCs w:val="0"/>
          <w:i w:val="0"/>
          <w:iCs w:val="0"/>
          <w:sz w:val="44"/>
          <w:szCs w:val="44"/>
          <w:u w:val="none"/>
          <w:lang w:val="en-US" w:eastAsia="zh-CN"/>
        </w:rPr>
        <w:t xml:space="preserve"> </w:t>
      </w:r>
      <w:r>
        <w:rPr>
          <w:rFonts w:hint="eastAsia" w:ascii="方正小标宋简体" w:hAnsi="方正小标宋简体" w:eastAsia="方正小标宋简体" w:cs="方正小标宋简体"/>
          <w:b w:val="0"/>
          <w:bCs w:val="0"/>
          <w:i w:val="0"/>
          <w:iCs w:val="0"/>
          <w:sz w:val="44"/>
          <w:szCs w:val="44"/>
          <w:u w:val="none"/>
        </w:rPr>
        <w:t xml:space="preserve"> 附表</w:t>
      </w:r>
      <w:bookmarkEnd w:id="53"/>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54" w:name="_Toc15396619"/>
      <w:r>
        <w:rPr>
          <w:rFonts w:hint="eastAsia" w:ascii="仿宋_GB2312" w:hAnsi="仿宋_GB2312" w:eastAsia="仿宋_GB2312" w:cs="仿宋_GB2312"/>
          <w:b w:val="0"/>
          <w:bCs w:val="0"/>
          <w:i w:val="0"/>
          <w:iCs w:val="0"/>
          <w:sz w:val="32"/>
          <w:szCs w:val="32"/>
          <w:u w:val="none"/>
        </w:rPr>
        <w:t>一、收入支出决算总表</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55" w:name="_Toc15396620"/>
      <w:r>
        <w:rPr>
          <w:rFonts w:hint="eastAsia" w:ascii="仿宋_GB2312" w:hAnsi="仿宋_GB2312" w:eastAsia="仿宋_GB2312" w:cs="仿宋_GB2312"/>
          <w:b w:val="0"/>
          <w:bCs w:val="0"/>
          <w:i w:val="0"/>
          <w:iCs w:val="0"/>
          <w:sz w:val="32"/>
          <w:szCs w:val="32"/>
          <w:u w:val="none"/>
        </w:rPr>
        <w:t>二、收入决算表</w:t>
      </w:r>
      <w:bookmarkEnd w:id="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56" w:name="_Toc15396621"/>
      <w:r>
        <w:rPr>
          <w:rFonts w:hint="eastAsia" w:ascii="仿宋_GB2312" w:hAnsi="仿宋_GB2312" w:eastAsia="仿宋_GB2312" w:cs="仿宋_GB2312"/>
          <w:b w:val="0"/>
          <w:bCs w:val="0"/>
          <w:i w:val="0"/>
          <w:iCs w:val="0"/>
          <w:sz w:val="32"/>
          <w:szCs w:val="32"/>
          <w:u w:val="none"/>
        </w:rPr>
        <w:t>三、支出决算表</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57" w:name="_Toc15396622"/>
      <w:r>
        <w:rPr>
          <w:rFonts w:hint="eastAsia" w:ascii="仿宋_GB2312" w:hAnsi="仿宋_GB2312" w:eastAsia="仿宋_GB2312" w:cs="仿宋_GB2312"/>
          <w:b w:val="0"/>
          <w:bCs w:val="0"/>
          <w:i w:val="0"/>
          <w:iCs w:val="0"/>
          <w:sz w:val="32"/>
          <w:szCs w:val="32"/>
          <w:u w:val="none"/>
        </w:rPr>
        <w:t>四、财政拨款收入支出决算总表</w:t>
      </w:r>
      <w:bookmarkEnd w:id="5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58" w:name="_Toc15396623"/>
      <w:r>
        <w:rPr>
          <w:rFonts w:hint="eastAsia" w:ascii="仿宋_GB2312" w:hAnsi="仿宋_GB2312" w:eastAsia="仿宋_GB2312" w:cs="仿宋_GB2312"/>
          <w:b w:val="0"/>
          <w:bCs w:val="0"/>
          <w:i w:val="0"/>
          <w:iCs w:val="0"/>
          <w:sz w:val="32"/>
          <w:szCs w:val="32"/>
          <w:u w:val="none"/>
        </w:rPr>
        <w:t>五、财政拨款支出决算明细表</w:t>
      </w:r>
      <w:bookmarkEnd w:id="58"/>
      <w:bookmarkStart w:id="59" w:name="_Toc153966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r>
        <w:rPr>
          <w:rFonts w:hint="eastAsia" w:ascii="仿宋_GB2312" w:hAnsi="仿宋_GB2312" w:eastAsia="仿宋_GB2312" w:cs="仿宋_GB2312"/>
          <w:b w:val="0"/>
          <w:bCs w:val="0"/>
          <w:i w:val="0"/>
          <w:iCs w:val="0"/>
          <w:sz w:val="32"/>
          <w:szCs w:val="32"/>
          <w:u w:val="none"/>
        </w:rPr>
        <w:t>六、一般公共预算财政拨款支出决算表</w:t>
      </w:r>
      <w:bookmarkEnd w:id="5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0" w:name="_Toc15396625"/>
      <w:r>
        <w:rPr>
          <w:rFonts w:hint="eastAsia" w:ascii="仿宋_GB2312" w:hAnsi="仿宋_GB2312" w:eastAsia="仿宋_GB2312" w:cs="仿宋_GB2312"/>
          <w:b w:val="0"/>
          <w:bCs w:val="0"/>
          <w:i w:val="0"/>
          <w:iCs w:val="0"/>
          <w:sz w:val="32"/>
          <w:szCs w:val="32"/>
          <w:u w:val="none"/>
        </w:rPr>
        <w:t>七、一般公共预算财政拨款支出决算明细表</w:t>
      </w:r>
      <w:bookmarkEnd w:id="6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1" w:name="_Toc15396626"/>
      <w:r>
        <w:rPr>
          <w:rFonts w:hint="eastAsia" w:ascii="仿宋_GB2312" w:hAnsi="仿宋_GB2312" w:eastAsia="仿宋_GB2312" w:cs="仿宋_GB2312"/>
          <w:b w:val="0"/>
          <w:bCs w:val="0"/>
          <w:i w:val="0"/>
          <w:iCs w:val="0"/>
          <w:sz w:val="32"/>
          <w:szCs w:val="32"/>
          <w:u w:val="none"/>
        </w:rPr>
        <w:t>八、一般公共预算财政拨款基本支出决算表</w:t>
      </w:r>
      <w:bookmarkEnd w:id="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2" w:name="_Toc15396627"/>
      <w:r>
        <w:rPr>
          <w:rFonts w:hint="eastAsia" w:ascii="仿宋_GB2312" w:hAnsi="仿宋_GB2312" w:eastAsia="仿宋_GB2312" w:cs="仿宋_GB2312"/>
          <w:b w:val="0"/>
          <w:bCs w:val="0"/>
          <w:i w:val="0"/>
          <w:iCs w:val="0"/>
          <w:sz w:val="32"/>
          <w:szCs w:val="32"/>
          <w:u w:val="none"/>
        </w:rPr>
        <w:t>九、一般公共预算财政拨款项目支出决算表</w:t>
      </w:r>
      <w:bookmarkEnd w:id="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3" w:name="_Toc15396628"/>
      <w:r>
        <w:rPr>
          <w:rFonts w:hint="eastAsia" w:ascii="仿宋_GB2312" w:hAnsi="仿宋_GB2312" w:eastAsia="仿宋_GB2312" w:cs="仿宋_GB2312"/>
          <w:b w:val="0"/>
          <w:bCs w:val="0"/>
          <w:i w:val="0"/>
          <w:iCs w:val="0"/>
          <w:sz w:val="32"/>
          <w:szCs w:val="32"/>
          <w:u w:val="none"/>
        </w:rPr>
        <w:t>十、一般公共预算财政拨款“三公”经费支出决算表</w:t>
      </w:r>
      <w:bookmarkEnd w:id="6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4" w:name="_Toc15396629"/>
      <w:r>
        <w:rPr>
          <w:rFonts w:hint="eastAsia" w:ascii="仿宋_GB2312" w:hAnsi="仿宋_GB2312" w:eastAsia="仿宋_GB2312" w:cs="仿宋_GB2312"/>
          <w:b w:val="0"/>
          <w:bCs w:val="0"/>
          <w:i w:val="0"/>
          <w:iCs w:val="0"/>
          <w:sz w:val="32"/>
          <w:szCs w:val="32"/>
          <w:u w:val="none"/>
        </w:rPr>
        <w:t>十一、政府性基金预算财政拨款收入支出决算表</w:t>
      </w:r>
      <w:bookmarkEnd w:id="6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5" w:name="_Toc15396630"/>
      <w:r>
        <w:rPr>
          <w:rFonts w:hint="eastAsia" w:ascii="仿宋_GB2312" w:hAnsi="仿宋_GB2312" w:eastAsia="仿宋_GB2312" w:cs="仿宋_GB2312"/>
          <w:b w:val="0"/>
          <w:bCs w:val="0"/>
          <w:i w:val="0"/>
          <w:iCs w:val="0"/>
          <w:sz w:val="32"/>
          <w:szCs w:val="32"/>
          <w:u w:val="none"/>
        </w:rPr>
        <w:t>十二、政府性基金预算财政拨款“三公”经费支出决算表</w:t>
      </w:r>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bookmarkStart w:id="66" w:name="_Toc15396631"/>
      <w:r>
        <w:rPr>
          <w:rFonts w:hint="eastAsia" w:ascii="仿宋_GB2312" w:hAnsi="仿宋_GB2312" w:eastAsia="仿宋_GB2312" w:cs="仿宋_GB2312"/>
          <w:b w:val="0"/>
          <w:bCs w:val="0"/>
          <w:i w:val="0"/>
          <w:iCs w:val="0"/>
          <w:sz w:val="32"/>
          <w:szCs w:val="32"/>
          <w:u w:val="none"/>
        </w:rPr>
        <w:t>十三、国有资本经营预算财政拨款收入支出决算表</w:t>
      </w:r>
      <w:bookmarkEnd w:id="6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sz w:val="32"/>
          <w:szCs w:val="32"/>
          <w:u w:val="none"/>
        </w:rPr>
      </w:pPr>
      <w:r>
        <w:rPr>
          <w:rFonts w:hint="eastAsia" w:ascii="仿宋_GB2312" w:hAnsi="仿宋_GB2312" w:eastAsia="仿宋_GB2312" w:cs="仿宋_GB2312"/>
          <w:b w:val="0"/>
          <w:bCs w:val="0"/>
          <w:i w:val="0"/>
          <w:iCs w:val="0"/>
          <w:sz w:val="32"/>
          <w:szCs w:val="32"/>
          <w:u w:val="none"/>
        </w:rPr>
        <w:t>十四、国有资本经营预算财政拨款支出决算表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sz w:val="32"/>
          <w:szCs w:val="32"/>
          <w:u w:val="none"/>
        </w:rPr>
      </w:pPr>
    </w:p>
    <w:sectPr>
      <w:footerReference r:id="rId4" w:type="first"/>
      <w:footerReference r:id="rId3" w:type="default"/>
      <w:pgSz w:w="11906" w:h="16838"/>
      <w:pgMar w:top="1531" w:right="1418" w:bottom="1531" w:left="1418" w:header="851" w:footer="1191" w:gutter="0"/>
      <w:pgNumType w:fmt="decimal" w:start="1"/>
      <w:formProt w:val="0"/>
      <w:titlePg/>
      <w:docGrid w:type="lines" w:linePitch="312" w:charSpace="2877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Arial Unicode MS"/>
    <w:panose1 w:val="03000509000000000000"/>
    <w:charset w:val="86"/>
    <w:family w:val="roman"/>
    <w:pitch w:val="default"/>
    <w:sig w:usb0="00000000" w:usb1="00000000" w:usb2="00000000" w:usb3="00000000" w:csb0="00040000" w:csb1="00000000"/>
  </w:font>
  <w:font w:name="Calibri">
    <w:panose1 w:val="020F0502020204030204"/>
    <w:charset w:val="01"/>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9"/>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08"/>
  <w:autoHyphen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40EC6"/>
    <w:rsid w:val="059F546D"/>
    <w:rsid w:val="06C11787"/>
    <w:rsid w:val="07496B98"/>
    <w:rsid w:val="09044E45"/>
    <w:rsid w:val="092D5E1C"/>
    <w:rsid w:val="0A2F2898"/>
    <w:rsid w:val="0D0F2581"/>
    <w:rsid w:val="0D854FBD"/>
    <w:rsid w:val="0DA0240F"/>
    <w:rsid w:val="0EEE494B"/>
    <w:rsid w:val="12B15634"/>
    <w:rsid w:val="12CD1BDD"/>
    <w:rsid w:val="16881292"/>
    <w:rsid w:val="1B0F1595"/>
    <w:rsid w:val="1F55511B"/>
    <w:rsid w:val="20465D37"/>
    <w:rsid w:val="24D65607"/>
    <w:rsid w:val="26BD28CF"/>
    <w:rsid w:val="2736301E"/>
    <w:rsid w:val="28BE0065"/>
    <w:rsid w:val="29987DFE"/>
    <w:rsid w:val="2AF11B88"/>
    <w:rsid w:val="2D230E67"/>
    <w:rsid w:val="2E7C1F94"/>
    <w:rsid w:val="3142776C"/>
    <w:rsid w:val="3411782B"/>
    <w:rsid w:val="35430768"/>
    <w:rsid w:val="35921065"/>
    <w:rsid w:val="37AE4C90"/>
    <w:rsid w:val="385723F9"/>
    <w:rsid w:val="3BAC7B4B"/>
    <w:rsid w:val="3D3806B0"/>
    <w:rsid w:val="3DB84C4F"/>
    <w:rsid w:val="3FFD5D89"/>
    <w:rsid w:val="40A01CB2"/>
    <w:rsid w:val="40B12948"/>
    <w:rsid w:val="423121B9"/>
    <w:rsid w:val="45F61C68"/>
    <w:rsid w:val="460D40CB"/>
    <w:rsid w:val="496A21BC"/>
    <w:rsid w:val="49A10CF2"/>
    <w:rsid w:val="49CB3B7C"/>
    <w:rsid w:val="4AA31BD3"/>
    <w:rsid w:val="4B57700D"/>
    <w:rsid w:val="4B7D087C"/>
    <w:rsid w:val="4BE256D0"/>
    <w:rsid w:val="4D0F2F97"/>
    <w:rsid w:val="50F736A5"/>
    <w:rsid w:val="50FD3C10"/>
    <w:rsid w:val="54A43F5C"/>
    <w:rsid w:val="57D40332"/>
    <w:rsid w:val="58972DD3"/>
    <w:rsid w:val="59850189"/>
    <w:rsid w:val="5FEB57A1"/>
    <w:rsid w:val="60C31732"/>
    <w:rsid w:val="60CC75D6"/>
    <w:rsid w:val="60E13552"/>
    <w:rsid w:val="61301833"/>
    <w:rsid w:val="61D32A80"/>
    <w:rsid w:val="61F26B0F"/>
    <w:rsid w:val="624D4068"/>
    <w:rsid w:val="63367347"/>
    <w:rsid w:val="67185F6F"/>
    <w:rsid w:val="6866570C"/>
    <w:rsid w:val="68CD6314"/>
    <w:rsid w:val="68EF608A"/>
    <w:rsid w:val="69064D51"/>
    <w:rsid w:val="6BB901CE"/>
    <w:rsid w:val="6D0B49CC"/>
    <w:rsid w:val="6D584C57"/>
    <w:rsid w:val="6EDE0F82"/>
    <w:rsid w:val="70221C5A"/>
    <w:rsid w:val="70B2199D"/>
    <w:rsid w:val="71D76E86"/>
    <w:rsid w:val="731C05DD"/>
    <w:rsid w:val="74A63CCE"/>
    <w:rsid w:val="774A5DE7"/>
    <w:rsid w:val="7A57445D"/>
    <w:rsid w:val="7E3D5DD2"/>
    <w:rsid w:val="7EDC2C97"/>
    <w:rsid w:val="7F7669F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jc w:val="left"/>
    </w:pPr>
    <w:rPr>
      <w:rFonts w:ascii="宋体" w:hAnsi="宋体" w:eastAsia="宋体" w:cs="宋体"/>
      <w:kern w:val="0"/>
      <w:sz w:val="24"/>
      <w:szCs w:val="24"/>
    </w:rPr>
  </w:style>
  <w:style w:type="character" w:customStyle="1" w:styleId="8">
    <w:name w:val="要点1"/>
    <w:basedOn w:val="7"/>
    <w:qFormat/>
    <w:uiPriority w:val="99"/>
    <w:rPr>
      <w:b/>
    </w:rPr>
  </w:style>
  <w:style w:type="character" w:customStyle="1" w:styleId="9">
    <w:name w:val="标题 1 Char"/>
    <w:basedOn w:val="7"/>
    <w:link w:val="10"/>
    <w:qFormat/>
    <w:uiPriority w:val="9"/>
    <w:rPr>
      <w:rFonts w:ascii="Times New Roman" w:hAnsi="Times New Roman"/>
      <w:b/>
      <w:bCs/>
      <w:kern w:val="2"/>
      <w:sz w:val="44"/>
      <w:szCs w:val="44"/>
    </w:rPr>
  </w:style>
  <w:style w:type="paragraph" w:customStyle="1" w:styleId="10">
    <w:name w:val="标题 11"/>
    <w:basedOn w:val="11"/>
    <w:next w:val="11"/>
    <w:link w:val="9"/>
    <w:qFormat/>
    <w:uiPriority w:val="9"/>
    <w:pPr>
      <w:keepNext/>
      <w:keepLines/>
      <w:spacing w:line="578" w:lineRule="auto"/>
      <w:outlineLvl w:val="0"/>
    </w:pPr>
    <w:rPr>
      <w:b/>
      <w:bCs/>
      <w:kern w:val="2"/>
      <w:sz w:val="44"/>
      <w:szCs w:val="44"/>
    </w:rPr>
  </w:style>
  <w:style w:type="paragraph" w:customStyle="1" w:styleId="11">
    <w:name w:val="正文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character" w:customStyle="1" w:styleId="12">
    <w:name w:val="标题 2 Char"/>
    <w:basedOn w:val="7"/>
    <w:link w:val="13"/>
    <w:qFormat/>
    <w:uiPriority w:val="9"/>
    <w:rPr>
      <w:rFonts w:asciiTheme="majorHAnsi" w:hAnsiTheme="majorHAnsi" w:eastAsiaTheme="majorEastAsia" w:cstheme="majorBidi"/>
      <w:b/>
      <w:bCs/>
      <w:kern w:val="2"/>
      <w:sz w:val="32"/>
      <w:szCs w:val="32"/>
    </w:rPr>
  </w:style>
  <w:style w:type="paragraph" w:customStyle="1" w:styleId="13">
    <w:name w:val="标题 21"/>
    <w:basedOn w:val="11"/>
    <w:next w:val="11"/>
    <w:link w:val="12"/>
    <w:unhideWhenUsed/>
    <w:qFormat/>
    <w:uiPriority w:val="9"/>
    <w:pPr>
      <w:keepNext/>
      <w:keepLines/>
      <w:spacing w:line="415" w:lineRule="auto"/>
      <w:outlineLvl w:val="1"/>
    </w:pPr>
    <w:rPr>
      <w:rFonts w:asciiTheme="majorHAnsi" w:hAnsiTheme="majorHAnsi" w:eastAsiaTheme="majorEastAsia" w:cstheme="majorBidi"/>
      <w:b/>
      <w:bCs/>
      <w:sz w:val="32"/>
      <w:szCs w:val="32"/>
    </w:rPr>
  </w:style>
  <w:style w:type="paragraph" w:customStyle="1" w:styleId="14">
    <w:name w:val="正文文本1"/>
    <w:basedOn w:val="11"/>
    <w:qFormat/>
    <w:uiPriority w:val="99"/>
    <w:rPr>
      <w:rFonts w:ascii="仿宋_GB2312" w:hAnsi="仿宋_GB2312" w:eastAsia="仿宋_GB2312"/>
      <w:kern w:val="0"/>
      <w:sz w:val="30"/>
    </w:rPr>
  </w:style>
  <w:style w:type="paragraph" w:customStyle="1" w:styleId="15">
    <w:name w:val="页脚1"/>
    <w:basedOn w:val="11"/>
    <w:qFormat/>
    <w:uiPriority w:val="99"/>
    <w:pPr>
      <w:tabs>
        <w:tab w:val="center" w:pos="4153"/>
        <w:tab w:val="right" w:pos="8306"/>
      </w:tabs>
      <w:snapToGrid w:val="0"/>
      <w:jc w:val="left"/>
    </w:pPr>
    <w:rPr>
      <w:rFonts w:ascii="Calibri" w:hAnsi="Calibri"/>
      <w:kern w:val="0"/>
      <w:sz w:val="18"/>
      <w:szCs w:val="18"/>
    </w:rPr>
  </w:style>
  <w:style w:type="paragraph" w:customStyle="1" w:styleId="16">
    <w:name w:val="页眉1"/>
    <w:basedOn w:val="11"/>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17">
    <w:name w:val="目录 11"/>
    <w:basedOn w:val="11"/>
    <w:next w:val="11"/>
    <w:unhideWhenUsed/>
    <w:qFormat/>
    <w:uiPriority w:val="39"/>
    <w:pPr>
      <w:tabs>
        <w:tab w:val="right" w:leader="dot" w:pos="8296"/>
      </w:tabs>
      <w:jc w:val="center"/>
    </w:pPr>
    <w:rPr>
      <w:rFonts w:ascii="仿宋" w:hAnsi="仿宋" w:eastAsia="仿宋"/>
      <w:sz w:val="28"/>
      <w:szCs w:val="28"/>
    </w:rPr>
  </w:style>
  <w:style w:type="paragraph" w:customStyle="1" w:styleId="18">
    <w:name w:val="目录 21"/>
    <w:basedOn w:val="11"/>
    <w:next w:val="11"/>
    <w:unhideWhenUsed/>
    <w:qFormat/>
    <w:uiPriority w:val="39"/>
    <w:pPr>
      <w:tabs>
        <w:tab w:val="right" w:leader="dot" w:pos="8296"/>
      </w:tabs>
      <w:ind w:left="420"/>
    </w:pPr>
  </w:style>
  <w:style w:type="paragraph" w:customStyle="1" w:styleId="19">
    <w:name w:val="Default"/>
    <w:qFormat/>
    <w:uiPriority w:val="99"/>
    <w:pPr>
      <w:widowControl w:val="0"/>
      <w:suppressAutoHyphens w:val="0"/>
      <w:bidi w:val="0"/>
      <w:spacing w:beforeLines="0" w:afterLines="0"/>
      <w:jc w:val="left"/>
    </w:pPr>
    <w:rPr>
      <w:rFonts w:ascii="仿宋" w:hAnsi="仿宋" w:eastAsia="仿宋" w:cs="仿宋"/>
      <w:color w:val="000000"/>
      <w:kern w:val="0"/>
      <w:sz w:val="24"/>
      <w:szCs w:val="24"/>
      <w:lang w:val="en-US" w:eastAsia="zh-CN" w:bidi="ar-SA"/>
    </w:rPr>
  </w:style>
  <w:style w:type="paragraph" w:customStyle="1" w:styleId="20">
    <w:name w:val="列表段落"/>
    <w:basedOn w:val="11"/>
    <w:qFormat/>
    <w:uiPriority w:val="99"/>
    <w:pPr>
      <w:ind w:firstLineChars="200"/>
    </w:pPr>
  </w:style>
  <w:style w:type="paragraph" w:customStyle="1" w:styleId="21">
    <w:name w:val="正文11"/>
    <w:next w:val="22"/>
    <w:qFormat/>
    <w:uiPriority w:val="0"/>
    <w:pPr>
      <w:widowControl w:val="0"/>
      <w:jc w:val="both"/>
    </w:pPr>
    <w:rPr>
      <w:rFonts w:ascii="Calibri" w:hAnsi="Calibri" w:eastAsia="宋体" w:cs="Times New Roman"/>
      <w:lang w:val="en-US" w:eastAsia="zh-CN" w:bidi="hi-IN"/>
    </w:rPr>
  </w:style>
  <w:style w:type="paragraph" w:customStyle="1" w:styleId="22">
    <w:name w:val="正文文本11"/>
    <w:basedOn w:val="21"/>
    <w:qFormat/>
    <w:uiPriority w:val="99"/>
    <w:rPr>
      <w:rFonts w:ascii="仿宋_GB2312" w:hAnsi="仿宋_GB2312" w:eastAsia="仿宋_GB2312"/>
      <w:kern w:val="0"/>
      <w:sz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行 2</c:v>
                </c:pt>
              </c:strCache>
            </c:strRef>
          </c:tx>
          <c:spPr>
            <a:solidFill>
              <a:srgbClr val="4F81BD"/>
            </a:solidFill>
            <a:ln w="0">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chemeClr val="dk1"/>
                    </a:solidFill>
                    <a:latin typeface="+mn-lt"/>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2020年（万元）</c:v>
                </c:pt>
                <c:pt idx="1">
                  <c:v>2019年（万元）</c:v>
                </c:pt>
              </c:strCache>
            </c:strRef>
          </c:cat>
          <c:val>
            <c:numRef>
              <c:f>0</c:f>
              <c:numCache>
                <c:formatCode>General</c:formatCode>
                <c:ptCount val="2"/>
                <c:pt idx="0">
                  <c:v>327.8</c:v>
                </c:pt>
                <c:pt idx="1">
                  <c:v>324.08</c:v>
                </c:pt>
              </c:numCache>
            </c:numRef>
          </c:val>
        </c:ser>
        <c:dLbls>
          <c:showLegendKey val="0"/>
          <c:showVal val="1"/>
          <c:showCatName val="0"/>
          <c:showSerName val="0"/>
          <c:showPercent val="0"/>
          <c:showBubbleSize val="1"/>
        </c:dLbls>
        <c:gapWidth val="150"/>
        <c:overlap val="0"/>
        <c:axId val="42136713"/>
        <c:axId val="34054729"/>
      </c:barChart>
      <c:catAx>
        <c:axId val="42136713"/>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chemeClr val="dk1"/>
                </a:solidFill>
                <a:latin typeface="+mn-lt"/>
                <a:ea typeface="+mn-ea"/>
                <a:cs typeface="+mn-cs"/>
              </a:defRPr>
            </a:pPr>
          </a:p>
        </c:txPr>
        <c:crossAx val="34054729"/>
        <c:crosses val="autoZero"/>
        <c:auto val="1"/>
        <c:lblAlgn val="ctr"/>
        <c:lblOffset val="100"/>
        <c:noMultiLvlLbl val="0"/>
      </c:catAx>
      <c:valAx>
        <c:axId val="34054729"/>
        <c:scaling>
          <c:orientation val="minMax"/>
        </c:scaling>
        <c:delete val="1"/>
        <c:axPos val="l"/>
        <c:majorGridlines>
          <c:spPr>
            <a:ln w="9360" cap="flat" cmpd="sng" algn="ctr">
              <a:solidFill>
                <a:srgbClr val="878787"/>
              </a:solidFill>
              <a:prstDash val="solid"/>
              <a:round/>
            </a:ln>
          </c:spPr>
        </c:majorGridlines>
        <c:numFmt formatCode="General" sourceLinked="0"/>
        <c:majorTickMark val="out"/>
        <c:minorTickMark val="none"/>
        <c:tickLblPos val="none"/>
        <c:txPr>
          <a:bodyPr rot="-60000000" spcFirstLastPara="0" vertOverflow="ellipsis" vert="horz" wrap="square" anchor="ctr" anchorCtr="1"/>
          <a:lstStyle/>
          <a:p>
            <a:pPr>
              <a:defRPr lang="zh-CN" sz="1000" b="0" i="0" u="none" strike="noStrike" kern="1200" spc="-1" baseline="0">
                <a:solidFill>
                  <a:schemeClr val="dk1"/>
                </a:solidFill>
                <a:latin typeface="+mn-lt"/>
                <a:ea typeface="+mn-ea"/>
                <a:cs typeface="+mn-cs"/>
              </a:defRPr>
            </a:pPr>
          </a:p>
        </c:txPr>
        <c:crossAx val="42136713"/>
        <c:crosses val="autoZero"/>
        <c:crossBetween val="between"/>
      </c:valAx>
      <c:spPr>
        <a:solidFill>
          <a:srgbClr val="FFFFFF"/>
        </a:solidFill>
        <a:ln w="0">
          <a:noFill/>
        </a:ln>
      </c:spPr>
    </c:plotArea>
    <c:legend>
      <c:legendPos val="r"/>
      <c:legendEntry>
        <c:idx val="0"/>
        <c:txPr>
          <a:bodyPr rot="0" spcFirstLastPara="0" vertOverflow="ellipsis" vert="horz" wrap="square" anchor="ctr" anchorCtr="1"/>
          <a:lstStyle/>
          <a:p>
            <a:pPr>
              <a:defRPr lang="zh-CN" sz="1000" b="0" i="0" u="none" strike="noStrike" kern="1200" spc="-1" baseline="0">
                <a:solidFill>
                  <a:schemeClr val="dk1"/>
                </a:solidFill>
                <a:latin typeface="+mn-lt"/>
                <a:ea typeface="+mn-ea"/>
                <a:cs typeface="+mn-cs"/>
              </a:defRPr>
            </a:pPr>
          </a:p>
        </c:txPr>
      </c:legendEntry>
      <c:layout/>
      <c:overlay val="0"/>
      <c:spPr>
        <a:noFill/>
        <a:ln w="0">
          <a:noFill/>
        </a:ln>
      </c:spPr>
      <c:txPr>
        <a:bodyPr rot="0" spcFirstLastPara="0" vertOverflow="ellipsis" vert="horz" wrap="square" anchor="ctr" anchorCtr="1"/>
        <a:lstStyle/>
        <a:p>
          <a:pPr>
            <a:defRPr lang="zh-CN" sz="1000" b="0" i="0" u="none" strike="noStrike" kern="1200" spc="-1" baseline="0">
              <a:solidFill>
                <a:schemeClr val="dk1"/>
              </a:solidFill>
              <a:latin typeface="+mn-lt"/>
              <a:ea typeface="+mn-ea"/>
              <a:cs typeface="+mn-cs"/>
            </a:defRPr>
          </a:pPr>
        </a:p>
      </c:txPr>
    </c:legend>
    <c:plotVisOnly val="1"/>
    <c:dispBlanksAs val="gap"/>
    <c:showDLblsOverMax val="0"/>
  </c:chart>
  <c:spPr>
    <a:solidFill>
      <a:schemeClr val="lt1"/>
    </a:solidFill>
    <a:ln w="25400" cap="flat" cmpd="sng" algn="ctr">
      <a:solidFill>
        <a:schemeClr val="accent5"/>
      </a:solidFill>
      <a:prstDash val="solid"/>
      <a:round/>
    </a:ln>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列 B</c:v>
                </c:pt>
              </c:strCache>
            </c:strRef>
          </c:tx>
          <c:spPr>
            <a:solidFill>
              <a:srgbClr val="4F81BD"/>
            </a:solidFill>
            <a:ln w="0">
              <a:noFill/>
            </a:ln>
          </c:spPr>
          <c:explosion val="0"/>
          <c:dPt>
            <c:idx val="0"/>
            <c:bubble3D val="0"/>
            <c:spPr>
              <a:solidFill>
                <a:srgbClr val="4F81BD"/>
              </a:solidFill>
              <a:ln w="0">
                <a:noFill/>
              </a:ln>
            </c:spPr>
          </c:dPt>
          <c:dPt>
            <c:idx val="1"/>
            <c:bubble3D val="0"/>
            <c:spPr>
              <a:solidFill>
                <a:srgbClr val="C0504D"/>
              </a:solidFill>
              <a:ln w="0">
                <a:noFill/>
              </a:ln>
            </c:spPr>
          </c:dPt>
          <c:dPt>
            <c:idx val="2"/>
            <c:bubble3D val="0"/>
            <c:spPr>
              <a:solidFill>
                <a:srgbClr val="9BBB59"/>
              </a:solidFill>
              <a:ln w="0">
                <a:noFill/>
              </a:ln>
            </c:spPr>
          </c:dPt>
          <c:dPt>
            <c:idx val="3"/>
            <c:bubble3D val="0"/>
            <c:spPr>
              <a:solidFill>
                <a:srgbClr val="8064A2"/>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2020年收入情况</c:v>
                </c:pt>
                <c:pt idx="1">
                  <c:v>一般公共预算财政拨款收入</c:v>
                </c:pt>
                <c:pt idx="2">
                  <c:v>其他收入</c:v>
                </c:pt>
                <c:pt idx="3">
                  <c:v>合计</c:v>
                </c:pt>
              </c:strCache>
            </c:strRef>
          </c:cat>
          <c:val>
            <c:numRef>
              <c:f>0</c:f>
              <c:numCache>
                <c:formatCode>General</c:formatCode>
                <c:ptCount val="4"/>
                <c:pt idx="1">
                  <c:v>327.8</c:v>
                </c:pt>
                <c:pt idx="2">
                  <c:v>0</c:v>
                </c:pt>
                <c:pt idx="3">
                  <c:v>327.8</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2020年支出情况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基本支出</c:v>
                </c:pt>
                <c:pt idx="1">
                  <c:v>项目支出</c:v>
                </c:pt>
                <c:pt idx="2">
                  <c:v>合计</c:v>
                </c:pt>
              </c:strCache>
            </c:strRef>
          </c:cat>
          <c:val>
            <c:numRef>
              <c:f>0</c:f>
              <c:numCache>
                <c:formatCode>General</c:formatCode>
                <c:ptCount val="3"/>
                <c:pt idx="0">
                  <c:v>327.8</c:v>
                </c:pt>
                <c:pt idx="1">
                  <c:v>0</c:v>
                </c:pt>
                <c:pt idx="2">
                  <c:v>327.8</c:v>
                </c:pt>
              </c:numCache>
            </c:numRef>
          </c:val>
        </c:ser>
        <c:dLbls>
          <c:showLegendKey val="0"/>
          <c:showVal val="0"/>
          <c:showCatName val="0"/>
          <c:showSerName val="0"/>
          <c:showPercent val="0"/>
          <c:showBubbleSize val="1"/>
          <c:showLeaderLines val="1"/>
        </c:dLbls>
        <c:firstSliceAng val="0"/>
      </c:pieChart>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财政拨款收、支决算总计变动情况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324.08</c:v>
                </c:pt>
                <c:pt idx="1">
                  <c:v>327.8</c:v>
                </c:pt>
              </c:numCache>
            </c:numRef>
          </c:val>
        </c:ser>
        <c:dLbls>
          <c:showLegendKey val="0"/>
          <c:showVal val="0"/>
          <c:showCatName val="0"/>
          <c:showSerName val="0"/>
          <c:showPercent val="0"/>
          <c:showBubbleSize val="1"/>
        </c:dLbls>
        <c:gapWidth val="150"/>
        <c:axId val="41447389"/>
        <c:axId val="86614703"/>
      </c:barChart>
      <c:catAx>
        <c:axId val="41447389"/>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86614703"/>
        <c:crosses val="autoZero"/>
        <c:auto val="1"/>
        <c:lblAlgn val="ctr"/>
        <c:lblOffset val="100"/>
        <c:noMultiLvlLbl val="0"/>
      </c:catAx>
      <c:valAx>
        <c:axId val="86614703"/>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41447389"/>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standar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324.08</c:v>
                </c:pt>
                <c:pt idx="1">
                  <c:v>327.8</c:v>
                </c:pt>
              </c:numCache>
            </c:numRef>
          </c:val>
        </c:ser>
        <c:dLbls>
          <c:showLegendKey val="0"/>
          <c:showVal val="0"/>
          <c:showCatName val="0"/>
          <c:showSerName val="0"/>
          <c:showPercent val="0"/>
          <c:showBubbleSize val="1"/>
        </c:dLbls>
        <c:gapWidth val="150"/>
        <c:axId val="97640530"/>
        <c:axId val="55067832"/>
      </c:barChart>
      <c:catAx>
        <c:axId val="97640530"/>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55067832"/>
        <c:crosses val="autoZero"/>
        <c:auto val="1"/>
        <c:lblAlgn val="ctr"/>
        <c:lblOffset val="100"/>
        <c:noMultiLvlLbl val="0"/>
      </c:catAx>
      <c:valAx>
        <c:axId val="55067832"/>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97640530"/>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一般公共预算财政拨款支出决算结构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Pt>
            <c:idx val="3"/>
            <c:bubble3D val="0"/>
            <c:explosion val="25"/>
            <c:spPr>
              <a:solidFill>
                <a:srgbClr val="8064A2"/>
              </a:solidFill>
              <a:ln w="0">
                <a:noFill/>
              </a:ln>
            </c:spPr>
          </c:dPt>
          <c:dPt>
            <c:idx val="4"/>
            <c:bubble3D val="0"/>
            <c:explosion val="25"/>
            <c:spPr>
              <a:solidFill>
                <a:srgbClr val="4BACC6"/>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一般公共服务（类）支出</c:v>
                </c:pt>
                <c:pt idx="1">
                  <c:v>社会保障和就业（类）支出</c:v>
                </c:pt>
                <c:pt idx="2">
                  <c:v>卫生健康支出</c:v>
                </c:pt>
                <c:pt idx="3">
                  <c:v>住房保障支出</c:v>
                </c:pt>
                <c:pt idx="4">
                  <c:v>合计</c:v>
                </c:pt>
              </c:strCache>
            </c:strRef>
          </c:cat>
          <c:val>
            <c:numRef>
              <c:f>0</c:f>
              <c:numCache>
                <c:formatCode>General</c:formatCode>
                <c:ptCount val="5"/>
                <c:pt idx="0">
                  <c:v>254.7</c:v>
                </c:pt>
                <c:pt idx="1">
                  <c:v>20.1</c:v>
                </c:pt>
                <c:pt idx="2">
                  <c:v>21.97</c:v>
                </c:pt>
                <c:pt idx="3">
                  <c:v>31.03</c:v>
                </c:pt>
                <c:pt idx="4">
                  <c:v>327.8</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6DB11-FA07-41D7-A8A7-019BEC6E3AD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5725</Words>
  <Characters>6273</Characters>
  <Paragraphs>158</Paragraphs>
  <TotalTime>2</TotalTime>
  <ScaleCrop>false</ScaleCrop>
  <LinksUpToDate>false</LinksUpToDate>
  <CharactersWithSpaces>6309</CharactersWithSpaces>
  <Application>WPS Office_11.8.2.8361_F1E327BC-269C-435d-A152-05C5408002CA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2021-08-22T12:49:00Z</dcterms:created>
  <dc:creator>曹颖</dc:creator>
  <cp:lastModifiedBy>YJLing</cp:lastModifiedBy>
  <cp:lastPrinted>2021-09-07T10:38:00Z</cp:lastPrinted>
  <dcterms:modified xsi:type="dcterms:W3CDTF">2021-09-09T11:48:19Z</dcterms:modified>
  <dc:title>四川省***</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