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000000" w:themeColor="text1"/>
          <w:sz w:val="72"/>
          <w:szCs w:val="72"/>
          <w:highlight w:val="none"/>
          <w:lang w:val="en-US" w:eastAsia="zh-CN"/>
          <w14:textFill>
            <w14:solidFill>
              <w14:schemeClr w14:val="tx1"/>
            </w14:solidFill>
          </w14:textFill>
        </w:rPr>
      </w:pPr>
      <w:bookmarkStart w:id="0" w:name="_Toc15377425"/>
      <w:bookmarkStart w:id="1" w:name="_Toc15377193"/>
      <w:bookmarkStart w:id="2" w:name="_Toc15396597"/>
      <w:bookmarkStart w:id="3" w:name="_Toc15396475"/>
      <w:bookmarkStart w:id="4" w:name="_Toc15378441"/>
      <w:bookmarkStart w:id="5" w:name="_Toc15306267"/>
    </w:p>
    <w:p>
      <w:pPr>
        <w:spacing w:line="600" w:lineRule="exact"/>
        <w:jc w:val="center"/>
        <w:outlineLvl w:val="0"/>
        <w:rPr>
          <w:rFonts w:ascii="方正小标宋简体" w:hAnsi="宋体" w:eastAsia="方正小标宋简体"/>
          <w:color w:val="000000" w:themeColor="text1"/>
          <w:sz w:val="72"/>
          <w:szCs w:val="72"/>
          <w:highlight w:val="none"/>
          <w14:textFill>
            <w14:solidFill>
              <w14:schemeClr w14:val="tx1"/>
            </w14:solidFill>
          </w14:textFill>
        </w:rPr>
      </w:pPr>
    </w:p>
    <w:p>
      <w:pPr>
        <w:spacing w:line="600" w:lineRule="exact"/>
        <w:jc w:val="center"/>
        <w:outlineLvl w:val="0"/>
        <w:rPr>
          <w:rFonts w:ascii="方正小标宋简体" w:hAnsi="宋体" w:eastAsia="方正小标宋简体"/>
          <w:color w:val="000000" w:themeColor="text1"/>
          <w:sz w:val="72"/>
          <w:szCs w:val="72"/>
          <w:highlight w:val="none"/>
          <w14:textFill>
            <w14:solidFill>
              <w14:schemeClr w14:val="tx1"/>
            </w14:solidFill>
          </w14:textFill>
        </w:rPr>
      </w:pPr>
    </w:p>
    <w:p>
      <w:pPr>
        <w:spacing w:line="600" w:lineRule="exact"/>
        <w:jc w:val="center"/>
        <w:outlineLvl w:val="0"/>
        <w:rPr>
          <w:rFonts w:ascii="方正小标宋简体" w:hAnsi="宋体" w:eastAsia="方正小标宋简体"/>
          <w:color w:val="000000" w:themeColor="text1"/>
          <w:sz w:val="72"/>
          <w:szCs w:val="72"/>
          <w:highlight w:val="none"/>
          <w14:textFill>
            <w14:solidFill>
              <w14:schemeClr w14:val="tx1"/>
            </w14:solidFill>
          </w14:textFill>
        </w:rPr>
      </w:pPr>
    </w:p>
    <w:p>
      <w:pPr>
        <w:adjustRightInd w:val="0"/>
        <w:snapToGrid w:val="0"/>
        <w:spacing w:line="360" w:lineRule="auto"/>
        <w:jc w:val="center"/>
        <w:outlineLvl w:val="0"/>
        <w:rPr>
          <w:rFonts w:hint="eastAsia" w:ascii="方正小标宋简体" w:hAnsi="方正小标宋简体" w:eastAsia="方正小标宋简体" w:cs="方正小标宋简体"/>
          <w:color w:val="000000" w:themeColor="text1"/>
          <w:sz w:val="72"/>
          <w:szCs w:val="72"/>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72"/>
          <w:szCs w:val="72"/>
          <w:highlight w:val="none"/>
          <w14:textFill>
            <w14:solidFill>
              <w14:schemeClr w14:val="tx1"/>
            </w14:solidFill>
          </w14:textFill>
        </w:rPr>
        <w:t>20</w:t>
      </w:r>
      <w:r>
        <w:rPr>
          <w:rFonts w:hint="eastAsia" w:ascii="方正小标宋简体" w:hAnsi="方正小标宋简体" w:eastAsia="方正小标宋简体" w:cs="方正小标宋简体"/>
          <w:color w:val="000000" w:themeColor="text1"/>
          <w:sz w:val="72"/>
          <w:szCs w:val="72"/>
          <w:highlight w:val="none"/>
          <w:lang w:val="en-US" w:eastAsia="zh-CN"/>
          <w14:textFill>
            <w14:solidFill>
              <w14:schemeClr w14:val="tx1"/>
            </w14:solidFill>
          </w14:textFill>
        </w:rPr>
        <w:t>21</w:t>
      </w:r>
      <w:r>
        <w:rPr>
          <w:rFonts w:hint="eastAsia" w:ascii="方正小标宋简体" w:hAnsi="方正小标宋简体" w:eastAsia="方正小标宋简体" w:cs="方正小标宋简体"/>
          <w:color w:val="000000" w:themeColor="text1"/>
          <w:sz w:val="72"/>
          <w:szCs w:val="72"/>
          <w:highlight w:val="none"/>
          <w14:textFill>
            <w14:solidFill>
              <w14:schemeClr w14:val="tx1"/>
            </w14:solidFill>
          </w14:textFill>
        </w:rPr>
        <w:t>年度</w:t>
      </w:r>
      <w:bookmarkEnd w:id="0"/>
      <w:bookmarkEnd w:id="1"/>
      <w:bookmarkEnd w:id="2"/>
      <w:bookmarkEnd w:id="3"/>
      <w:bookmarkEnd w:id="4"/>
    </w:p>
    <w:p>
      <w:pPr>
        <w:adjustRightInd w:val="0"/>
        <w:snapToGrid w:val="0"/>
        <w:spacing w:line="360" w:lineRule="auto"/>
        <w:jc w:val="center"/>
        <w:outlineLvl w:val="0"/>
        <w:rPr>
          <w:rFonts w:hint="eastAsia" w:ascii="方正小标宋简体" w:hAnsi="方正小标宋简体" w:eastAsia="方正小标宋简体" w:cs="方正小标宋简体"/>
          <w:color w:val="000000" w:themeColor="text1"/>
          <w:sz w:val="72"/>
          <w:szCs w:val="72"/>
          <w:highlight w:val="none"/>
          <w14:textFill>
            <w14:solidFill>
              <w14:schemeClr w14:val="tx1"/>
            </w14:solidFill>
          </w14:textFill>
        </w:rPr>
      </w:pPr>
      <w:bookmarkStart w:id="6" w:name="_Toc15377194"/>
      <w:bookmarkStart w:id="7" w:name="_Toc15377426"/>
      <w:bookmarkStart w:id="8" w:name="_Toc15378442"/>
      <w:bookmarkStart w:id="9" w:name="_Toc15396476"/>
      <w:bookmarkStart w:id="10" w:name="_Toc15396598"/>
      <w:r>
        <w:rPr>
          <w:rFonts w:hint="eastAsia" w:ascii="方正小标宋简体" w:hAnsi="方正小标宋简体" w:eastAsia="方正小标宋简体" w:cs="方正小标宋简体"/>
          <w:color w:val="000000" w:themeColor="text1"/>
          <w:sz w:val="72"/>
          <w:szCs w:val="72"/>
          <w:highlight w:val="none"/>
          <w14:textFill>
            <w14:solidFill>
              <w14:schemeClr w14:val="tx1"/>
            </w14:solidFill>
          </w14:textFill>
        </w:rPr>
        <w:t>四川省</w:t>
      </w:r>
      <w:bookmarkEnd w:id="5"/>
      <w:bookmarkStart w:id="11" w:name="_Toc15306268"/>
      <w:r>
        <w:rPr>
          <w:rFonts w:hint="eastAsia" w:ascii="方正小标宋简体" w:hAnsi="方正小标宋简体" w:eastAsia="方正小标宋简体" w:cs="方正小标宋简体"/>
          <w:color w:val="000000" w:themeColor="text1"/>
          <w:sz w:val="72"/>
          <w:szCs w:val="72"/>
          <w:highlight w:val="none"/>
          <w:lang w:eastAsia="zh-CN"/>
          <w14:textFill>
            <w14:solidFill>
              <w14:schemeClr w14:val="tx1"/>
            </w14:solidFill>
          </w14:textFill>
        </w:rPr>
        <w:t>司法厅</w:t>
      </w:r>
      <w:r>
        <w:rPr>
          <w:rFonts w:hint="eastAsia" w:ascii="方正小标宋简体" w:hAnsi="方正小标宋简体" w:eastAsia="方正小标宋简体" w:cs="方正小标宋简体"/>
          <w:color w:val="000000" w:themeColor="text1"/>
          <w:sz w:val="72"/>
          <w:szCs w:val="72"/>
          <w:highlight w:val="none"/>
          <w14:textFill>
            <w14:solidFill>
              <w14:schemeClr w14:val="tx1"/>
            </w14:solidFill>
          </w14:textFill>
        </w:rPr>
        <w:t>部门决算</w:t>
      </w:r>
      <w:bookmarkEnd w:id="6"/>
      <w:bookmarkEnd w:id="7"/>
      <w:bookmarkEnd w:id="8"/>
      <w:bookmarkEnd w:id="9"/>
      <w:bookmarkEnd w:id="10"/>
      <w:bookmarkEnd w:id="11"/>
    </w:p>
    <w:p>
      <w:pPr>
        <w:widowControl/>
        <w:jc w:val="center"/>
        <w:rPr>
          <w:rFonts w:ascii="黑体" w:hAnsi="黑体" w:eastAsia="黑体"/>
          <w:color w:val="000000" w:themeColor="text1"/>
          <w:sz w:val="48"/>
          <w:szCs w:val="48"/>
          <w:highlight w:val="none"/>
          <w14:textFill>
            <w14:solidFill>
              <w14:schemeClr w14:val="tx1"/>
            </w14:solidFill>
          </w14:textFill>
        </w:rPr>
      </w:pPr>
      <w:r>
        <w:rPr>
          <w:rFonts w:ascii="方正小标宋简体" w:hAnsi="宋体" w:eastAsia="方正小标宋简体"/>
          <w:color w:val="000000" w:themeColor="text1"/>
          <w:sz w:val="36"/>
          <w:szCs w:val="36"/>
          <w:highlight w:val="none"/>
          <w14:textFill>
            <w14:solidFill>
              <w14:schemeClr w14:val="tx1"/>
            </w14:solidFill>
          </w14:textFill>
        </w:rPr>
        <w:br w:type="page"/>
      </w:r>
      <w:r>
        <w:rPr>
          <w:rFonts w:hint="eastAsia" w:ascii="黑体" w:hAnsi="黑体" w:eastAsia="黑体"/>
          <w:color w:val="000000" w:themeColor="text1"/>
          <w:sz w:val="48"/>
          <w:szCs w:val="48"/>
          <w:highlight w:val="none"/>
          <w14:textFill>
            <w14:solidFill>
              <w14:schemeClr w14:val="tx1"/>
            </w14:solidFill>
          </w14:textFill>
        </w:rPr>
        <w:t>目</w:t>
      </w:r>
      <w:r>
        <w:rPr>
          <w:rFonts w:hint="eastAsia" w:ascii="黑体" w:hAnsi="黑体" w:eastAsia="黑体"/>
          <w:color w:val="000000" w:themeColor="text1"/>
          <w:sz w:val="48"/>
          <w:szCs w:val="48"/>
          <w:highlight w:val="none"/>
          <w:lang w:val="en-US" w:eastAsia="zh-CN"/>
          <w14:textFill>
            <w14:solidFill>
              <w14:schemeClr w14:val="tx1"/>
            </w14:solidFill>
          </w14:textFill>
        </w:rPr>
        <w:t xml:space="preserve">  </w:t>
      </w:r>
      <w:r>
        <w:rPr>
          <w:rFonts w:hint="eastAsia" w:ascii="黑体" w:hAnsi="黑体" w:eastAsia="黑体"/>
          <w:color w:val="000000" w:themeColor="text1"/>
          <w:sz w:val="48"/>
          <w:szCs w:val="48"/>
          <w:highlight w:val="none"/>
          <w14:textFill>
            <w14:solidFill>
              <w14:schemeClr w14:val="tx1"/>
            </w14:solidFill>
          </w14:textFill>
        </w:rPr>
        <w:t>录</w:t>
      </w:r>
    </w:p>
    <w:p>
      <w:pPr>
        <w:widowControl/>
        <w:jc w:val="center"/>
        <w:rPr>
          <w:rFonts w:ascii="黑体" w:hAnsi="黑体" w:eastAsia="黑体" w:cstheme="minorBidi"/>
          <w:color w:val="000000" w:themeColor="text1"/>
          <w:sz w:val="28"/>
          <w:szCs w:val="28"/>
          <w:highlight w:val="none"/>
          <w14:textFill>
            <w14:solidFill>
              <w14:schemeClr w14:val="tx1"/>
            </w14:solidFill>
          </w14:textFill>
        </w:rPr>
      </w:pPr>
    </w:p>
    <w:p>
      <w:pPr>
        <w:pStyle w:val="12"/>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公开时间：20</w:t>
      </w:r>
      <w:r>
        <w:rPr>
          <w:rFonts w:hint="eastAsia" w:ascii="宋体" w:hAnsi="宋体" w:eastAsia="宋体" w:cs="宋体"/>
          <w:color w:val="000000" w:themeColor="text1"/>
          <w:sz w:val="32"/>
          <w:szCs w:val="32"/>
          <w:highlight w:val="none"/>
          <w:lang w:val="en-US" w:eastAsia="zh-CN"/>
          <w14:textFill>
            <w14:solidFill>
              <w14:schemeClr w14:val="tx1"/>
            </w14:solidFill>
          </w14:textFill>
        </w:rPr>
        <w:t>22</w:t>
      </w:r>
      <w:r>
        <w:rPr>
          <w:rFonts w:hint="eastAsia" w:ascii="宋体" w:hAnsi="宋体" w:eastAsia="宋体" w:cs="宋体"/>
          <w:color w:val="000000" w:themeColor="text1"/>
          <w:sz w:val="32"/>
          <w:szCs w:val="32"/>
          <w:highlight w:val="none"/>
          <w14:textFill>
            <w14:solidFill>
              <w14:schemeClr w14:val="tx1"/>
            </w14:solidFill>
          </w14:textFill>
        </w:rPr>
        <w:t>年</w:t>
      </w:r>
      <w:r>
        <w:rPr>
          <w:rFonts w:hint="eastAsia" w:ascii="宋体" w:hAnsi="宋体" w:eastAsia="宋体" w:cs="宋体"/>
          <w:color w:val="000000" w:themeColor="text1"/>
          <w:sz w:val="32"/>
          <w:szCs w:val="32"/>
          <w:highlight w:val="none"/>
          <w:lang w:val="en-US" w:eastAsia="zh-CN"/>
          <w14:textFill>
            <w14:solidFill>
              <w14:schemeClr w14:val="tx1"/>
            </w14:solidFill>
          </w14:textFill>
        </w:rPr>
        <w:t>8</w:t>
      </w:r>
      <w:r>
        <w:rPr>
          <w:rFonts w:hint="eastAsia" w:ascii="宋体" w:hAnsi="宋体" w:eastAsia="宋体" w:cs="宋体"/>
          <w:color w:val="000000" w:themeColor="text1"/>
          <w:sz w:val="32"/>
          <w:szCs w:val="32"/>
          <w:highlight w:val="none"/>
          <w14:textFill>
            <w14:solidFill>
              <w14:schemeClr w14:val="tx1"/>
            </w14:solidFill>
          </w14:textFill>
        </w:rPr>
        <w:t>月</w:t>
      </w:r>
      <w:r>
        <w:rPr>
          <w:rFonts w:hint="eastAsia" w:ascii="宋体" w:hAnsi="宋体" w:eastAsia="宋体" w:cs="宋体"/>
          <w:color w:val="000000" w:themeColor="text1"/>
          <w:sz w:val="32"/>
          <w:szCs w:val="32"/>
          <w:highlight w:val="none"/>
          <w:lang w:val="en-US" w:eastAsia="zh-CN"/>
          <w14:textFill>
            <w14:solidFill>
              <w14:schemeClr w14:val="tx1"/>
            </w14:solidFill>
          </w14:textFill>
        </w:rPr>
        <w:t>29</w:t>
      </w:r>
      <w:r>
        <w:rPr>
          <w:rFonts w:hint="eastAsia" w:ascii="宋体" w:hAnsi="宋体" w:eastAsia="宋体" w:cs="宋体"/>
          <w:color w:val="000000" w:themeColor="text1"/>
          <w:sz w:val="32"/>
          <w:szCs w:val="32"/>
          <w:highlight w:val="none"/>
          <w14:textFill>
            <w14:solidFill>
              <w14:schemeClr w14:val="tx1"/>
            </w14:solidFill>
          </w14:textFill>
        </w:rPr>
        <w:t>日</w:t>
      </w:r>
    </w:p>
    <w:p>
      <w:pPr>
        <w:rPr>
          <w:rFonts w:hint="eastAsia" w:ascii="宋体" w:hAnsi="宋体" w:eastAsia="宋体" w:cs="宋体"/>
          <w:color w:val="000000" w:themeColor="text1"/>
          <w:sz w:val="24"/>
          <w:szCs w:val="24"/>
          <w:highlight w:val="none"/>
          <w14:textFill>
            <w14:solidFill>
              <w14:schemeClr w14:val="tx1"/>
            </w14:solidFill>
          </w14:textFill>
        </w:rPr>
      </w:pPr>
    </w:p>
    <w:p>
      <w:pPr>
        <w:pStyle w:val="39"/>
        <w:snapToGrid w:val="0"/>
        <w:spacing w:line="440" w:lineRule="exact"/>
        <w:jc w:val="left"/>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第一部分 部门概况</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pacing w:val="11"/>
          <w:sz w:val="24"/>
          <w14:textFill>
            <w14:solidFill>
              <w14:schemeClr w14:val="tx1"/>
            </w14:solidFill>
          </w14:textFill>
        </w:rPr>
        <w:t>¨¨¨</w:t>
      </w:r>
      <w:r>
        <w:rPr>
          <w:rFonts w:hint="eastAsia" w:ascii="仿宋_GB2312" w:hAnsi="仿宋_GB2312" w:eastAsia="仿宋_GB2312" w:cs="仿宋_GB2312"/>
          <w:color w:val="000000" w:themeColor="text1"/>
          <w:spacing w:val="11"/>
          <w:sz w:val="24"/>
          <w:szCs w:val="20"/>
          <w14:textFill>
            <w14:solidFill>
              <w14:schemeClr w14:val="tx1"/>
            </w14:solidFill>
          </w14:textFill>
        </w:rPr>
        <w:t>¨</w:t>
      </w:r>
      <w:r>
        <w:rPr>
          <w:rFonts w:hint="eastAsia" w:ascii="仿宋_GB2312" w:hAnsi="仿宋_GB2312" w:eastAsia="仿宋_GB2312" w:cs="仿宋_GB2312"/>
          <w:color w:val="000000" w:themeColor="text1"/>
          <w:spacing w:val="6"/>
          <w:sz w:val="24"/>
          <w:szCs w:val="20"/>
          <w14:textFill>
            <w14:solidFill>
              <w14:schemeClr w14:val="tx1"/>
            </w14:solidFill>
          </w14:textFill>
        </w:rPr>
        <w:t>¨¨¨¨</w:t>
      </w:r>
      <w:r>
        <w:rPr>
          <w:rFonts w:hint="eastAsia" w:ascii="仿宋_GB2312" w:hAnsi="仿宋_GB2312" w:eastAsia="仿宋_GB2312" w:cs="仿宋_GB2312"/>
          <w:color w:val="000000" w:themeColor="text1"/>
          <w:spacing w:val="0"/>
          <w:sz w:val="24"/>
          <w:szCs w:val="20"/>
          <w14:textFill>
            <w14:solidFill>
              <w14:schemeClr w14:val="tx1"/>
            </w14:solidFill>
          </w14:textFill>
        </w:rPr>
        <w:t>¨¨¨¨¨¨¨¨</w:t>
      </w:r>
      <w:r>
        <w:rPr>
          <w:rFonts w:hint="eastAsia" w:ascii="仿宋_GB2312" w:hAnsi="仿宋_GB2312" w:eastAsia="仿宋_GB2312" w:cs="仿宋_GB2312"/>
          <w:color w:val="000000" w:themeColor="text1"/>
          <w:spacing w:val="6"/>
          <w:sz w:val="24"/>
          <w:szCs w:val="20"/>
          <w14:textFill>
            <w14:solidFill>
              <w14:schemeClr w14:val="tx1"/>
            </w14:solidFill>
          </w14:textFill>
        </w:rPr>
        <w:t>¨¨¨</w:t>
      </w:r>
      <w:r>
        <w:rPr>
          <w:rFonts w:hint="eastAsia" w:ascii="仿宋_GB2312" w:hAnsi="仿宋_GB2312" w:eastAsia="仿宋_GB2312" w:cs="仿宋_GB2312"/>
          <w:color w:val="000000" w:themeColor="text1"/>
          <w:spacing w:val="0"/>
          <w:sz w:val="24"/>
          <w:szCs w:val="20"/>
          <w14:textFill>
            <w14:solidFill>
              <w14:schemeClr w14:val="tx1"/>
            </w14:solidFill>
          </w14:textFill>
        </w:rPr>
        <w:t>¨¨¨</w:t>
      </w:r>
      <w:r>
        <w:rPr>
          <w:rFonts w:hint="eastAsia" w:ascii="仿宋_GB2312" w:hAnsi="仿宋_GB2312" w:eastAsia="仿宋_GB2312" w:cs="仿宋_GB2312"/>
          <w:color w:val="000000" w:themeColor="text1"/>
          <w:spacing w:val="0"/>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1</w:t>
      </w:r>
    </w:p>
    <w:p>
      <w:pPr>
        <w:pStyle w:val="13"/>
        <w:adjustRightInd w:val="0"/>
        <w:snapToGrid w:val="0"/>
        <w:spacing w:line="440" w:lineRule="exact"/>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一、基本职能及主要工作</w:t>
      </w:r>
      <w:r>
        <w:rPr>
          <w:rFonts w:hint="eastAsia" w:ascii="仿宋_GB2312" w:hAnsi="仿宋_GB2312" w:eastAsia="仿宋_GB2312" w:cs="仿宋_GB2312"/>
          <w:color w:val="000000" w:themeColor="text1"/>
          <w:spacing w:val="11"/>
          <w:sz w:val="24"/>
          <w:szCs w:val="20"/>
          <w14:textFill>
            <w14:solidFill>
              <w14:schemeClr w14:val="tx1"/>
            </w14:solidFill>
          </w14:textFill>
        </w:rPr>
        <w:t>¨</w:t>
      </w:r>
      <w:r>
        <w:rPr>
          <w:rFonts w:hint="eastAsia" w:ascii="仿宋_GB2312" w:hAnsi="仿宋_GB2312" w:eastAsia="仿宋_GB2312" w:cs="仿宋_GB2312"/>
          <w:color w:val="000000" w:themeColor="text1"/>
          <w:spacing w:val="0"/>
          <w:sz w:val="24"/>
          <w:szCs w:val="20"/>
          <w14:textFill>
            <w14:solidFill>
              <w14:schemeClr w14:val="tx1"/>
            </w14:solidFill>
          </w14:textFill>
        </w:rPr>
        <w:t>¨¨¨¨¨¨¨¨¨¨¨¨¨¨</w:t>
      </w:r>
      <w:r>
        <w:rPr>
          <w:rFonts w:hint="eastAsia" w:ascii="仿宋_GB2312" w:hAnsi="仿宋_GB2312" w:eastAsia="仿宋_GB2312" w:cs="仿宋_GB2312"/>
          <w:color w:val="000000" w:themeColor="text1"/>
          <w:spacing w:val="0"/>
          <w:sz w:val="24"/>
          <w14:textFill>
            <w14:solidFill>
              <w14:schemeClr w14:val="tx1"/>
            </w14:solidFill>
          </w14:textFill>
        </w:rPr>
        <w:t>¨</w:t>
      </w:r>
      <w:r>
        <w:rPr>
          <w:rFonts w:hint="eastAsia" w:ascii="仿宋_GB2312" w:hAnsi="仿宋_GB2312" w:eastAsia="仿宋_GB2312" w:cs="仿宋_GB2312"/>
          <w:color w:val="000000" w:themeColor="text1"/>
          <w:spacing w:val="6"/>
          <w:sz w:val="24"/>
          <w:szCs w:val="20"/>
          <w:lang w:val="en-US" w:eastAsia="zh-CN" w:bidi="hi-IN"/>
          <w14:textFill>
            <w14:solidFill>
              <w14:schemeClr w14:val="tx1"/>
            </w14:solidFill>
          </w14:textFill>
        </w:rPr>
        <w:t>¨¨</w:t>
      </w:r>
      <w:r>
        <w:rPr>
          <w:rFonts w:hint="eastAsia" w:ascii="仿宋_GB2312" w:hAnsi="仿宋_GB2312" w:eastAsia="仿宋_GB2312" w:cs="仿宋_GB2312"/>
          <w:color w:val="000000" w:themeColor="text1"/>
          <w:spacing w:val="0"/>
          <w:sz w:val="24"/>
          <w:szCs w:val="20"/>
          <w14:textFill>
            <w14:solidFill>
              <w14:schemeClr w14:val="tx1"/>
            </w14:solidFill>
          </w14:textFill>
        </w:rPr>
        <w:t>¨¨¨¨</w:t>
      </w:r>
      <w:r>
        <w:rPr>
          <w:rFonts w:hint="eastAsia" w:ascii="仿宋_GB2312" w:hAnsi="仿宋_GB2312" w:eastAsia="仿宋_GB2312" w:cs="仿宋_GB2312"/>
          <w:color w:val="000000" w:themeColor="text1"/>
          <w:spacing w:val="0"/>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1</w:t>
      </w:r>
    </w:p>
    <w:p>
      <w:pPr>
        <w:pStyle w:val="13"/>
        <w:adjustRightInd w:val="0"/>
        <w:snapToGrid w:val="0"/>
        <w:spacing w:line="440" w:lineRule="exact"/>
        <w:ind w:left="0" w:leftChars="0" w:firstLine="0" w:firstLineChars="0"/>
        <w:jc w:val="left"/>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二、机构设置</w:t>
      </w:r>
      <w:r>
        <w:rPr>
          <w:rFonts w:hint="eastAsia" w:ascii="仿宋_GB2312" w:hAnsi="仿宋_GB2312" w:eastAsia="仿宋_GB2312" w:cs="仿宋_GB2312"/>
          <w:color w:val="000000" w:themeColor="text1"/>
          <w:spacing w:val="11"/>
          <w:sz w:val="24"/>
          <w:szCs w:val="20"/>
          <w14:textFill>
            <w14:solidFill>
              <w14:schemeClr w14:val="tx1"/>
            </w14:solidFill>
          </w14:textFill>
        </w:rPr>
        <w:t>¨¨¨¨¨¨¨¨¨¨¨¨</w:t>
      </w:r>
      <w:r>
        <w:rPr>
          <w:rFonts w:hint="eastAsia" w:ascii="仿宋_GB2312" w:hAnsi="仿宋_GB2312" w:eastAsia="仿宋_GB2312" w:cs="仿宋_GB2312"/>
          <w:color w:val="000000" w:themeColor="text1"/>
          <w:spacing w:val="6"/>
          <w:sz w:val="24"/>
          <w:szCs w:val="20"/>
          <w14:textFill>
            <w14:solidFill>
              <w14:schemeClr w14:val="tx1"/>
            </w14:solidFill>
          </w14:textFill>
        </w:rPr>
        <w:t>¨</w:t>
      </w:r>
      <w:r>
        <w:rPr>
          <w:rFonts w:hint="eastAsia" w:ascii="仿宋_GB2312" w:hAnsi="仿宋_GB2312" w:eastAsia="仿宋_GB2312" w:cs="仿宋_GB2312"/>
          <w:color w:val="000000" w:themeColor="text1"/>
          <w:spacing w:val="6"/>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11</w:t>
      </w:r>
    </w:p>
    <w:p>
      <w:pPr>
        <w:pStyle w:val="12"/>
        <w:adjustRightInd w:val="0"/>
        <w:snapToGrid w:val="0"/>
        <w:spacing w:before="0" w:line="440" w:lineRule="exact"/>
        <w:jc w:val="left"/>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第二部分</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2021年度</w:t>
      </w:r>
      <w:r>
        <w:rPr>
          <w:rFonts w:hint="eastAsia" w:ascii="宋体" w:hAnsi="宋体" w:eastAsia="宋体" w:cs="宋体"/>
          <w:color w:val="000000" w:themeColor="text1"/>
          <w:sz w:val="24"/>
          <w:szCs w:val="24"/>
          <w:highlight w:val="none"/>
          <w14:textFill>
            <w14:solidFill>
              <w14:schemeClr w14:val="tx1"/>
            </w14:solidFill>
          </w14:textFill>
        </w:rPr>
        <w:t>部门决算情况说明</w:t>
      </w:r>
      <w:r>
        <w:rPr>
          <w:rFonts w:hint="eastAsia" w:ascii="仿宋_GB2312" w:hAnsi="仿宋_GB2312" w:eastAsia="仿宋_GB2312" w:cs="仿宋_GB2312"/>
          <w:color w:val="000000" w:themeColor="text1"/>
          <w:spacing w:val="11"/>
          <w:sz w:val="24"/>
          <w:szCs w:val="20"/>
          <w14:textFill>
            <w14:solidFill>
              <w14:schemeClr w14:val="tx1"/>
            </w14:solidFill>
          </w14:textFill>
        </w:rPr>
        <w:t>¨</w:t>
      </w:r>
      <w:r>
        <w:rPr>
          <w:rFonts w:hint="eastAsia" w:ascii="仿宋_GB2312" w:hAnsi="仿宋_GB2312" w:eastAsia="仿宋_GB2312" w:cs="仿宋_GB2312"/>
          <w:color w:val="000000" w:themeColor="text1"/>
          <w:spacing w:val="0"/>
          <w:sz w:val="24"/>
          <w:szCs w:val="20"/>
          <w14:textFill>
            <w14:solidFill>
              <w14:schemeClr w14:val="tx1"/>
            </w14:solidFill>
          </w14:textFill>
        </w:rPr>
        <w:t>¨¨¨¨¨</w:t>
      </w:r>
      <w:r>
        <w:rPr>
          <w:rFonts w:hint="eastAsia" w:ascii="仿宋_GB2312" w:hAnsi="仿宋_GB2312" w:eastAsia="仿宋_GB2312" w:cs="仿宋_GB2312"/>
          <w:color w:val="000000" w:themeColor="text1"/>
          <w:spacing w:val="0"/>
          <w:sz w:val="24"/>
          <w14:textFill>
            <w14:solidFill>
              <w14:schemeClr w14:val="tx1"/>
            </w14:solidFill>
          </w14:textFill>
        </w:rPr>
        <w:t>¨¨¨</w:t>
      </w:r>
      <w:r>
        <w:rPr>
          <w:rFonts w:hint="eastAsia" w:ascii="仿宋_GB2312" w:hAnsi="仿宋_GB2312" w:eastAsia="仿宋_GB2312" w:cs="仿宋_GB2312"/>
          <w:color w:val="000000" w:themeColor="text1"/>
          <w:spacing w:val="0"/>
          <w:sz w:val="24"/>
          <w:szCs w:val="20"/>
          <w14:textFill>
            <w14:solidFill>
              <w14:schemeClr w14:val="tx1"/>
            </w14:solidFill>
          </w14:textFill>
        </w:rPr>
        <w:t>¨¨¨¨¨¨¨¨</w:t>
      </w:r>
      <w:r>
        <w:rPr>
          <w:rFonts w:hint="eastAsia" w:ascii="仿宋_GB2312" w:hAnsi="仿宋_GB2312" w:eastAsia="仿宋_GB2312" w:cs="仿宋_GB2312"/>
          <w:color w:val="000000" w:themeColor="text1"/>
          <w:spacing w:val="0"/>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12</w:t>
      </w:r>
    </w:p>
    <w:p>
      <w:pPr>
        <w:pStyle w:val="12"/>
        <w:adjustRightInd w:val="0"/>
        <w:snapToGrid w:val="0"/>
        <w:spacing w:before="0" w:line="440" w:lineRule="exact"/>
        <w:jc w:val="left"/>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一、收入支出决算总体情况说明</w:t>
      </w:r>
      <w:r>
        <w:rPr>
          <w:rFonts w:hint="eastAsia" w:ascii="仿宋_GB2312" w:hAnsi="仿宋_GB2312" w:eastAsia="仿宋_GB2312" w:cs="仿宋_GB2312"/>
          <w:color w:val="000000" w:themeColor="text1"/>
          <w:spacing w:val="11"/>
          <w:sz w:val="24"/>
          <w:szCs w:val="20"/>
          <w14:textFill>
            <w14:solidFill>
              <w14:schemeClr w14:val="tx1"/>
            </w14:solidFill>
          </w14:textFill>
        </w:rPr>
        <w:t>¨¨¨¨¨¨¨</w:t>
      </w:r>
      <w:r>
        <w:rPr>
          <w:rFonts w:hint="eastAsia" w:ascii="仿宋_GB2312" w:hAnsi="仿宋_GB2312" w:eastAsia="仿宋_GB2312" w:cs="仿宋_GB2312"/>
          <w:color w:val="000000" w:themeColor="text1"/>
          <w:spacing w:val="0"/>
          <w:sz w:val="24"/>
          <w:szCs w:val="20"/>
          <w14:textFill>
            <w14:solidFill>
              <w14:schemeClr w14:val="tx1"/>
            </w14:solidFill>
          </w14:textFill>
        </w:rPr>
        <w:t>¨¨¨¨¨¨¨¨¨¨</w:t>
      </w:r>
      <w:r>
        <w:rPr>
          <w:rFonts w:hint="eastAsia" w:ascii="仿宋_GB2312" w:hAnsi="仿宋_GB2312" w:eastAsia="仿宋_GB2312" w:cs="仿宋_GB2312"/>
          <w:color w:val="000000" w:themeColor="text1"/>
          <w:spacing w:val="6"/>
          <w:sz w:val="24"/>
          <w:szCs w:val="20"/>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12</w:t>
      </w:r>
    </w:p>
    <w:p>
      <w:pPr>
        <w:pStyle w:val="12"/>
        <w:adjustRightInd w:val="0"/>
        <w:snapToGrid w:val="0"/>
        <w:spacing w:before="0" w:line="440" w:lineRule="exact"/>
        <w:jc w:val="left"/>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二、收入决算情况说明</w:t>
      </w:r>
      <w:r>
        <w:rPr>
          <w:rFonts w:hint="eastAsia" w:ascii="仿宋_GB2312" w:hAnsi="仿宋_GB2312" w:eastAsia="仿宋_GB2312" w:cs="仿宋_GB2312"/>
          <w:color w:val="000000" w:themeColor="text1"/>
          <w:spacing w:val="11"/>
          <w:sz w:val="24"/>
          <w:szCs w:val="20"/>
          <w14:textFill>
            <w14:solidFill>
              <w14:schemeClr w14:val="tx1"/>
            </w14:solidFill>
          </w14:textFill>
        </w:rPr>
        <w:t>¨¨¨¨¨¨</w:t>
      </w:r>
      <w:r>
        <w:rPr>
          <w:rFonts w:hint="eastAsia" w:ascii="仿宋_GB2312" w:hAnsi="仿宋_GB2312" w:eastAsia="仿宋_GB2312" w:cs="仿宋_GB2312"/>
          <w:color w:val="000000" w:themeColor="text1"/>
          <w:spacing w:val="0"/>
          <w:sz w:val="24"/>
          <w:szCs w:val="20"/>
          <w14:textFill>
            <w14:solidFill>
              <w14:schemeClr w14:val="tx1"/>
            </w14:solidFill>
          </w14:textFill>
        </w:rPr>
        <w:t>¨¨¨¨¨¨</w:t>
      </w:r>
      <w:r>
        <w:rPr>
          <w:rFonts w:hint="eastAsia" w:ascii="仿宋_GB2312" w:hAnsi="仿宋_GB2312" w:eastAsia="仿宋_GB2312" w:cs="仿宋_GB2312"/>
          <w:color w:val="000000" w:themeColor="text1"/>
          <w:spacing w:val="6"/>
          <w:sz w:val="24"/>
          <w:szCs w:val="20"/>
          <w14:textFill>
            <w14:solidFill>
              <w14:schemeClr w14:val="tx1"/>
            </w14:solidFill>
          </w14:textFill>
        </w:rPr>
        <w:t>¨</w:t>
      </w:r>
      <w:r>
        <w:rPr>
          <w:rFonts w:hint="eastAsia" w:ascii="仿宋_GB2312" w:hAnsi="仿宋_GB2312" w:eastAsia="仿宋_GB2312" w:cs="仿宋_GB2312"/>
          <w:color w:val="000000" w:themeColor="text1"/>
          <w:spacing w:val="0"/>
          <w:sz w:val="24"/>
          <w14:textFill>
            <w14:solidFill>
              <w14:schemeClr w14:val="tx1"/>
            </w14:solidFill>
          </w14:textFill>
        </w:rPr>
        <w:t>¨</w:t>
      </w:r>
      <w:r>
        <w:rPr>
          <w:rFonts w:hint="eastAsia" w:ascii="仿宋_GB2312" w:hAnsi="仿宋_GB2312" w:eastAsia="仿宋_GB2312" w:cs="仿宋_GB2312"/>
          <w:color w:val="000000" w:themeColor="text1"/>
          <w:spacing w:val="0"/>
          <w:sz w:val="24"/>
          <w:szCs w:val="20"/>
          <w14:textFill>
            <w14:solidFill>
              <w14:schemeClr w14:val="tx1"/>
            </w14:solidFill>
          </w14:textFill>
        </w:rPr>
        <w:t>¨</w:t>
      </w:r>
      <w:r>
        <w:rPr>
          <w:rFonts w:hint="eastAsia" w:ascii="仿宋_GB2312" w:hAnsi="仿宋_GB2312" w:eastAsia="仿宋_GB2312" w:cs="仿宋_GB2312"/>
          <w:color w:val="000000" w:themeColor="text1"/>
          <w:spacing w:val="6"/>
          <w:sz w:val="24"/>
          <w:szCs w:val="20"/>
          <w14:textFill>
            <w14:solidFill>
              <w14:schemeClr w14:val="tx1"/>
            </w14:solidFill>
          </w14:textFill>
        </w:rPr>
        <w:t>¨¨¨</w:t>
      </w:r>
      <w:r>
        <w:rPr>
          <w:rFonts w:hint="eastAsia" w:ascii="仿宋_GB2312" w:hAnsi="仿宋_GB2312" w:eastAsia="仿宋_GB2312" w:cs="仿宋_GB2312"/>
          <w:color w:val="000000" w:themeColor="text1"/>
          <w:spacing w:val="0"/>
          <w:sz w:val="24"/>
          <w14:textFill>
            <w14:solidFill>
              <w14:schemeClr w14:val="tx1"/>
            </w14:solidFill>
          </w14:textFill>
        </w:rPr>
        <w:t>¨¨</w:t>
      </w:r>
      <w:r>
        <w:rPr>
          <w:rFonts w:hint="eastAsia" w:ascii="仿宋_GB2312" w:hAnsi="仿宋_GB2312" w:eastAsia="仿宋_GB2312" w:cs="仿宋_GB2312"/>
          <w:color w:val="000000" w:themeColor="text1"/>
          <w:spacing w:val="0"/>
          <w:sz w:val="24"/>
          <w:szCs w:val="20"/>
          <w14:textFill>
            <w14:solidFill>
              <w14:schemeClr w14:val="tx1"/>
            </w14:solidFill>
          </w14:textFill>
        </w:rPr>
        <w:t>¨¨¨</w:t>
      </w:r>
      <w:r>
        <w:rPr>
          <w:rFonts w:hint="eastAsia" w:ascii="仿宋_GB2312" w:hAnsi="仿宋_GB2312" w:eastAsia="仿宋_GB2312" w:cs="仿宋_GB2312"/>
          <w:color w:val="000000" w:themeColor="text1"/>
          <w:spacing w:val="0"/>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12</w:t>
      </w:r>
    </w:p>
    <w:p>
      <w:pPr>
        <w:pStyle w:val="12"/>
        <w:adjustRightInd w:val="0"/>
        <w:snapToGrid w:val="0"/>
        <w:spacing w:before="0" w:line="440" w:lineRule="exact"/>
        <w:jc w:val="left"/>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三、支出决算情况说明</w:t>
      </w:r>
      <w:r>
        <w:rPr>
          <w:rFonts w:hint="eastAsia" w:ascii="仿宋_GB2312" w:hAnsi="仿宋_GB2312" w:eastAsia="仿宋_GB2312" w:cs="仿宋_GB2312"/>
          <w:color w:val="000000" w:themeColor="text1"/>
          <w:spacing w:val="11"/>
          <w:sz w:val="24"/>
          <w:szCs w:val="20"/>
          <w14:textFill>
            <w14:solidFill>
              <w14:schemeClr w14:val="tx1"/>
            </w14:solidFill>
          </w14:textFill>
        </w:rPr>
        <w:t>¨¨¨¨¨¨¨¨¨¨¨</w:t>
      </w:r>
      <w:r>
        <w:rPr>
          <w:rFonts w:hint="eastAsia" w:ascii="仿宋_GB2312" w:hAnsi="仿宋_GB2312" w:eastAsia="仿宋_GB2312" w:cs="仿宋_GB2312"/>
          <w:color w:val="000000" w:themeColor="text1"/>
          <w:spacing w:val="0"/>
          <w:sz w:val="24"/>
          <w:szCs w:val="20"/>
          <w14:textFill>
            <w14:solidFill>
              <w14:schemeClr w14:val="tx1"/>
            </w14:solidFill>
          </w14:textFill>
        </w:rPr>
        <w:t>¨¨¨</w:t>
      </w:r>
      <w:r>
        <w:rPr>
          <w:rFonts w:hint="eastAsia" w:ascii="仿宋_GB2312" w:hAnsi="仿宋_GB2312" w:eastAsia="仿宋_GB2312" w:cs="仿宋_GB2312"/>
          <w:color w:val="000000" w:themeColor="text1"/>
          <w:spacing w:val="0"/>
          <w:sz w:val="24"/>
          <w14:textFill>
            <w14:solidFill>
              <w14:schemeClr w14:val="tx1"/>
            </w14:solidFill>
          </w14:textFill>
        </w:rPr>
        <w:t>¨</w:t>
      </w:r>
      <w:r>
        <w:rPr>
          <w:rFonts w:hint="eastAsia" w:ascii="仿宋_GB2312" w:hAnsi="仿宋_GB2312" w:eastAsia="仿宋_GB2312" w:cs="仿宋_GB2312"/>
          <w:color w:val="000000" w:themeColor="text1"/>
          <w:spacing w:val="0"/>
          <w:sz w:val="24"/>
          <w:szCs w:val="20"/>
          <w14:textFill>
            <w14:solidFill>
              <w14:schemeClr w14:val="tx1"/>
            </w14:solidFill>
          </w14:textFill>
        </w:rPr>
        <w:t>¨</w:t>
      </w:r>
      <w:r>
        <w:rPr>
          <w:rFonts w:hint="eastAsia" w:ascii="仿宋_GB2312" w:hAnsi="仿宋_GB2312" w:eastAsia="仿宋_GB2312" w:cs="仿宋_GB2312"/>
          <w:color w:val="000000" w:themeColor="text1"/>
          <w:spacing w:val="0"/>
          <w:sz w:val="24"/>
          <w14:textFill>
            <w14:solidFill>
              <w14:schemeClr w14:val="tx1"/>
            </w14:solidFill>
          </w14:textFill>
        </w:rPr>
        <w:t>¨</w:t>
      </w:r>
      <w:r>
        <w:rPr>
          <w:rFonts w:hint="eastAsia" w:ascii="仿宋_GB2312" w:hAnsi="仿宋_GB2312" w:eastAsia="仿宋_GB2312" w:cs="仿宋_GB2312"/>
          <w:color w:val="000000" w:themeColor="text1"/>
          <w:spacing w:val="0"/>
          <w:sz w:val="24"/>
          <w:szCs w:val="20"/>
          <w14:textFill>
            <w14:solidFill>
              <w14:schemeClr w14:val="tx1"/>
            </w14:solidFill>
          </w14:textFill>
        </w:rPr>
        <w:t>¨</w:t>
      </w:r>
      <w:r>
        <w:rPr>
          <w:rFonts w:hint="eastAsia" w:ascii="仿宋_GB2312" w:hAnsi="仿宋_GB2312" w:eastAsia="仿宋_GB2312" w:cs="仿宋_GB2312"/>
          <w:color w:val="000000" w:themeColor="text1"/>
          <w:spacing w:val="0"/>
          <w:sz w:val="24"/>
          <w14:textFill>
            <w14:solidFill>
              <w14:schemeClr w14:val="tx1"/>
            </w14:solidFill>
          </w14:textFill>
        </w:rPr>
        <w:t>¨</w:t>
      </w:r>
      <w:r>
        <w:rPr>
          <w:rFonts w:hint="eastAsia" w:ascii="仿宋_GB2312" w:hAnsi="仿宋_GB2312" w:eastAsia="仿宋_GB2312" w:cs="仿宋_GB2312"/>
          <w:color w:val="000000" w:themeColor="text1"/>
          <w:spacing w:val="0"/>
          <w:sz w:val="24"/>
          <w:szCs w:val="20"/>
          <w14:textFill>
            <w14:solidFill>
              <w14:schemeClr w14:val="tx1"/>
            </w14:solidFill>
          </w14:textFill>
        </w:rPr>
        <w:t>¨</w:t>
      </w:r>
      <w:r>
        <w:rPr>
          <w:rFonts w:hint="eastAsia" w:ascii="仿宋_GB2312" w:hAnsi="仿宋_GB2312" w:eastAsia="仿宋_GB2312" w:cs="仿宋_GB2312"/>
          <w:color w:val="000000" w:themeColor="text1"/>
          <w:spacing w:val="0"/>
          <w:sz w:val="24"/>
          <w14:textFill>
            <w14:solidFill>
              <w14:schemeClr w14:val="tx1"/>
            </w14:solidFill>
          </w14:textFill>
        </w:rPr>
        <w:t>¨¨</w:t>
      </w:r>
      <w:r>
        <w:rPr>
          <w:rFonts w:hint="eastAsia" w:ascii="仿宋_GB2312" w:hAnsi="仿宋_GB2312" w:eastAsia="仿宋_GB2312" w:cs="仿宋_GB2312"/>
          <w:color w:val="000000" w:themeColor="text1"/>
          <w:spacing w:val="0"/>
          <w:sz w:val="24"/>
          <w:szCs w:val="20"/>
          <w14:textFill>
            <w14:solidFill>
              <w14:schemeClr w14:val="tx1"/>
            </w14:solidFill>
          </w14:textFill>
        </w:rPr>
        <w:t>¨</w:t>
      </w:r>
      <w:r>
        <w:rPr>
          <w:rFonts w:hint="eastAsia" w:ascii="仿宋_GB2312" w:hAnsi="仿宋_GB2312" w:eastAsia="仿宋_GB2312" w:cs="仿宋_GB2312"/>
          <w:color w:val="000000" w:themeColor="text1"/>
          <w:spacing w:val="0"/>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13</w:t>
      </w:r>
    </w:p>
    <w:p>
      <w:pPr>
        <w:pStyle w:val="12"/>
        <w:adjustRightInd w:val="0"/>
        <w:snapToGrid w:val="0"/>
        <w:spacing w:before="0" w:line="440" w:lineRule="exact"/>
        <w:jc w:val="left"/>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四、财政拨款收入支出决算总体情况说明</w:t>
      </w:r>
      <w:r>
        <w:rPr>
          <w:rFonts w:hint="eastAsia" w:ascii="仿宋_GB2312" w:hAnsi="仿宋_GB2312" w:eastAsia="仿宋_GB2312" w:cs="仿宋_GB2312"/>
          <w:color w:val="000000" w:themeColor="text1"/>
          <w:spacing w:val="11"/>
          <w:sz w:val="24"/>
          <w:szCs w:val="20"/>
          <w14:textFill>
            <w14:solidFill>
              <w14:schemeClr w14:val="tx1"/>
            </w14:solidFill>
          </w14:textFill>
        </w:rPr>
        <w:t>¨¨¨¨¨¨¨¨¨¨¨</w:t>
      </w:r>
      <w:r>
        <w:rPr>
          <w:rFonts w:hint="eastAsia" w:ascii="仿宋_GB2312" w:hAnsi="仿宋_GB2312" w:eastAsia="仿宋_GB2312" w:cs="仿宋_GB2312"/>
          <w:color w:val="000000" w:themeColor="text1"/>
          <w:spacing w:val="6"/>
          <w:sz w:val="24"/>
          <w:szCs w:val="20"/>
          <w14:textFill>
            <w14:solidFill>
              <w14:schemeClr w14:val="tx1"/>
            </w14:solidFill>
          </w14:textFill>
        </w:rPr>
        <w:t>¨¨</w:t>
      </w:r>
      <w:r>
        <w:rPr>
          <w:rFonts w:hint="eastAsia" w:ascii="仿宋_GB2312" w:hAnsi="仿宋_GB2312" w:eastAsia="仿宋_GB2312" w:cs="仿宋_GB2312"/>
          <w:color w:val="000000" w:themeColor="text1"/>
          <w:spacing w:val="11"/>
          <w:sz w:val="24"/>
          <w:szCs w:val="20"/>
          <w14:textFill>
            <w14:solidFill>
              <w14:schemeClr w14:val="tx1"/>
            </w14:solidFill>
          </w14:textFill>
        </w:rPr>
        <w:t>¨</w:t>
      </w:r>
      <w:r>
        <w:rPr>
          <w:rFonts w:hint="eastAsia" w:ascii="仿宋_GB2312" w:hAnsi="仿宋_GB2312" w:eastAsia="仿宋_GB2312" w:cs="仿宋_GB2312"/>
          <w:color w:val="000000" w:themeColor="text1"/>
          <w:spacing w:val="6"/>
          <w:sz w:val="24"/>
          <w:szCs w:val="20"/>
          <w14:textFill>
            <w14:solidFill>
              <w14:schemeClr w14:val="tx1"/>
            </w14:solidFill>
          </w14:textFill>
        </w:rPr>
        <w:t>¨</w:t>
      </w:r>
      <w:r>
        <w:rPr>
          <w:rFonts w:hint="eastAsia" w:ascii="仿宋_GB2312" w:hAnsi="仿宋_GB2312" w:eastAsia="仿宋_GB2312" w:cs="仿宋_GB2312"/>
          <w:color w:val="000000" w:themeColor="text1"/>
          <w:spacing w:val="6"/>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14</w:t>
      </w:r>
    </w:p>
    <w:p>
      <w:pPr>
        <w:pStyle w:val="12"/>
        <w:adjustRightInd w:val="0"/>
        <w:snapToGrid w:val="0"/>
        <w:spacing w:before="0" w:line="440" w:lineRule="exact"/>
        <w:jc w:val="left"/>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五、一般公共预算财政拨款支出决算情况说明</w:t>
      </w:r>
      <w:r>
        <w:rPr>
          <w:rFonts w:hint="eastAsia" w:ascii="仿宋_GB2312" w:hAnsi="仿宋_GB2312" w:eastAsia="仿宋_GB2312" w:cs="仿宋_GB2312"/>
          <w:color w:val="000000" w:themeColor="text1"/>
          <w:spacing w:val="11"/>
          <w:sz w:val="24"/>
          <w:szCs w:val="20"/>
          <w14:textFill>
            <w14:solidFill>
              <w14:schemeClr w14:val="tx1"/>
            </w14:solidFill>
          </w14:textFill>
        </w:rPr>
        <w:t>¨¨¨¨¨¨¨¨¨</w:t>
      </w:r>
      <w:r>
        <w:rPr>
          <w:rFonts w:hint="eastAsia" w:ascii="仿宋_GB2312" w:hAnsi="仿宋_GB2312" w:eastAsia="仿宋_GB2312" w:cs="仿宋_GB2312"/>
          <w:color w:val="000000" w:themeColor="text1"/>
          <w:spacing w:val="6"/>
          <w:sz w:val="24"/>
          <w:szCs w:val="20"/>
          <w14:textFill>
            <w14:solidFill>
              <w14:schemeClr w14:val="tx1"/>
            </w14:solidFill>
          </w14:textFill>
        </w:rPr>
        <w:t>¨¨</w:t>
      </w:r>
      <w:r>
        <w:rPr>
          <w:rFonts w:hint="eastAsia" w:ascii="仿宋_GB2312" w:hAnsi="仿宋_GB2312" w:eastAsia="仿宋_GB2312" w:cs="仿宋_GB2312"/>
          <w:color w:val="000000" w:themeColor="text1"/>
          <w:spacing w:val="11"/>
          <w:sz w:val="24"/>
          <w:szCs w:val="20"/>
          <w14:textFill>
            <w14:solidFill>
              <w14:schemeClr w14:val="tx1"/>
            </w14:solidFill>
          </w14:textFill>
        </w:rPr>
        <w:t>¨</w:t>
      </w:r>
      <w:r>
        <w:rPr>
          <w:rFonts w:hint="eastAsia" w:ascii="仿宋_GB2312" w:hAnsi="仿宋_GB2312" w:eastAsia="仿宋_GB2312" w:cs="仿宋_GB2312"/>
          <w:color w:val="000000" w:themeColor="text1"/>
          <w:spacing w:val="6"/>
          <w:sz w:val="24"/>
          <w:szCs w:val="20"/>
          <w14:textFill>
            <w14:solidFill>
              <w14:schemeClr w14:val="tx1"/>
            </w14:solidFill>
          </w14:textFill>
        </w:rPr>
        <w:t>¨</w:t>
      </w:r>
      <w:r>
        <w:rPr>
          <w:rFonts w:hint="eastAsia" w:ascii="仿宋_GB2312" w:hAnsi="仿宋_GB2312" w:eastAsia="仿宋_GB2312" w:cs="仿宋_GB2312"/>
          <w:color w:val="000000" w:themeColor="text1"/>
          <w:spacing w:val="6"/>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15</w:t>
      </w:r>
    </w:p>
    <w:p>
      <w:pPr>
        <w:pStyle w:val="12"/>
        <w:adjustRightInd w:val="0"/>
        <w:snapToGrid w:val="0"/>
        <w:spacing w:before="0" w:line="440" w:lineRule="exact"/>
        <w:jc w:val="left"/>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六、一般公共预算财政拨款基本支出决算情况说明</w:t>
      </w:r>
      <w:r>
        <w:rPr>
          <w:rFonts w:hint="eastAsia" w:ascii="仿宋_GB2312" w:hAnsi="仿宋_GB2312" w:eastAsia="仿宋_GB2312" w:cs="仿宋_GB2312"/>
          <w:color w:val="000000" w:themeColor="text1"/>
          <w:spacing w:val="11"/>
          <w:sz w:val="24"/>
          <w:szCs w:val="20"/>
          <w14:textFill>
            <w14:solidFill>
              <w14:schemeClr w14:val="tx1"/>
            </w14:solidFill>
          </w14:textFill>
        </w:rPr>
        <w:t>¨¨¨¨</w:t>
      </w:r>
      <w:r>
        <w:rPr>
          <w:rFonts w:hint="eastAsia" w:ascii="仿宋_GB2312" w:hAnsi="仿宋_GB2312" w:eastAsia="仿宋_GB2312" w:cs="仿宋_GB2312"/>
          <w:color w:val="000000" w:themeColor="text1"/>
          <w:spacing w:val="6"/>
          <w:sz w:val="24"/>
          <w:szCs w:val="20"/>
          <w14:textFill>
            <w14:solidFill>
              <w14:schemeClr w14:val="tx1"/>
            </w14:solidFill>
          </w14:textFill>
        </w:rPr>
        <w:t>¨¨¨¨¨¨¨</w:t>
      </w:r>
      <w:r>
        <w:rPr>
          <w:rFonts w:hint="eastAsia" w:ascii="仿宋_GB2312" w:hAnsi="仿宋_GB2312" w:eastAsia="仿宋_GB2312" w:cs="仿宋_GB2312"/>
          <w:color w:val="000000" w:themeColor="text1"/>
          <w:spacing w:val="6"/>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19</w:t>
      </w:r>
    </w:p>
    <w:p>
      <w:pPr>
        <w:pStyle w:val="13"/>
        <w:adjustRightInd w:val="0"/>
        <w:snapToGrid w:val="0"/>
        <w:spacing w:line="440" w:lineRule="exact"/>
        <w:ind w:left="0" w:leftChars="0" w:firstLine="0" w:firstLineChars="0"/>
        <w:jc w:val="left"/>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三公”经费财政拨款支出决算情况说明</w:t>
      </w:r>
      <w:r>
        <w:rPr>
          <w:rFonts w:hint="eastAsia" w:ascii="仿宋_GB2312" w:hAnsi="仿宋_GB2312" w:eastAsia="仿宋_GB2312" w:cs="仿宋_GB2312"/>
          <w:color w:val="000000" w:themeColor="text1"/>
          <w:spacing w:val="11"/>
          <w:sz w:val="24"/>
          <w:szCs w:val="20"/>
          <w14:textFill>
            <w14:solidFill>
              <w14:schemeClr w14:val="tx1"/>
            </w14:solidFill>
          </w14:textFill>
        </w:rPr>
        <w:t>¨¨¨¨¨¨¨</w:t>
      </w:r>
      <w:r>
        <w:rPr>
          <w:rFonts w:hint="eastAsia" w:ascii="仿宋_GB2312" w:hAnsi="仿宋_GB2312" w:eastAsia="仿宋_GB2312" w:cs="仿宋_GB2312"/>
          <w:color w:val="000000" w:themeColor="text1"/>
          <w:spacing w:val="6"/>
          <w:sz w:val="24"/>
          <w:szCs w:val="20"/>
          <w14:textFill>
            <w14:solidFill>
              <w14:schemeClr w14:val="tx1"/>
            </w14:solidFill>
          </w14:textFill>
        </w:rPr>
        <w:t>¨¨</w:t>
      </w:r>
      <w:r>
        <w:rPr>
          <w:rFonts w:hint="eastAsia" w:ascii="仿宋_GB2312" w:hAnsi="仿宋_GB2312" w:eastAsia="仿宋_GB2312" w:cs="仿宋_GB2312"/>
          <w:color w:val="000000" w:themeColor="text1"/>
          <w:spacing w:val="11"/>
          <w:sz w:val="24"/>
          <w:szCs w:val="20"/>
          <w14:textFill>
            <w14:solidFill>
              <w14:schemeClr w14:val="tx1"/>
            </w14:solidFill>
          </w14:textFill>
        </w:rPr>
        <w:t>¨¨¨</w:t>
      </w:r>
      <w:r>
        <w:rPr>
          <w:rFonts w:hint="eastAsia" w:ascii="仿宋_GB2312" w:hAnsi="仿宋_GB2312" w:eastAsia="仿宋_GB2312" w:cs="仿宋_GB2312"/>
          <w:color w:val="000000" w:themeColor="text1"/>
          <w:spacing w:val="6"/>
          <w:sz w:val="24"/>
          <w:szCs w:val="20"/>
          <w14:textFill>
            <w14:solidFill>
              <w14:schemeClr w14:val="tx1"/>
            </w14:solidFill>
          </w14:textFill>
        </w:rPr>
        <w:t>¨</w:t>
      </w:r>
      <w:r>
        <w:rPr>
          <w:rFonts w:hint="eastAsia" w:ascii="仿宋_GB2312" w:hAnsi="仿宋_GB2312" w:eastAsia="仿宋_GB2312" w:cs="仿宋_GB2312"/>
          <w:color w:val="000000" w:themeColor="text1"/>
          <w:spacing w:val="6"/>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20</w:t>
      </w:r>
    </w:p>
    <w:p>
      <w:pPr>
        <w:pStyle w:val="13"/>
        <w:adjustRightInd w:val="0"/>
        <w:snapToGrid w:val="0"/>
        <w:spacing w:line="440" w:lineRule="exact"/>
        <w:ind w:left="0" w:leftChars="0" w:firstLine="0" w:firstLineChars="0"/>
        <w:jc w:val="left"/>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八、政府性基金预算支出决算情况说明</w:t>
      </w:r>
      <w:r>
        <w:rPr>
          <w:rFonts w:hint="eastAsia" w:ascii="仿宋_GB2312" w:hAnsi="仿宋_GB2312" w:eastAsia="仿宋_GB2312" w:cs="仿宋_GB2312"/>
          <w:color w:val="000000" w:themeColor="text1"/>
          <w:spacing w:val="11"/>
          <w:sz w:val="24"/>
          <w:szCs w:val="20"/>
          <w14:textFill>
            <w14:solidFill>
              <w14:schemeClr w14:val="tx1"/>
            </w14:solidFill>
          </w14:textFill>
        </w:rPr>
        <w:t>¨¨¨¨¨¨¨¨¨</w:t>
      </w:r>
      <w:r>
        <w:rPr>
          <w:rFonts w:hint="eastAsia" w:ascii="仿宋_GB2312" w:hAnsi="仿宋_GB2312" w:eastAsia="仿宋_GB2312" w:cs="仿宋_GB2312"/>
          <w:color w:val="000000" w:themeColor="text1"/>
          <w:spacing w:val="6"/>
          <w:sz w:val="24"/>
          <w:szCs w:val="20"/>
          <w14:textFill>
            <w14:solidFill>
              <w14:schemeClr w14:val="tx1"/>
            </w14:solidFill>
          </w14:textFill>
        </w:rPr>
        <w:t>¨¨¨¨¨</w:t>
      </w:r>
      <w:r>
        <w:rPr>
          <w:rFonts w:hint="eastAsia" w:ascii="仿宋_GB2312" w:hAnsi="仿宋_GB2312" w:eastAsia="仿宋_GB2312" w:cs="仿宋_GB2312"/>
          <w:color w:val="000000" w:themeColor="text1"/>
          <w:spacing w:val="11"/>
          <w:sz w:val="24"/>
          <w:szCs w:val="20"/>
          <w14:textFill>
            <w14:solidFill>
              <w14:schemeClr w14:val="tx1"/>
            </w14:solidFill>
          </w14:textFill>
        </w:rPr>
        <w:t>¨</w:t>
      </w:r>
      <w:r>
        <w:rPr>
          <w:rFonts w:hint="eastAsia" w:ascii="仿宋_GB2312" w:hAnsi="仿宋_GB2312" w:eastAsia="仿宋_GB2312" w:cs="仿宋_GB2312"/>
          <w:color w:val="000000" w:themeColor="text1"/>
          <w:spacing w:val="6"/>
          <w:sz w:val="24"/>
          <w:szCs w:val="20"/>
          <w14:textFill>
            <w14:solidFill>
              <w14:schemeClr w14:val="tx1"/>
            </w14:solidFill>
          </w14:textFill>
        </w:rPr>
        <w:t>¨</w:t>
      </w:r>
      <w:r>
        <w:rPr>
          <w:rFonts w:hint="eastAsia" w:ascii="仿宋_GB2312" w:hAnsi="仿宋_GB2312" w:eastAsia="仿宋_GB2312" w:cs="仿宋_GB2312"/>
          <w:color w:val="000000" w:themeColor="text1"/>
          <w:spacing w:val="6"/>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22</w:t>
      </w:r>
    </w:p>
    <w:p>
      <w:pPr>
        <w:pStyle w:val="13"/>
        <w:adjustRightInd w:val="0"/>
        <w:snapToGrid w:val="0"/>
        <w:spacing w:line="440" w:lineRule="exact"/>
        <w:ind w:left="0" w:leftChars="0" w:firstLine="0" w:firstLineChars="0"/>
        <w:jc w:val="left"/>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九、</w:t>
      </w:r>
      <w:r>
        <w:rPr>
          <w:rFonts w:hint="eastAsia" w:ascii="宋体" w:hAnsi="宋体" w:eastAsia="宋体" w:cs="宋体"/>
          <w:color w:val="000000" w:themeColor="text1"/>
          <w:sz w:val="24"/>
          <w:szCs w:val="24"/>
          <w:highlight w:val="none"/>
          <w:lang w:eastAsia="zh-CN"/>
          <w14:textFill>
            <w14:solidFill>
              <w14:schemeClr w14:val="tx1"/>
            </w14:solidFill>
          </w14:textFill>
        </w:rPr>
        <w:t>国</w:t>
      </w:r>
      <w:r>
        <w:rPr>
          <w:rFonts w:hint="eastAsia" w:ascii="宋体" w:hAnsi="宋体" w:eastAsia="宋体" w:cs="宋体"/>
          <w:color w:val="000000" w:themeColor="text1"/>
          <w:sz w:val="24"/>
          <w:szCs w:val="24"/>
          <w:highlight w:val="none"/>
          <w14:textFill>
            <w14:solidFill>
              <w14:schemeClr w14:val="tx1"/>
            </w14:solidFill>
          </w14:textFill>
        </w:rPr>
        <w:t>有资本经营预算支出决算情况说明</w:t>
      </w:r>
      <w:r>
        <w:rPr>
          <w:rFonts w:hint="eastAsia" w:ascii="仿宋_GB2312" w:hAnsi="仿宋_GB2312" w:eastAsia="仿宋_GB2312" w:cs="仿宋_GB2312"/>
          <w:color w:val="000000" w:themeColor="text1"/>
          <w:spacing w:val="11"/>
          <w:sz w:val="24"/>
          <w:szCs w:val="20"/>
          <w14:textFill>
            <w14:solidFill>
              <w14:schemeClr w14:val="tx1"/>
            </w14:solidFill>
          </w14:textFill>
        </w:rPr>
        <w:t>¨¨¨¨¨¨¨¨</w:t>
      </w:r>
      <w:r>
        <w:rPr>
          <w:rFonts w:hint="eastAsia" w:ascii="仿宋_GB2312" w:hAnsi="仿宋_GB2312" w:eastAsia="仿宋_GB2312" w:cs="仿宋_GB2312"/>
          <w:color w:val="000000" w:themeColor="text1"/>
          <w:spacing w:val="6"/>
          <w:sz w:val="24"/>
          <w:szCs w:val="20"/>
          <w14:textFill>
            <w14:solidFill>
              <w14:schemeClr w14:val="tx1"/>
            </w14:solidFill>
          </w14:textFill>
        </w:rPr>
        <w:t>¨¨¨¨</w:t>
      </w:r>
      <w:r>
        <w:rPr>
          <w:rFonts w:hint="eastAsia" w:ascii="仿宋_GB2312" w:hAnsi="仿宋_GB2312" w:eastAsia="仿宋_GB2312" w:cs="仿宋_GB2312"/>
          <w:color w:val="000000" w:themeColor="text1"/>
          <w:spacing w:val="11"/>
          <w:sz w:val="24"/>
          <w:szCs w:val="20"/>
          <w14:textFill>
            <w14:solidFill>
              <w14:schemeClr w14:val="tx1"/>
            </w14:solidFill>
          </w14:textFill>
        </w:rPr>
        <w:t>¨¨</w:t>
      </w:r>
      <w:r>
        <w:rPr>
          <w:rFonts w:hint="eastAsia" w:ascii="仿宋_GB2312" w:hAnsi="仿宋_GB2312" w:eastAsia="仿宋_GB2312" w:cs="仿宋_GB2312"/>
          <w:color w:val="000000" w:themeColor="text1"/>
          <w:spacing w:val="6"/>
          <w:sz w:val="24"/>
          <w:szCs w:val="20"/>
          <w14:textFill>
            <w14:solidFill>
              <w14:schemeClr w14:val="tx1"/>
            </w14:solidFill>
          </w14:textFill>
        </w:rPr>
        <w:t>¨</w:t>
      </w:r>
      <w:r>
        <w:rPr>
          <w:rFonts w:hint="eastAsia" w:ascii="仿宋_GB2312" w:hAnsi="仿宋_GB2312" w:eastAsia="仿宋_GB2312" w:cs="仿宋_GB2312"/>
          <w:color w:val="000000" w:themeColor="text1"/>
          <w:spacing w:val="6"/>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22</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宋体" w:hAnsi="宋体" w:eastAsia="宋体" w:cs="宋体"/>
          <w:color w:val="000000" w:themeColor="text1"/>
          <w:sz w:val="24"/>
          <w:szCs w:val="24"/>
          <w:highlight w:val="none"/>
          <w:lang w:val="en-US"/>
          <w14:textFill>
            <w14:solidFill>
              <w14:schemeClr w14:val="tx1"/>
            </w14:solidFill>
          </w14:textFill>
        </w:rPr>
      </w:pPr>
      <w:r>
        <w:rPr>
          <w:rStyle w:val="17"/>
          <w:rFonts w:hint="eastAsia" w:ascii="宋体" w:hAnsi="宋体" w:eastAsia="宋体" w:cs="宋体"/>
          <w:color w:val="000000" w:themeColor="text1"/>
          <w:sz w:val="24"/>
          <w:szCs w:val="24"/>
          <w:highlight w:val="none"/>
          <w:u w:val="none"/>
          <w:lang w:eastAsia="zh-CN"/>
          <w14:textFill>
            <w14:solidFill>
              <w14:schemeClr w14:val="tx1"/>
            </w14:solidFill>
          </w14:textFill>
        </w:rPr>
        <w:t>十</w:t>
      </w:r>
      <w:r>
        <w:rPr>
          <w:rStyle w:val="17"/>
          <w:rFonts w:hint="eastAsia" w:ascii="宋体" w:hAnsi="宋体" w:eastAsia="宋体" w:cs="宋体"/>
          <w:color w:val="000000" w:themeColor="text1"/>
          <w:sz w:val="24"/>
          <w:szCs w:val="24"/>
          <w:highlight w:val="none"/>
          <w:u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其他重要事项的情况说明</w:t>
      </w:r>
      <w:r>
        <w:rPr>
          <w:rFonts w:hint="eastAsia" w:ascii="仿宋_GB2312" w:hAnsi="仿宋_GB2312" w:eastAsia="仿宋_GB2312" w:cs="仿宋_GB2312"/>
          <w:color w:val="000000" w:themeColor="text1"/>
          <w:spacing w:val="11"/>
          <w:sz w:val="24"/>
          <w:szCs w:val="20"/>
          <w14:textFill>
            <w14:solidFill>
              <w14:schemeClr w14:val="tx1"/>
            </w14:solidFill>
          </w14:textFill>
        </w:rPr>
        <w:t>¨¨¨¨</w:t>
      </w:r>
      <w:r>
        <w:rPr>
          <w:rFonts w:hint="eastAsia" w:ascii="仿宋_GB2312" w:hAnsi="仿宋_GB2312" w:eastAsia="仿宋_GB2312" w:cs="仿宋_GB2312"/>
          <w:color w:val="000000" w:themeColor="text1"/>
          <w:spacing w:val="0"/>
          <w:sz w:val="24"/>
          <w:szCs w:val="20"/>
          <w14:textFill>
            <w14:solidFill>
              <w14:schemeClr w14:val="tx1"/>
            </w14:solidFill>
          </w14:textFill>
        </w:rPr>
        <w:t>¨¨¨¨¨¨¨</w:t>
      </w:r>
      <w:r>
        <w:rPr>
          <w:rFonts w:hint="eastAsia" w:ascii="仿宋_GB2312" w:hAnsi="仿宋_GB2312" w:eastAsia="仿宋_GB2312" w:cs="仿宋_GB2312"/>
          <w:color w:val="000000" w:themeColor="text1"/>
          <w:spacing w:val="6"/>
          <w:kern w:val="0"/>
          <w:sz w:val="24"/>
          <w:szCs w:val="20"/>
          <w:lang w:val="en-US" w:eastAsia="zh-CN" w:bidi="hi-IN"/>
          <w14:textFill>
            <w14:solidFill>
              <w14:schemeClr w14:val="tx1"/>
            </w14:solidFill>
          </w14:textFill>
        </w:rPr>
        <w:t>¨¨¨¨¨¨¨¨¨¨</w:t>
      </w:r>
      <w:r>
        <w:rPr>
          <w:rFonts w:hint="eastAsia" w:ascii="仿宋_GB2312" w:hAnsi="仿宋_GB2312" w:eastAsia="仿宋_GB2312" w:cs="仿宋_GB2312"/>
          <w:color w:val="000000" w:themeColor="text1"/>
          <w:spacing w:val="0"/>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22</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仿宋_GB2312" w:hAnsi="仿宋_GB2312" w:eastAsia="仿宋_GB2312" w:cs="仿宋_GB2312"/>
          <w:color w:val="000000" w:themeColor="text1"/>
          <w:spacing w:val="11"/>
          <w:sz w:val="24"/>
          <w:szCs w:val="20"/>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第三部分 名词解释</w:t>
      </w:r>
      <w:r>
        <w:rPr>
          <w:rFonts w:hint="eastAsia" w:ascii="仿宋_GB2312" w:hAnsi="仿宋_GB2312" w:eastAsia="仿宋_GB2312" w:cs="仿宋_GB2312"/>
          <w:color w:val="000000" w:themeColor="text1"/>
          <w:spacing w:val="11"/>
          <w:sz w:val="24"/>
          <w:szCs w:val="20"/>
          <w14:textFill>
            <w14:solidFill>
              <w14:schemeClr w14:val="tx1"/>
            </w14:solidFill>
          </w14:textFill>
        </w:rPr>
        <w:t>¨¨¨¨¨¨¨¨¨</w:t>
      </w:r>
      <w:r>
        <w:rPr>
          <w:rFonts w:hint="eastAsia" w:ascii="仿宋_GB2312" w:hAnsi="仿宋_GB2312" w:eastAsia="仿宋_GB2312" w:cs="仿宋_GB2312"/>
          <w:color w:val="000000" w:themeColor="text1"/>
          <w:spacing w:val="6"/>
          <w:sz w:val="24"/>
          <w:szCs w:val="20"/>
          <w14:textFill>
            <w14:solidFill>
              <w14:schemeClr w14:val="tx1"/>
            </w14:solidFill>
          </w14:textFill>
        </w:rPr>
        <w:t>¨</w:t>
      </w:r>
      <w:r>
        <w:rPr>
          <w:rFonts w:hint="eastAsia" w:ascii="仿宋_GB2312" w:hAnsi="仿宋_GB2312" w:eastAsia="仿宋_GB2312" w:cs="仿宋_GB2312"/>
          <w:color w:val="000000" w:themeColor="text1"/>
          <w:spacing w:val="6"/>
          <w:sz w:val="24"/>
          <w:szCs w:val="20"/>
          <w:lang w:val="en-US" w:eastAsia="zh-CN"/>
          <w14:textFill>
            <w14:solidFill>
              <w14:schemeClr w14:val="tx1"/>
            </w14:solidFill>
          </w14:textFill>
        </w:rPr>
        <w:t>¨¨¨¨¨¨¨¨¨¨¨ ¨¨</w:t>
      </w:r>
      <w:r>
        <w:rPr>
          <w:rFonts w:hint="eastAsia" w:ascii="仿宋_GB2312" w:hAnsi="仿宋_GB2312" w:eastAsia="仿宋_GB2312" w:cs="仿宋_GB2312"/>
          <w:color w:val="000000" w:themeColor="text1"/>
          <w:spacing w:val="11"/>
          <w:sz w:val="24"/>
          <w:szCs w:val="20"/>
          <w:lang w:val="en-US" w:eastAsia="zh-CN"/>
          <w14:textFill>
            <w14:solidFill>
              <w14:schemeClr w14:val="tx1"/>
            </w14:solidFill>
          </w14:textFill>
        </w:rPr>
        <w:t>¨</w:t>
      </w:r>
      <w:r>
        <w:rPr>
          <w:rFonts w:hint="eastAsia" w:ascii="仿宋_GB2312" w:hAnsi="仿宋_GB2312" w:eastAsia="仿宋_GB2312" w:cs="仿宋_GB2312"/>
          <w:color w:val="000000" w:themeColor="text1"/>
          <w:spacing w:val="11"/>
          <w:sz w:val="24"/>
          <w:szCs w:val="20"/>
          <w14:textFill>
            <w14:solidFill>
              <w14:schemeClr w14:val="tx1"/>
            </w14:solidFill>
          </w14:textFill>
        </w:rPr>
        <w:t>¨</w:t>
      </w:r>
      <w:r>
        <w:rPr>
          <w:rFonts w:hint="eastAsia" w:ascii="仿宋_GB2312" w:hAnsi="仿宋_GB2312" w:eastAsia="仿宋_GB2312" w:cs="仿宋_GB2312"/>
          <w:color w:val="000000" w:themeColor="text1"/>
          <w:spacing w:val="11"/>
          <w:sz w:val="24"/>
          <w:szCs w:val="20"/>
          <w:lang w:val="en-US" w:eastAsia="zh-CN"/>
          <w14:textFill>
            <w14:solidFill>
              <w14:schemeClr w14:val="tx1"/>
            </w14:solidFill>
          </w14:textFill>
        </w:rPr>
        <w:t>24</w:t>
      </w:r>
    </w:p>
    <w:p>
      <w:pPr>
        <w:pStyle w:val="12"/>
        <w:adjustRightInd w:val="0"/>
        <w:snapToGrid w:val="0"/>
        <w:spacing w:before="0" w:line="440" w:lineRule="exact"/>
        <w:jc w:val="left"/>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第四部分 附件</w:t>
      </w:r>
      <w:r>
        <w:rPr>
          <w:rFonts w:hint="eastAsia" w:ascii="仿宋_GB2312" w:hAnsi="仿宋_GB2312" w:eastAsia="仿宋_GB2312" w:cs="仿宋_GB2312"/>
          <w:color w:val="000000" w:themeColor="text1"/>
          <w:spacing w:val="11"/>
          <w:sz w:val="24"/>
          <w:szCs w:val="20"/>
          <w14:textFill>
            <w14:solidFill>
              <w14:schemeClr w14:val="tx1"/>
            </w14:solidFill>
          </w14:textFill>
        </w:rPr>
        <w:t>¨</w:t>
      </w:r>
      <w:r>
        <w:rPr>
          <w:rFonts w:hint="eastAsia" w:ascii="仿宋_GB2312" w:hAnsi="仿宋_GB2312" w:eastAsia="仿宋_GB2312" w:cs="仿宋_GB2312"/>
          <w:color w:val="000000" w:themeColor="text1"/>
          <w:spacing w:val="0"/>
          <w:sz w:val="24"/>
          <w:szCs w:val="20"/>
          <w14:textFill>
            <w14:solidFill>
              <w14:schemeClr w14:val="tx1"/>
            </w14:solidFill>
          </w14:textFill>
        </w:rPr>
        <w:t>¨¨¨¨¨¨¨¨¨¨</w:t>
      </w:r>
      <w:r>
        <w:rPr>
          <w:rFonts w:hint="eastAsia" w:ascii="仿宋_GB2312" w:hAnsi="仿宋_GB2312" w:eastAsia="仿宋_GB2312" w:cs="仿宋_GB2312"/>
          <w:color w:val="000000" w:themeColor="text1"/>
          <w:spacing w:val="0"/>
          <w:sz w:val="24"/>
          <w14:textFill>
            <w14:solidFill>
              <w14:schemeClr w14:val="tx1"/>
            </w14:solidFill>
          </w14:textFill>
        </w:rPr>
        <w:t>¨</w:t>
      </w:r>
      <w:r>
        <w:rPr>
          <w:rFonts w:hint="eastAsia" w:ascii="仿宋_GB2312" w:hAnsi="仿宋_GB2312" w:eastAsia="仿宋_GB2312" w:cs="仿宋_GB2312"/>
          <w:color w:val="000000" w:themeColor="text1"/>
          <w:spacing w:val="0"/>
          <w:sz w:val="24"/>
          <w:szCs w:val="20"/>
          <w14:textFill>
            <w14:solidFill>
              <w14:schemeClr w14:val="tx1"/>
            </w14:solidFill>
          </w14:textFill>
        </w:rPr>
        <w:t>¨¨¨¨¨¨¨¨¨¨¨¨¨¨¨¨</w:t>
      </w:r>
      <w:r>
        <w:rPr>
          <w:rFonts w:hint="eastAsia" w:ascii="仿宋_GB2312" w:hAnsi="仿宋_GB2312" w:eastAsia="仿宋_GB2312" w:cs="仿宋_GB2312"/>
          <w:color w:val="000000" w:themeColor="text1"/>
          <w:spacing w:val="0"/>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29</w:t>
      </w:r>
    </w:p>
    <w:p>
      <w:pPr>
        <w:pStyle w:val="12"/>
        <w:adjustRightInd w:val="0"/>
        <w:snapToGrid w:val="0"/>
        <w:spacing w:before="0" w:line="440" w:lineRule="exact"/>
        <w:jc w:val="left"/>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第五部分 附表</w:t>
      </w:r>
      <w:r>
        <w:rPr>
          <w:rFonts w:hint="eastAsia" w:ascii="仿宋_GB2312" w:hAnsi="仿宋_GB2312" w:eastAsia="仿宋_GB2312" w:cs="仿宋_GB2312"/>
          <w:color w:val="000000" w:themeColor="text1"/>
          <w:spacing w:val="11"/>
          <w:sz w:val="24"/>
          <w:szCs w:val="20"/>
          <w14:textFill>
            <w14:solidFill>
              <w14:schemeClr w14:val="tx1"/>
            </w14:solidFill>
          </w14:textFill>
        </w:rPr>
        <w:t>¨</w:t>
      </w:r>
      <w:r>
        <w:rPr>
          <w:rFonts w:hint="eastAsia" w:ascii="仿宋_GB2312" w:hAnsi="仿宋_GB2312" w:eastAsia="仿宋_GB2312" w:cs="仿宋_GB2312"/>
          <w:color w:val="000000" w:themeColor="text1"/>
          <w:spacing w:val="6"/>
          <w:sz w:val="24"/>
          <w:szCs w:val="20"/>
          <w14:textFill>
            <w14:solidFill>
              <w14:schemeClr w14:val="tx1"/>
            </w14:solidFill>
          </w14:textFill>
        </w:rPr>
        <w:t>¨¨</w:t>
      </w:r>
      <w:r>
        <w:rPr>
          <w:rFonts w:hint="eastAsia" w:ascii="仿宋_GB2312" w:hAnsi="仿宋_GB2312" w:eastAsia="仿宋_GB2312" w:cs="仿宋_GB2312"/>
          <w:color w:val="000000" w:themeColor="text1"/>
          <w:spacing w:val="11"/>
          <w:sz w:val="24"/>
          <w:szCs w:val="20"/>
          <w14:textFill>
            <w14:solidFill>
              <w14:schemeClr w14:val="tx1"/>
            </w14:solidFill>
          </w14:textFill>
        </w:rPr>
        <w:t>¨</w:t>
      </w:r>
      <w:r>
        <w:rPr>
          <w:rFonts w:hint="eastAsia" w:ascii="仿宋_GB2312" w:hAnsi="仿宋_GB2312" w:eastAsia="仿宋_GB2312" w:cs="仿宋_GB2312"/>
          <w:color w:val="000000" w:themeColor="text1"/>
          <w:spacing w:val="6"/>
          <w:sz w:val="24"/>
          <w:szCs w:val="20"/>
          <w14:textFill>
            <w14:solidFill>
              <w14:schemeClr w14:val="tx1"/>
            </w14:solidFill>
          </w14:textFill>
        </w:rPr>
        <w:t>¨¨¨¨¨¨¨</w:t>
      </w:r>
      <w:r>
        <w:rPr>
          <w:rFonts w:hint="eastAsia" w:ascii="仿宋_GB2312" w:hAnsi="仿宋_GB2312" w:eastAsia="仿宋_GB2312" w:cs="仿宋_GB2312"/>
          <w:color w:val="000000" w:themeColor="text1"/>
          <w:spacing w:val="0"/>
          <w:sz w:val="24"/>
          <w:szCs w:val="20"/>
          <w14:textFill>
            <w14:solidFill>
              <w14:schemeClr w14:val="tx1"/>
            </w14:solidFill>
          </w14:textFill>
        </w:rPr>
        <w:t>¨¨¨¨¨¨¨</w:t>
      </w:r>
      <w:r>
        <w:rPr>
          <w:rFonts w:hint="eastAsia" w:ascii="仿宋_GB2312" w:hAnsi="仿宋_GB2312" w:eastAsia="仿宋_GB2312" w:cs="仿宋_GB2312"/>
          <w:color w:val="000000" w:themeColor="text1"/>
          <w:spacing w:val="6"/>
          <w:sz w:val="24"/>
          <w:szCs w:val="20"/>
          <w14:textFill>
            <w14:solidFill>
              <w14:schemeClr w14:val="tx1"/>
            </w14:solidFill>
          </w14:textFill>
        </w:rPr>
        <w:t>¨¨¨¨¨¨¨¨</w:t>
      </w:r>
      <w:r>
        <w:rPr>
          <w:rFonts w:hint="eastAsia" w:ascii="仿宋_GB2312" w:hAnsi="仿宋_GB2312" w:eastAsia="仿宋_GB2312" w:cs="仿宋_GB2312"/>
          <w:color w:val="000000" w:themeColor="text1"/>
          <w:spacing w:val="6"/>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69</w:t>
      </w:r>
    </w:p>
    <w:p>
      <w:pPr>
        <w:pStyle w:val="13"/>
        <w:adjustRightInd w:val="0"/>
        <w:snapToGrid w:val="0"/>
        <w:spacing w:line="440" w:lineRule="exact"/>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一、收入支出决算总表</w:t>
      </w:r>
    </w:p>
    <w:p>
      <w:pPr>
        <w:pStyle w:val="13"/>
        <w:adjustRightInd w:val="0"/>
        <w:snapToGrid w:val="0"/>
        <w:spacing w:line="440" w:lineRule="exact"/>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二、收入决算表</w:t>
      </w:r>
    </w:p>
    <w:p>
      <w:pPr>
        <w:pStyle w:val="13"/>
        <w:adjustRightInd w:val="0"/>
        <w:snapToGrid w:val="0"/>
        <w:spacing w:line="440" w:lineRule="exact"/>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三、支出决算表</w:t>
      </w:r>
    </w:p>
    <w:p>
      <w:pPr>
        <w:pStyle w:val="13"/>
        <w:adjustRightInd w:val="0"/>
        <w:snapToGrid w:val="0"/>
        <w:spacing w:line="440" w:lineRule="exact"/>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四、财政拨款收入支出决算总表</w:t>
      </w:r>
    </w:p>
    <w:p>
      <w:pPr>
        <w:pStyle w:val="13"/>
        <w:adjustRightInd w:val="0"/>
        <w:snapToGrid w:val="0"/>
        <w:spacing w:line="440" w:lineRule="exact"/>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五、财政拨款支出决算明细表</w:t>
      </w:r>
    </w:p>
    <w:p>
      <w:pPr>
        <w:pStyle w:val="13"/>
        <w:adjustRightInd w:val="0"/>
        <w:snapToGrid w:val="0"/>
        <w:spacing w:line="440" w:lineRule="exact"/>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六、一般公共预算财政拨款支出决算表</w:t>
      </w:r>
    </w:p>
    <w:p>
      <w:pPr>
        <w:pStyle w:val="13"/>
        <w:adjustRightInd w:val="0"/>
        <w:snapToGrid w:val="0"/>
        <w:spacing w:line="440" w:lineRule="exact"/>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七、一般公共预算财政拨款支出决算明细表</w:t>
      </w:r>
    </w:p>
    <w:p>
      <w:pPr>
        <w:pStyle w:val="13"/>
        <w:adjustRightInd w:val="0"/>
        <w:snapToGrid w:val="0"/>
        <w:spacing w:line="440" w:lineRule="exact"/>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八、一般公共预算财政拨款基本支出决算表</w:t>
      </w:r>
    </w:p>
    <w:p>
      <w:pPr>
        <w:pStyle w:val="13"/>
        <w:adjustRightInd w:val="0"/>
        <w:snapToGrid w:val="0"/>
        <w:spacing w:line="440" w:lineRule="exact"/>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九、一般公共预算财政拨款项目支出决算表</w:t>
      </w:r>
    </w:p>
    <w:p>
      <w:pPr>
        <w:pStyle w:val="13"/>
        <w:adjustRightInd w:val="0"/>
        <w:snapToGrid w:val="0"/>
        <w:spacing w:line="440" w:lineRule="exact"/>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十、一般公共预算财政拨款“三公”经费支出决算表</w:t>
      </w:r>
    </w:p>
    <w:p>
      <w:pPr>
        <w:pStyle w:val="13"/>
        <w:adjustRightInd w:val="0"/>
        <w:snapToGrid w:val="0"/>
        <w:spacing w:line="440" w:lineRule="exact"/>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十一、政府性基金预算财政拨款收入支出决算表</w:t>
      </w:r>
    </w:p>
    <w:p>
      <w:pPr>
        <w:pStyle w:val="13"/>
        <w:adjustRightInd w:val="0"/>
        <w:snapToGrid w:val="0"/>
        <w:spacing w:line="440" w:lineRule="exact"/>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十二、政府性基金预算财政拨款“三公”经费支出决算表</w:t>
      </w:r>
    </w:p>
    <w:p>
      <w:pPr>
        <w:pStyle w:val="13"/>
        <w:adjustRightInd w:val="0"/>
        <w:snapToGrid w:val="0"/>
        <w:spacing w:line="440" w:lineRule="exact"/>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十三、国有资本经营预算</w:t>
      </w:r>
      <w:r>
        <w:rPr>
          <w:rFonts w:hint="eastAsia" w:ascii="宋体" w:hAnsi="宋体" w:eastAsia="宋体" w:cs="宋体"/>
          <w:color w:val="000000" w:themeColor="text1"/>
          <w:sz w:val="24"/>
          <w:szCs w:val="24"/>
          <w:highlight w:val="none"/>
          <w:lang w:eastAsia="zh-CN"/>
          <w14:textFill>
            <w14:solidFill>
              <w14:schemeClr w14:val="tx1"/>
            </w14:solidFill>
          </w14:textFill>
        </w:rPr>
        <w:t>财政拨款收入</w:t>
      </w:r>
      <w:r>
        <w:rPr>
          <w:rFonts w:hint="eastAsia" w:ascii="宋体" w:hAnsi="宋体" w:eastAsia="宋体" w:cs="宋体"/>
          <w:color w:val="000000" w:themeColor="text1"/>
          <w:sz w:val="24"/>
          <w:szCs w:val="24"/>
          <w:highlight w:val="none"/>
          <w14:textFill>
            <w14:solidFill>
              <w14:schemeClr w14:val="tx1"/>
            </w14:solidFill>
          </w14:textFill>
        </w:rPr>
        <w:t>支出决算表</w:t>
      </w:r>
    </w:p>
    <w:p>
      <w:pPr>
        <w:pStyle w:val="13"/>
        <w:adjustRightInd w:val="0"/>
        <w:snapToGrid w:val="0"/>
        <w:spacing w:line="440" w:lineRule="exact"/>
        <w:ind w:left="0" w:leftChars="0" w:firstLine="0" w:firstLineChars="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十四、国有资本经营预算财政拨款支出决算表</w:t>
      </w:r>
    </w:p>
    <w:p>
      <w:pPr>
        <w:bidi w:val="0"/>
        <w:jc w:val="center"/>
        <w:rPr>
          <w:rFonts w:hint="eastAsia" w:ascii="黑体" w:hAnsi="黑体" w:eastAsia="黑体"/>
          <w:b w:val="0"/>
          <w:color w:val="000000" w:themeColor="text1"/>
          <w:sz w:val="44"/>
          <w:szCs w:val="44"/>
          <w:highlight w:val="none"/>
          <w14:textFill>
            <w14:solidFill>
              <w14:schemeClr w14:val="tx1"/>
            </w14:solidFill>
          </w14:textFill>
        </w:rPr>
        <w:sectPr>
          <w:footerReference r:id="rId3" w:type="default"/>
          <w:pgSz w:w="11906" w:h="16838"/>
          <w:pgMar w:top="1701" w:right="1474" w:bottom="1701" w:left="1587" w:header="851" w:footer="1417" w:gutter="0"/>
          <w:pgNumType w:fmt="decimal" w:start="1"/>
          <w:cols w:space="425" w:num="1"/>
          <w:titlePg/>
          <w:docGrid w:type="lines" w:linePitch="312" w:charSpace="0"/>
        </w:sectPr>
      </w:pPr>
      <w:bookmarkStart w:id="12" w:name="_Toc15396599"/>
      <w:bookmarkStart w:id="13" w:name="_Toc15377196"/>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26"/>
          <w:rFonts w:hint="eastAsia" w:ascii="方正小标宋_GBK" w:hAnsi="方正小标宋_GBK" w:eastAsia="方正小标宋_GBK" w:cs="方正小标宋_GBK"/>
          <w:b/>
          <w:bCs w:val="0"/>
          <w:color w:val="000000" w:themeColor="text1"/>
          <w:sz w:val="44"/>
          <w:szCs w:val="44"/>
          <w:highlight w:val="none"/>
          <w14:textFill>
            <w14:solidFill>
              <w14:schemeClr w14:val="tx1"/>
            </w14:solidFill>
          </w14:textFill>
        </w:rPr>
      </w:pPr>
      <w:r>
        <w:rPr>
          <w:rFonts w:hint="eastAsia" w:ascii="方正小标宋_GBK" w:hAnsi="方正小标宋_GBK" w:eastAsia="方正小标宋_GBK" w:cs="方正小标宋_GBK"/>
          <w:b w:val="0"/>
          <w:color w:val="000000" w:themeColor="text1"/>
          <w:sz w:val="44"/>
          <w:szCs w:val="44"/>
          <w:highlight w:val="none"/>
          <w14:textFill>
            <w14:solidFill>
              <w14:schemeClr w14:val="tx1"/>
            </w14:solidFill>
          </w14:textFill>
        </w:rPr>
        <w:t>第一部分</w:t>
      </w:r>
      <w:r>
        <w:rPr>
          <w:rFonts w:hint="eastAsia" w:ascii="方正小标宋_GBK" w:hAnsi="方正小标宋_GBK" w:eastAsia="方正小标宋_GBK" w:cs="方正小标宋_GBK"/>
          <w:b w:val="0"/>
          <w:color w:val="000000" w:themeColor="text1"/>
          <w:sz w:val="44"/>
          <w:szCs w:val="44"/>
          <w:highlight w:val="none"/>
          <w:lang w:val="en-US" w:eastAsia="zh-CN"/>
          <w14:textFill>
            <w14:solidFill>
              <w14:schemeClr w14:val="tx1"/>
            </w14:solidFill>
          </w14:textFill>
        </w:rPr>
        <w:t xml:space="preserve"> </w:t>
      </w:r>
      <w:r>
        <w:rPr>
          <w:rFonts w:hint="eastAsia" w:ascii="方正小标宋_GBK" w:hAnsi="方正小标宋_GBK" w:eastAsia="方正小标宋_GBK" w:cs="方正小标宋_GBK"/>
          <w:b w:val="0"/>
          <w:color w:val="000000" w:themeColor="text1"/>
          <w:sz w:val="44"/>
          <w:szCs w:val="44"/>
          <w:highlight w:val="none"/>
          <w14:textFill>
            <w14:solidFill>
              <w14:schemeClr w14:val="tx1"/>
            </w14:solidFill>
          </w14:textFill>
        </w:rPr>
        <w:t xml:space="preserve"> </w:t>
      </w:r>
      <w:r>
        <w:rPr>
          <w:rStyle w:val="26"/>
          <w:rFonts w:hint="eastAsia" w:ascii="方正小标宋_GBK" w:hAnsi="方正小标宋_GBK" w:eastAsia="方正小标宋_GBK" w:cs="方正小标宋_GBK"/>
          <w:b w:val="0"/>
          <w:bCs w:val="0"/>
          <w:color w:val="000000" w:themeColor="text1"/>
          <w:sz w:val="44"/>
          <w:szCs w:val="44"/>
          <w:highlight w:val="none"/>
          <w14:textFill>
            <w14:solidFill>
              <w14:schemeClr w14:val="tx1"/>
            </w14:solidFill>
          </w14:textFill>
        </w:rPr>
        <w:t>部门概况</w:t>
      </w:r>
      <w:bookmarkEnd w:id="12"/>
      <w:bookmarkEnd w:id="13"/>
    </w:p>
    <w:p>
      <w:pPr>
        <w:widowControl/>
        <w:jc w:val="left"/>
        <w:rPr>
          <w:rFonts w:ascii="黑体" w:eastAsia="黑体"/>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ind w:firstLine="640" w:firstLineChars="200"/>
        <w:jc w:val="both"/>
        <w:rPr>
          <w:rStyle w:val="27"/>
          <w:rFonts w:hint="eastAsia" w:ascii="黑体" w:hAnsi="黑体" w:eastAsia="黑体" w:cs="黑体"/>
          <w:b w:val="0"/>
          <w:bCs w:val="0"/>
          <w:i w:val="0"/>
          <w:iCs w:val="0"/>
          <w:color w:val="000000" w:themeColor="text1"/>
          <w:sz w:val="32"/>
          <w:szCs w:val="32"/>
          <w:highlight w:val="none"/>
          <w:u w:val="none" w:color="auto"/>
          <w14:textFill>
            <w14:solidFill>
              <w14:schemeClr w14:val="tx1"/>
            </w14:solidFill>
          </w14:textFill>
        </w:rPr>
      </w:pPr>
      <w:bookmarkStart w:id="14" w:name="_Toc15396600"/>
      <w:bookmarkStart w:id="15" w:name="_Toc15377197"/>
      <w:r>
        <w:rPr>
          <w:rFonts w:hint="eastAsia" w:ascii="黑体" w:hAnsi="黑体" w:eastAsia="黑体" w:cs="黑体"/>
          <w:b w:val="0"/>
          <w:i w:val="0"/>
          <w:iCs w:val="0"/>
          <w:color w:val="000000" w:themeColor="text1"/>
          <w:sz w:val="32"/>
          <w:szCs w:val="32"/>
          <w:highlight w:val="none"/>
          <w:u w:val="none" w:color="auto"/>
          <w14:textFill>
            <w14:solidFill>
              <w14:schemeClr w14:val="tx1"/>
            </w14:solidFill>
          </w14:textFill>
        </w:rPr>
        <w:t>一、基</w:t>
      </w:r>
      <w:r>
        <w:rPr>
          <w:rStyle w:val="27"/>
          <w:rFonts w:hint="eastAsia" w:ascii="黑体" w:hAnsi="黑体" w:eastAsia="黑体" w:cs="黑体"/>
          <w:b w:val="0"/>
          <w:bCs w:val="0"/>
          <w:i w:val="0"/>
          <w:iCs w:val="0"/>
          <w:color w:val="000000" w:themeColor="text1"/>
          <w:sz w:val="32"/>
          <w:szCs w:val="32"/>
          <w:highlight w:val="none"/>
          <w:u w:val="none" w:color="auto"/>
          <w14:textFill>
            <w14:solidFill>
              <w14:schemeClr w14:val="tx1"/>
            </w14:solidFill>
          </w14:textFill>
        </w:rPr>
        <w:t>本职能及主要工作</w:t>
      </w:r>
      <w:bookmarkEnd w:id="14"/>
      <w:bookmarkEnd w:id="15"/>
    </w:p>
    <w:p>
      <w:pPr>
        <w:keepNext w:val="0"/>
        <w:keepLines w:val="0"/>
        <w:pageBreakBefore w:val="0"/>
        <w:widowControl w:val="0"/>
        <w:shd w:val="clear" w:color="auto" w:fill="FFFFFF"/>
        <w:kinsoku/>
        <w:wordWrap/>
        <w:overflowPunct/>
        <w:topLinePunct w:val="0"/>
        <w:autoSpaceDE/>
        <w:autoSpaceDN/>
        <w:bidi w:val="0"/>
        <w:spacing w:line="600" w:lineRule="exact"/>
        <w:ind w:firstLine="630"/>
        <w:jc w:val="both"/>
        <w:rPr>
          <w:rFonts w:hint="eastAsia" w:ascii="仿宋_GB2312" w:hAnsi="仿宋_GB2312" w:eastAsia="仿宋_GB2312" w:cs="仿宋_GB2312"/>
          <w:bCs/>
          <w:i w:val="0"/>
          <w:iCs w:val="0"/>
          <w:color w:val="000000" w:themeColor="text1"/>
          <w:kern w:val="0"/>
          <w:sz w:val="32"/>
          <w:szCs w:val="32"/>
          <w:u w:val="none" w:color="auto"/>
          <w14:textFill>
            <w14:solidFill>
              <w14:schemeClr w14:val="tx1"/>
            </w14:solidFill>
          </w14:textFill>
        </w:rPr>
      </w:pPr>
      <w:bookmarkStart w:id="16" w:name="_Toc15378445"/>
      <w:bookmarkStart w:id="17" w:name="_Toc15377198"/>
      <w:r>
        <w:rPr>
          <w:rFonts w:hint="eastAsia" w:ascii="楷体_GB2312" w:hAnsi="楷体_GB2312" w:eastAsia="楷体_GB2312" w:cs="楷体_GB2312"/>
          <w:bCs/>
          <w:i w:val="0"/>
          <w:iCs w:val="0"/>
          <w:color w:val="000000" w:themeColor="text1"/>
          <w:sz w:val="32"/>
          <w:szCs w:val="32"/>
          <w:highlight w:val="none"/>
          <w:u w:val="none" w:color="auto"/>
          <w14:textFill>
            <w14:solidFill>
              <w14:schemeClr w14:val="tx1"/>
            </w14:solidFill>
          </w14:textFill>
        </w:rPr>
        <w:t>（一）主要职能。</w:t>
      </w:r>
      <w:bookmarkEnd w:id="16"/>
      <w:bookmarkEnd w:id="17"/>
      <w:bookmarkStart w:id="18" w:name="_Toc15378446"/>
      <w:bookmarkStart w:id="19" w:name="_Toc15377199"/>
      <w:r>
        <w:rPr>
          <w:rFonts w:hint="eastAsia" w:ascii="仿宋_GB2312" w:hAnsi="仿宋_GB2312" w:eastAsia="仿宋_GB2312" w:cs="仿宋_GB2312"/>
          <w:bCs/>
          <w:i w:val="0"/>
          <w:iCs w:val="0"/>
          <w:color w:val="000000" w:themeColor="text1"/>
          <w:kern w:val="0"/>
          <w:sz w:val="32"/>
          <w:szCs w:val="32"/>
          <w:u w:val="none" w:color="auto"/>
          <w14:textFill>
            <w14:solidFill>
              <w14:schemeClr w14:val="tx1"/>
            </w14:solidFill>
          </w14:textFill>
        </w:rPr>
        <w:t>省司法厅是主管全省司法行政工作的省政府组成部门,负责贯彻落实党中央关于全面依法治国的方针政策和省委的决策部署,在履行职责过程中坚持和加强党对全面依法治国工作的集中统一领导。其主要工作包括：承担全面依法治国、依法治省重大问题的政策研究，协调有关方面提出全面依法治省规划建议，负责有关重大决策部署督察工作；承担统筹规划立法工作的责任。协调有关方面提出立法规划和年度立法工作计划的建议，负责跟踪了解各部门对立法工作计划的落实情况，加强组织实施和督促指导，研究提出立法与改革决策相衔接的意见、措施。负责面向社会征集地方性法规、规章制定项目建议；负责起草或者组织起草地方性法规、省政府规章草案。负责省政府各部门报送省政府的地方性法规、规章草案的审查工作。负责立法协调；承担省政府规章的解释、立法后评估工作。负责协调各地、各部门实施法律、法规、规章中的有关争议和问题。承办省政府规章的清理、编纂、翻译工作。承办省政府规章报送备案工作。负责市（州）政府规章备案审查工作；负责省政府规范性文件、重大行政决策发布前的合法性审查。承办省政府规范性文件的报送备案工作。负责各市（州）政府和省政府各部门规范性文件报送省政府的备案审查工作。组织开展规范性文件清理；承担统筹推进法治政府建设的责任。指导监督省政府各部门、省以下各级政府依法行政工作。负责综合协调、监督检查行政执法，承担推进行政执法体制改革有关工作，推进严格规范公正文明执法。指导监督全省行政复议、行政应诉和行政赔偿工作，承办向省政府申请的行政复议、行政赔偿案件，代理省政府行政应诉案件；承担统筹规划法治社会建设的责任。负责拟订法治宣传教育规划，组织实施普法宣传工作，组织对外法治宣传。推动人民参与和促进法治建设。指导依法治理和法治创建工作。指导调解工作。负责并指导人民监督员的选任管理工作。指导人民陪审员选任工作。推进司法所建设。将安全生产、职业健康法律法规纳入公民普法教育重要内容并会同有关部门开展宣传普及，做好职责范围内的安全生产工作；负责全省监狱管理工作。负责监狱系统党的建设、党风廉政建设和领导班子建设，指导监督刑罚执行、罪犯改造的工作。指导管理社区矫正工作。指导刑满释放人员帮教安置工作；负责全省司法行政戒毒管理工作。负责司法行政戒毒系统党的建设、党风廉政建设和领导班子建设。指导监督本系统强制隔离戒毒执行和戒毒康复工作。对社区戒毒和社区康复工作提供指导、支持和协助；负责拟订全省公共法律服务体系建设规划并指导实施，统筹和布局全省城乡、区域法律服务资源。指导监督律师、法律援助、司法鉴定、公证、仲裁和基层法律服务管理工作；负责全省国家统一法律职业资格考试的组织实施工作。负责全省国家统一法律职业资格管理工作。负责规划和指导法律职业人员入职前培训工作；负责本系统枪支、弹药、服装和警车管理工作。指导监督本系统财务、装备、设施、场所等保障工作。指导监督监狱系统、司法行政戒毒系统和四川司法警官职业学院的计划财务工作。负责监狱系统、司法行政戒毒系统、四川司法警官职业学院及厅直属单位内部审计工作；规划、协调、指导法治人才队伍建设相关工作，指导监督本系统队伍建设。负责本系统人民警察警务管理和警务督察工作。负责四川司法警官职业学院领导班子建设，协助市（州）管理司法局领导干部；负责并指导本系统行政审批工作。负责全省外来企业投诉处理和民营企业法律服务工作。</w:t>
      </w:r>
    </w:p>
    <w:p>
      <w:pPr>
        <w:pStyle w:val="5"/>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jc w:val="both"/>
        <w:outlineLvl w:val="2"/>
        <w:rPr>
          <w:rFonts w:hint="eastAsia" w:ascii="楷体_GB2312" w:hAnsi="楷体_GB2312" w:eastAsia="楷体_GB2312" w:cs="楷体_GB2312"/>
          <w:bCs/>
          <w:i w:val="0"/>
          <w:iCs w:val="0"/>
          <w:color w:val="000000" w:themeColor="text1"/>
          <w:sz w:val="32"/>
          <w:szCs w:val="32"/>
          <w:highlight w:val="none"/>
          <w:u w:val="none" w:color="auto"/>
          <w14:textFill>
            <w14:solidFill>
              <w14:schemeClr w14:val="tx1"/>
            </w14:solidFill>
          </w14:textFill>
        </w:rPr>
      </w:pPr>
      <w:r>
        <w:rPr>
          <w:rFonts w:hint="eastAsia" w:ascii="楷体_GB2312" w:hAnsi="楷体_GB2312" w:eastAsia="楷体_GB2312" w:cs="楷体_GB2312"/>
          <w:bCs/>
          <w:i w:val="0"/>
          <w:iCs w:val="0"/>
          <w:color w:val="000000" w:themeColor="text1"/>
          <w:sz w:val="32"/>
          <w:szCs w:val="32"/>
          <w:highlight w:val="none"/>
          <w:u w:val="none" w:color="auto"/>
          <w14:textFill>
            <w14:solidFill>
              <w14:schemeClr w14:val="tx1"/>
            </w14:solidFill>
          </w14:textFill>
        </w:rPr>
        <w:t>（二）20</w:t>
      </w:r>
      <w:r>
        <w:rPr>
          <w:rFonts w:hint="eastAsia" w:ascii="楷体_GB2312" w:hAnsi="楷体_GB2312" w:eastAsia="楷体_GB2312" w:cs="楷体_GB2312"/>
          <w:bCs/>
          <w:i w:val="0"/>
          <w:iCs w:val="0"/>
          <w:color w:val="000000" w:themeColor="text1"/>
          <w:sz w:val="32"/>
          <w:szCs w:val="32"/>
          <w:highlight w:val="none"/>
          <w:u w:val="none" w:color="auto"/>
          <w:lang w:val="en-US" w:eastAsia="zh-CN"/>
          <w14:textFill>
            <w14:solidFill>
              <w14:schemeClr w14:val="tx1"/>
            </w14:solidFill>
          </w14:textFill>
        </w:rPr>
        <w:t>21</w:t>
      </w:r>
      <w:r>
        <w:rPr>
          <w:rFonts w:hint="eastAsia" w:ascii="楷体_GB2312" w:hAnsi="楷体_GB2312" w:eastAsia="楷体_GB2312" w:cs="楷体_GB2312"/>
          <w:bCs/>
          <w:i w:val="0"/>
          <w:iCs w:val="0"/>
          <w:color w:val="000000" w:themeColor="text1"/>
          <w:sz w:val="32"/>
          <w:szCs w:val="32"/>
          <w:highlight w:val="none"/>
          <w:u w:val="none" w:color="auto"/>
          <w14:textFill>
            <w14:solidFill>
              <w14:schemeClr w14:val="tx1"/>
            </w14:solidFill>
          </w14:textFill>
        </w:rPr>
        <w:t>年重点工作完成情况。</w:t>
      </w:r>
      <w:bookmarkEnd w:id="18"/>
      <w:bookmarkEnd w:id="19"/>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baseline"/>
        <w:rPr>
          <w:rFonts w:hint="eastAsia" w:ascii="仿宋_GB2312" w:hAnsi="仿宋_GB2312" w:eastAsia="仿宋_GB2312" w:cs="仿宋_GB2312"/>
          <w:bCs/>
          <w:i w:val="0"/>
          <w:iCs w:val="0"/>
          <w:color w:val="000000" w:themeColor="text1"/>
          <w:kern w:val="0"/>
          <w:sz w:val="32"/>
          <w:szCs w:val="32"/>
          <w:u w:val="none" w:color="auto"/>
          <w14:textFill>
            <w14:solidFill>
              <w14:schemeClr w14:val="tx1"/>
            </w14:solidFill>
          </w14:textFill>
        </w:rPr>
      </w:pPr>
      <w:r>
        <w:rPr>
          <w:rFonts w:hint="eastAsia" w:ascii="仿宋_GB2312" w:hAnsi="仿宋_GB2312" w:eastAsia="仿宋_GB2312" w:cs="仿宋_GB2312"/>
          <w:b w:val="0"/>
          <w:bCs w:val="0"/>
          <w:i w:val="0"/>
          <w:iCs w:val="0"/>
          <w:color w:val="000000" w:themeColor="text1"/>
          <w:spacing w:val="0"/>
          <w:kern w:val="2"/>
          <w:sz w:val="32"/>
          <w:szCs w:val="32"/>
          <w:u w:val="none" w:color="auto"/>
          <w:lang w:val="en-US" w:eastAsia="zh-CN" w:bidi="ar-SA"/>
          <w14:textFill>
            <w14:solidFill>
              <w14:schemeClr w14:val="tx1"/>
            </w14:solidFill>
          </w14:textFill>
        </w:rPr>
        <w:t>2021年，司法厅在省委、省政府的坚强领导下，坚持以习近平新时代中国特色社会主义思想为指导，深入学习贯彻习近平法治思想，紧紧围绕中心大局，全面加强法治服务和法治保障，各项工作有序推进，取得积极成效。</w:t>
      </w:r>
      <w:r>
        <w:rPr>
          <w:rFonts w:hint="eastAsia" w:ascii="仿宋_GB2312" w:hAnsi="仿宋_GB2312" w:eastAsia="仿宋_GB2312" w:cs="仿宋_GB2312"/>
          <w:i w:val="0"/>
          <w:iCs w:val="0"/>
          <w:color w:val="000000" w:themeColor="text1"/>
          <w:kern w:val="0"/>
          <w:sz w:val="32"/>
          <w:szCs w:val="32"/>
          <w:u w:val="none" w:color="auto"/>
          <w:lang w:eastAsia="zh-CN"/>
          <w14:textFill>
            <w14:solidFill>
              <w14:schemeClr w14:val="tx1"/>
            </w14:solidFill>
          </w14:textFill>
        </w:rPr>
        <w:t>全年省部级以上领导</w:t>
      </w:r>
      <w:r>
        <w:rPr>
          <w:rFonts w:hint="eastAsia" w:ascii="仿宋_GB2312" w:hAnsi="仿宋_GB2312" w:eastAsia="仿宋_GB2312" w:cs="仿宋_GB2312"/>
          <w:i w:val="0"/>
          <w:iCs w:val="0"/>
          <w:color w:val="000000" w:themeColor="text1"/>
          <w:kern w:val="0"/>
          <w:sz w:val="32"/>
          <w:szCs w:val="32"/>
          <w:u w:val="none" w:color="auto"/>
          <w14:textFill>
            <w14:solidFill>
              <w14:schemeClr w14:val="tx1"/>
            </w14:solidFill>
          </w14:textFill>
        </w:rPr>
        <w:t>先后12次作出肯定性批示</w:t>
      </w:r>
      <w:r>
        <w:rPr>
          <w:rFonts w:hint="eastAsia" w:ascii="仿宋_GB2312" w:hAnsi="仿宋_GB2312" w:eastAsia="仿宋_GB2312" w:cs="仿宋_GB2312"/>
          <w:i w:val="0"/>
          <w:iCs w:val="0"/>
          <w:caps w:val="0"/>
          <w:color w:val="000000" w:themeColor="text1"/>
          <w:spacing w:val="0"/>
          <w:kern w:val="0"/>
          <w:sz w:val="32"/>
          <w:szCs w:val="32"/>
          <w:u w:val="none" w:color="auto"/>
          <w:shd w:val="clear" w:color="auto" w:fill="FFFFFF"/>
          <w:lang w:val="en-US" w:eastAsia="zh-CN" w:bidi="ar"/>
          <w14:textFill>
            <w14:solidFill>
              <w14:schemeClr w14:val="tx1"/>
            </w14:solidFill>
          </w14:textFill>
        </w:rPr>
        <w:t>，司法厅先后10次在全国、全省性会议上作经验交流。</w:t>
      </w:r>
      <w:r>
        <w:rPr>
          <w:rFonts w:hint="eastAsia" w:ascii="仿宋_GB2312" w:hAnsi="仿宋_GB2312" w:eastAsia="仿宋_GB2312" w:cs="仿宋_GB2312"/>
          <w:bCs/>
          <w:i w:val="0"/>
          <w:iCs w:val="0"/>
          <w:color w:val="000000" w:themeColor="text1"/>
          <w:kern w:val="0"/>
          <w:sz w:val="32"/>
          <w:szCs w:val="32"/>
          <w:u w:val="none" w:color="auto"/>
          <w14:textFill>
            <w14:solidFill>
              <w14:schemeClr w14:val="tx1"/>
            </w14:solidFill>
          </w14:textFill>
        </w:rPr>
        <w:t>现将一年来的主要事业成效报告如下：</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olor w:val="000000" w:themeColor="text1"/>
          <w:sz w:val="32"/>
          <w:szCs w:val="32"/>
          <w:u w:val="none" w:color="auto"/>
          <w:lang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32"/>
          <w:szCs w:val="32"/>
          <w:u w:val="none" w:color="auto"/>
          <w:lang w:val="en-US" w:eastAsia="zh-CN"/>
          <w14:textFill>
            <w14:solidFill>
              <w14:schemeClr w14:val="tx1"/>
            </w14:solidFill>
          </w14:textFill>
        </w:rPr>
        <w:t>1.</w:t>
      </w:r>
      <w:r>
        <w:rPr>
          <w:rFonts w:hint="eastAsia" w:ascii="仿宋_GB2312" w:hAnsi="仿宋_GB2312" w:eastAsia="仿宋_GB2312" w:cs="仿宋_GB2312"/>
          <w:b w:val="0"/>
          <w:bCs w:val="0"/>
          <w:i w:val="0"/>
          <w:iCs w:val="0"/>
          <w:color w:val="000000" w:themeColor="text1"/>
          <w:spacing w:val="0"/>
          <w:kern w:val="2"/>
          <w:sz w:val="32"/>
          <w:szCs w:val="32"/>
          <w:u w:val="none" w:color="auto"/>
          <w:lang w:val="en-US" w:eastAsia="zh-CN" w:bidi="ar-SA"/>
          <w14:textFill>
            <w14:solidFill>
              <w14:schemeClr w14:val="tx1"/>
            </w14:solidFill>
          </w14:textFill>
        </w:rPr>
        <w:t>统筹抓好全面依法治省工作</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olor w:val="000000" w:themeColor="text1"/>
          <w:kern w:val="2"/>
          <w:sz w:val="32"/>
          <w:szCs w:val="32"/>
          <w:u w:val="none" w:color="auto"/>
          <w:lang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32"/>
          <w:szCs w:val="32"/>
          <w:u w:val="none" w:color="auto"/>
          <w:lang w:eastAsia="zh-CN" w:bidi="ar-SA"/>
          <w14:textFill>
            <w14:solidFill>
              <w14:schemeClr w14:val="tx1"/>
            </w14:solidFill>
          </w14:textFill>
        </w:rPr>
        <w:t>一是深入学习贯彻习近平法治思想。</w:t>
      </w:r>
      <w:r>
        <w:rPr>
          <w:rFonts w:hint="eastAsia" w:ascii="仿宋_GB2312" w:hAnsi="仿宋_GB2312" w:eastAsia="仿宋_GB2312" w:cs="仿宋_GB2312"/>
          <w:i w:val="0"/>
          <w:iCs w:val="0"/>
          <w:color w:val="000000" w:themeColor="text1"/>
          <w:sz w:val="32"/>
          <w:szCs w:val="32"/>
          <w:u w:val="none" w:color="auto"/>
          <w:lang w:val="en-US" w:eastAsia="zh-CN"/>
          <w14:textFill>
            <w14:solidFill>
              <w14:schemeClr w14:val="tx1"/>
            </w14:solidFill>
          </w14:textFill>
        </w:rPr>
        <w:t>研究</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制定贯彻落实习近平法治思想深入推进全面依法治省的若干措施，编印《习近平法治思想重要论述摘编》</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w:t>
      </w:r>
      <w:r>
        <w:rPr>
          <w:rFonts w:hint="eastAsia" w:ascii="仿宋_GB2312" w:hAnsi="仿宋_GB2312" w:eastAsia="仿宋_GB2312" w:cs="仿宋_GB2312"/>
          <w:i w:val="0"/>
          <w:iCs w:val="0"/>
          <w:snapToGrid w:val="0"/>
          <w:color w:val="000000" w:themeColor="text1"/>
          <w:sz w:val="32"/>
          <w:szCs w:val="32"/>
          <w:u w:val="none" w:color="auto"/>
          <w:lang w:eastAsia="zh-CN"/>
          <w14:textFill>
            <w14:solidFill>
              <w14:schemeClr w14:val="tx1"/>
            </w14:solidFill>
          </w14:textFill>
        </w:rPr>
        <w:t>举办专题讲座</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，组织开展</w:t>
      </w:r>
      <w:r>
        <w:rPr>
          <w:rFonts w:hint="eastAsia" w:ascii="仿宋_GB2312" w:hAnsi="仿宋_GB2312" w:eastAsia="仿宋_GB2312" w:cs="仿宋_GB2312"/>
          <w:i w:val="0"/>
          <w:iCs w:val="0"/>
          <w:color w:val="000000" w:themeColor="text1"/>
          <w:sz w:val="32"/>
          <w:szCs w:val="32"/>
          <w:u w:val="none" w:color="auto"/>
          <w:shd w:val="clear" w:color="auto" w:fill="FFFFFF"/>
          <w14:textFill>
            <w14:solidFill>
              <w14:schemeClr w14:val="tx1"/>
            </w14:solidFill>
          </w14:textFill>
        </w:rPr>
        <w:t>以</w:t>
      </w:r>
      <w:r>
        <w:rPr>
          <w:rFonts w:hint="eastAsia" w:ascii="仿宋_GB2312" w:hAnsi="仿宋_GB2312" w:eastAsia="仿宋_GB2312" w:cs="仿宋_GB2312"/>
          <w:i w:val="0"/>
          <w:iCs w:val="0"/>
          <w:color w:val="000000" w:themeColor="text1"/>
          <w:sz w:val="32"/>
          <w:szCs w:val="32"/>
          <w:u w:val="none" w:color="auto"/>
          <w:shd w:val="clear" w:color="auto" w:fill="FFFFFF"/>
          <w:lang w:eastAsia="zh-CN"/>
          <w14:textFill>
            <w14:solidFill>
              <w14:schemeClr w14:val="tx1"/>
            </w14:solidFill>
          </w14:textFill>
        </w:rPr>
        <w:t>“</w:t>
      </w:r>
      <w:r>
        <w:rPr>
          <w:rFonts w:hint="eastAsia" w:ascii="仿宋_GB2312" w:hAnsi="仿宋_GB2312" w:eastAsia="仿宋_GB2312" w:cs="仿宋_GB2312"/>
          <w:i w:val="0"/>
          <w:iCs w:val="0"/>
          <w:color w:val="000000" w:themeColor="text1"/>
          <w:sz w:val="32"/>
          <w:szCs w:val="32"/>
          <w:u w:val="none" w:color="auto"/>
          <w:shd w:val="clear" w:color="auto" w:fill="FFFFFF"/>
          <w14:textFill>
            <w14:solidFill>
              <w14:schemeClr w14:val="tx1"/>
            </w14:solidFill>
          </w14:textFill>
        </w:rPr>
        <w:t>深入学习贯彻习近平法治思想 奋力谱写法治四川建设新篇章</w:t>
      </w:r>
      <w:r>
        <w:rPr>
          <w:rFonts w:hint="eastAsia" w:ascii="仿宋_GB2312" w:hAnsi="仿宋_GB2312" w:eastAsia="仿宋_GB2312" w:cs="仿宋_GB2312"/>
          <w:i w:val="0"/>
          <w:iCs w:val="0"/>
          <w:color w:val="000000" w:themeColor="text1"/>
          <w:sz w:val="32"/>
          <w:szCs w:val="32"/>
          <w:u w:val="none" w:color="auto"/>
          <w:shd w:val="clear" w:color="auto" w:fill="FFFFFF"/>
          <w:lang w:eastAsia="zh-CN"/>
          <w14:textFill>
            <w14:solidFill>
              <w14:schemeClr w14:val="tx1"/>
            </w14:solidFill>
          </w14:textFill>
        </w:rPr>
        <w:t>”</w:t>
      </w:r>
      <w:r>
        <w:rPr>
          <w:rFonts w:hint="eastAsia" w:ascii="仿宋_GB2312" w:hAnsi="仿宋_GB2312" w:eastAsia="仿宋_GB2312" w:cs="仿宋_GB2312"/>
          <w:i w:val="0"/>
          <w:iCs w:val="0"/>
          <w:color w:val="000000" w:themeColor="text1"/>
          <w:sz w:val="32"/>
          <w:szCs w:val="32"/>
          <w:u w:val="none" w:color="auto"/>
          <w:shd w:val="clear" w:color="auto" w:fill="FFFFFF"/>
          <w14:textFill>
            <w14:solidFill>
              <w14:schemeClr w14:val="tx1"/>
            </w14:solidFill>
          </w14:textFill>
        </w:rPr>
        <w:t>为主题</w:t>
      </w:r>
      <w:r>
        <w:rPr>
          <w:rFonts w:hint="eastAsia" w:ascii="仿宋_GB2312" w:hAnsi="仿宋_GB2312" w:eastAsia="仿宋_GB2312" w:cs="仿宋_GB2312"/>
          <w:i w:val="0"/>
          <w:iCs w:val="0"/>
          <w:color w:val="000000" w:themeColor="text1"/>
          <w:sz w:val="32"/>
          <w:szCs w:val="32"/>
          <w:u w:val="none" w:color="auto"/>
          <w:shd w:val="clear" w:color="auto" w:fill="FFFFFF"/>
          <w:lang w:eastAsia="zh-CN"/>
          <w14:textFill>
            <w14:solidFill>
              <w14:schemeClr w14:val="tx1"/>
            </w14:solidFill>
          </w14:textFill>
        </w:rPr>
        <w:t>的“宪法宣传周”活动，</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有力推动学习宣传贯彻走深走实。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32"/>
          <w:szCs w:val="32"/>
          <w:u w:val="none" w:color="auto"/>
          <w:lang w:val="zh-CN" w:eastAsia="zh-CN" w:bidi="ar-SA"/>
          <w14:textFill>
            <w14:solidFill>
              <w14:schemeClr w14:val="tx1"/>
            </w14:solidFill>
          </w14:textFill>
        </w:rPr>
        <w:t>二是统筹编制法治四川建设系列规划。</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对标中央部署和规划，组织编制法治四川建设规划和法治政府、法治社会建设实施方案，绘制了“十四五”时期全省法治建设蓝图。</w:t>
      </w:r>
    </w:p>
    <w:p>
      <w:pPr>
        <w:keepNext w:val="0"/>
        <w:keepLines w:val="0"/>
        <w:pageBreakBefore w:val="0"/>
        <w:widowControl w:val="0"/>
        <w:shd w:val="clear" w:color="auto" w:fill="FFFFFF"/>
        <w:kinsoku/>
        <w:wordWrap/>
        <w:overflowPunct/>
        <w:topLinePunct w:val="0"/>
        <w:autoSpaceDE/>
        <w:autoSpaceDN/>
        <w:bidi w:val="0"/>
        <w:snapToGrid/>
        <w:spacing w:line="600" w:lineRule="exact"/>
        <w:ind w:firstLine="640" w:firstLineChars="200"/>
        <w:jc w:val="both"/>
        <w:textAlignment w:val="auto"/>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32"/>
          <w:szCs w:val="32"/>
          <w:u w:val="none" w:color="auto"/>
          <w:lang w:val="zh-CN" w:eastAsia="zh-CN" w:bidi="ar-SA"/>
          <w14:textFill>
            <w14:solidFill>
              <w14:schemeClr w14:val="tx1"/>
            </w14:solidFill>
          </w14:textFill>
        </w:rPr>
        <w:t>三是创新开展“</w:t>
      </w:r>
      <w:r>
        <w:rPr>
          <w:rFonts w:hint="eastAsia" w:ascii="仿宋_GB2312" w:hAnsi="仿宋_GB2312" w:eastAsia="仿宋_GB2312" w:cs="仿宋_GB2312"/>
          <w:b w:val="0"/>
          <w:bCs w:val="0"/>
          <w:i w:val="0"/>
          <w:iCs w:val="0"/>
          <w:color w:val="000000" w:themeColor="text1"/>
          <w:sz w:val="32"/>
          <w:szCs w:val="32"/>
          <w:u w:val="none" w:color="auto"/>
          <w:lang w:val="en-US" w:eastAsia="zh-CN" w:bidi="ar-SA"/>
          <w14:textFill>
            <w14:solidFill>
              <w14:schemeClr w14:val="tx1"/>
            </w14:solidFill>
          </w14:textFill>
        </w:rPr>
        <w:t>1+8</w:t>
      </w:r>
      <w:r>
        <w:rPr>
          <w:rFonts w:hint="eastAsia" w:ascii="仿宋_GB2312" w:hAnsi="仿宋_GB2312" w:eastAsia="仿宋_GB2312" w:cs="仿宋_GB2312"/>
          <w:b w:val="0"/>
          <w:bCs w:val="0"/>
          <w:i w:val="0"/>
          <w:iCs w:val="0"/>
          <w:color w:val="000000" w:themeColor="text1"/>
          <w:sz w:val="32"/>
          <w:szCs w:val="32"/>
          <w:u w:val="none" w:color="auto"/>
          <w:lang w:val="zh-CN" w:eastAsia="zh-CN" w:bidi="ar-SA"/>
          <w14:textFill>
            <w14:solidFill>
              <w14:schemeClr w14:val="tx1"/>
            </w14:solidFill>
          </w14:textFill>
        </w:rPr>
        <w:t>”示范试点。</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在全国率先开展全面依法治</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县及推动解决法治领域</w:t>
      </w:r>
      <w:r>
        <w:rPr>
          <w:rFonts w:hint="eastAsia" w:ascii="仿宋_GB2312" w:hAnsi="仿宋_GB2312" w:eastAsia="仿宋_GB2312" w:cs="仿宋_GB2312"/>
          <w:i w:val="0"/>
          <w:iCs w:val="0"/>
          <w:color w:val="000000" w:themeColor="text1"/>
          <w:sz w:val="32"/>
          <w:szCs w:val="32"/>
          <w:u w:val="none" w:color="auto"/>
          <w:lang w:val="en-US" w:eastAsia="zh-CN"/>
          <w14:textFill>
            <w14:solidFill>
              <w14:schemeClr w14:val="tx1"/>
            </w14:solidFill>
          </w14:textFill>
        </w:rPr>
        <w:t>八个</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突出问题示范试点</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创新</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推出</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“法治账图”模式，</w:t>
      </w:r>
      <w:r>
        <w:rPr>
          <w:rFonts w:hint="eastAsia" w:ascii="仿宋_GB2312" w:hAnsi="仿宋_GB2312" w:eastAsia="仿宋_GB2312" w:cs="仿宋_GB2312"/>
          <w:b w:val="0"/>
          <w:i w:val="0"/>
          <w:iCs w:val="0"/>
          <w:color w:val="000000" w:themeColor="text1"/>
          <w:kern w:val="2"/>
          <w:sz w:val="32"/>
          <w:szCs w:val="32"/>
          <w:u w:val="none" w:color="auto"/>
          <w:lang w:val="en-US" w:eastAsia="zh-CN"/>
          <w14:textFill>
            <w14:solidFill>
              <w14:schemeClr w14:val="tx1"/>
            </w14:solidFill>
          </w14:textFill>
        </w:rPr>
        <w:t>全面依法治县60项重要指标整体向好，</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得到中央依法治国办充分肯定</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，拟在我省召开现场会向全国推广。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olor w:val="000000" w:themeColor="text1"/>
          <w:sz w:val="32"/>
          <w:szCs w:val="32"/>
          <w:u w:val="none" w:color="auto"/>
          <w:lang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2"/>
          <w:sz w:val="32"/>
          <w:szCs w:val="32"/>
          <w:u w:val="none" w:color="auto"/>
          <w:lang w:val="en-US" w:eastAsia="zh-CN"/>
          <w14:textFill>
            <w14:solidFill>
              <w14:schemeClr w14:val="tx1"/>
            </w14:solidFill>
          </w14:textFill>
        </w:rPr>
        <w:t>2.</w:t>
      </w:r>
      <w:r>
        <w:rPr>
          <w:rFonts w:hint="eastAsia" w:ascii="仿宋_GB2312" w:hAnsi="仿宋_GB2312" w:eastAsia="仿宋_GB2312" w:cs="仿宋_GB2312"/>
          <w:b w:val="0"/>
          <w:bCs w:val="0"/>
          <w:i w:val="0"/>
          <w:iCs w:val="0"/>
          <w:color w:val="000000" w:themeColor="text1"/>
          <w:spacing w:val="0"/>
          <w:kern w:val="2"/>
          <w:sz w:val="32"/>
          <w:szCs w:val="32"/>
          <w:u w:val="none" w:color="auto"/>
          <w:lang w:val="en-US" w:eastAsia="zh-CN" w:bidi="ar-SA"/>
          <w14:textFill>
            <w14:solidFill>
              <w14:schemeClr w14:val="tx1"/>
            </w14:solidFill>
          </w14:textFill>
        </w:rPr>
        <w:t>全面护航经济社会发展</w:t>
      </w:r>
    </w:p>
    <w:p>
      <w:pPr>
        <w:keepNext w:val="0"/>
        <w:keepLines w:val="0"/>
        <w:pageBreakBefore w:val="0"/>
        <w:widowControl w:val="0"/>
        <w:shd w:val="clear" w:color="auto" w:fill="FFFFFF"/>
        <w:kinsoku/>
        <w:wordWrap/>
        <w:overflowPunct/>
        <w:topLinePunct w:val="0"/>
        <w:autoSpaceDE/>
        <w:autoSpaceDN/>
        <w:bidi w:val="0"/>
        <w:snapToGrid/>
        <w:spacing w:line="600" w:lineRule="exact"/>
        <w:ind w:firstLine="640" w:firstLineChars="200"/>
        <w:jc w:val="both"/>
        <w:textAlignment w:val="auto"/>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32"/>
          <w:szCs w:val="32"/>
          <w:u w:val="none" w:color="auto"/>
          <w:lang w:val="en-US" w:eastAsia="zh-CN" w:bidi="ar-SA"/>
          <w14:textFill>
            <w14:solidFill>
              <w14:schemeClr w14:val="tx1"/>
            </w14:solidFill>
          </w14:textFill>
        </w:rPr>
        <w:t>一是实施重大项目和重点企业专项法律服务。</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采取</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“1个法律顾问团”+“1个专项行动律师服务团”模式，为全省50余个重点项目提供</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点对点</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法律服务。实施“千所百处帮万企”活动，</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组织</w:t>
      </w:r>
      <w:r>
        <w:rPr>
          <w:rFonts w:hint="eastAsia" w:ascii="仿宋_GB2312" w:hAnsi="仿宋_GB2312" w:eastAsia="仿宋_GB2312" w:cs="仿宋_GB2312"/>
          <w:i w:val="0"/>
          <w:iCs w:val="0"/>
          <w:color w:val="000000" w:themeColor="text1"/>
          <w:sz w:val="32"/>
          <w:szCs w:val="32"/>
          <w:u w:val="none" w:color="auto"/>
          <w:lang w:val="en-US" w:eastAsia="zh-CN"/>
          <w14:textFill>
            <w14:solidFill>
              <w14:schemeClr w14:val="tx1"/>
            </w14:solidFill>
          </w14:textFill>
        </w:rPr>
        <w:t>757家</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律</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师事务所与1205家工商联所属商会建立联系合作，</w:t>
      </w:r>
      <w:r>
        <w:rPr>
          <w:rFonts w:hint="eastAsia" w:ascii="仿宋_GB2312" w:hAnsi="仿宋_GB2312" w:eastAsia="仿宋_GB2312" w:cs="仿宋_GB2312"/>
          <w:b w:val="0"/>
          <w:bCs w:val="0"/>
          <w:i w:val="0"/>
          <w:iCs w:val="0"/>
          <w:color w:val="000000" w:themeColor="text1"/>
          <w:kern w:val="2"/>
          <w:sz w:val="32"/>
          <w:szCs w:val="32"/>
          <w:u w:val="none" w:color="auto"/>
          <w:lang w:val="en-US" w:eastAsia="zh-CN" w:bidi="ar-SA"/>
          <w14:textFill>
            <w14:solidFill>
              <w14:schemeClr w14:val="tx1"/>
            </w14:solidFill>
          </w14:textFill>
        </w:rPr>
        <w:t>为2900余家企业开展“法治体检”</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40" w:firstLineChars="200"/>
        <w:jc w:val="both"/>
        <w:rPr>
          <w:rFonts w:hint="eastAsia" w:ascii="仿宋_GB2312" w:hAnsi="仿宋_GB2312" w:eastAsia="仿宋_GB2312" w:cs="仿宋_GB2312"/>
          <w:b w:val="0"/>
          <w:bCs w:val="0"/>
          <w:i w:val="0"/>
          <w:iCs w:val="0"/>
          <w:color w:val="000000" w:themeColor="text1"/>
          <w:sz w:val="32"/>
          <w:szCs w:val="32"/>
          <w:u w:val="none" w:color="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32"/>
          <w:szCs w:val="32"/>
          <w:u w:val="none" w:color="auto"/>
          <w:lang w:val="en-US" w:eastAsia="zh-CN" w:bidi="ar-SA"/>
          <w14:textFill>
            <w14:solidFill>
              <w14:schemeClr w14:val="tx1"/>
            </w14:solidFill>
          </w14:textFill>
        </w:rPr>
        <w:t>二是加快推动川渝法治一体化建设。</w:t>
      </w:r>
      <w:r>
        <w:rPr>
          <w:rFonts w:hint="eastAsia" w:ascii="仿宋_GB2312" w:hAnsi="仿宋_GB2312" w:eastAsia="仿宋_GB2312" w:cs="仿宋_GB2312"/>
          <w:b w:val="0"/>
          <w:bCs w:val="0"/>
          <w:i w:val="0"/>
          <w:iCs w:val="0"/>
          <w:color w:val="000000" w:themeColor="text1"/>
          <w:sz w:val="32"/>
          <w:szCs w:val="32"/>
          <w:u w:val="none" w:color="auto"/>
          <w:lang w:val="en-US" w:eastAsia="zh-CN"/>
          <w14:textFill>
            <w14:solidFill>
              <w14:schemeClr w14:val="tx1"/>
            </w14:solidFill>
          </w14:textFill>
        </w:rPr>
        <w:t>紧扣打造区域法治、法律服务、监管安全、法治人才“四个共同体”，</w:t>
      </w:r>
      <w:r>
        <w:rPr>
          <w:rFonts w:hint="eastAsia" w:ascii="仿宋_GB2312" w:hAnsi="仿宋_GB2312" w:eastAsia="仿宋_GB2312" w:cs="仿宋_GB2312"/>
          <w:b w:val="0"/>
          <w:bCs w:val="0"/>
          <w:i w:val="0"/>
          <w:iCs w:val="0"/>
          <w:color w:val="000000" w:themeColor="text1"/>
          <w:sz w:val="32"/>
          <w:szCs w:val="32"/>
          <w:u w:val="none" w:color="auto"/>
          <w14:textFill>
            <w14:solidFill>
              <w14:schemeClr w14:val="tx1"/>
            </w14:solidFill>
          </w14:textFill>
        </w:rPr>
        <w:t>举办川渝涉外法律服务合作论坛</w:t>
      </w:r>
      <w:r>
        <w:rPr>
          <w:rFonts w:hint="eastAsia" w:ascii="仿宋_GB2312" w:hAnsi="仿宋_GB2312" w:eastAsia="仿宋_GB2312" w:cs="仿宋_GB2312"/>
          <w:b w:val="0"/>
          <w:bCs w:val="0"/>
          <w:i w:val="0"/>
          <w:iCs w:val="0"/>
          <w:color w:val="000000" w:themeColor="text1"/>
          <w:sz w:val="32"/>
          <w:szCs w:val="32"/>
          <w:u w:val="none" w:color="auto"/>
          <w:lang w:eastAsia="zh-CN"/>
          <w14:textFill>
            <w14:solidFill>
              <w14:schemeClr w14:val="tx1"/>
            </w14:solidFill>
          </w14:textFill>
        </w:rPr>
        <w:t>，</w:t>
      </w:r>
      <w:r>
        <w:rPr>
          <w:rFonts w:hint="eastAsia" w:ascii="仿宋_GB2312" w:hAnsi="仿宋_GB2312" w:eastAsia="仿宋_GB2312" w:cs="仿宋_GB2312"/>
          <w:b w:val="0"/>
          <w:bCs w:val="0"/>
          <w:i w:val="0"/>
          <w:iCs w:val="0"/>
          <w:color w:val="000000" w:themeColor="text1"/>
          <w:sz w:val="32"/>
          <w:szCs w:val="32"/>
          <w:u w:val="none" w:color="auto"/>
          <w:lang w:val="en-US" w:eastAsia="zh-CN"/>
          <w14:textFill>
            <w14:solidFill>
              <w14:schemeClr w14:val="tx1"/>
            </w14:solidFill>
          </w14:textFill>
        </w:rPr>
        <w:t>签署仲裁合作协议，</w:t>
      </w:r>
      <w:r>
        <w:rPr>
          <w:rFonts w:hint="eastAsia" w:ascii="仿宋_GB2312" w:hAnsi="仿宋_GB2312" w:eastAsia="仿宋_GB2312" w:cs="仿宋_GB2312"/>
          <w:b w:val="0"/>
          <w:bCs w:val="0"/>
          <w:i w:val="0"/>
          <w:iCs w:val="0"/>
          <w:color w:val="000000" w:themeColor="text1"/>
          <w:sz w:val="32"/>
          <w:szCs w:val="32"/>
          <w:u w:val="none" w:color="auto"/>
          <w14:textFill>
            <w14:solidFill>
              <w14:schemeClr w14:val="tx1"/>
            </w14:solidFill>
          </w14:textFill>
        </w:rPr>
        <w:t>建立川渝行政复议专家库</w:t>
      </w:r>
      <w:r>
        <w:rPr>
          <w:rFonts w:hint="eastAsia" w:ascii="仿宋_GB2312" w:hAnsi="仿宋_GB2312" w:eastAsia="仿宋_GB2312" w:cs="仿宋_GB2312"/>
          <w:b w:val="0"/>
          <w:bCs w:val="0"/>
          <w:i w:val="0"/>
          <w:iCs w:val="0"/>
          <w:color w:val="000000" w:themeColor="text1"/>
          <w:sz w:val="32"/>
          <w:szCs w:val="32"/>
          <w:u w:val="none" w:color="auto"/>
          <w:lang w:eastAsia="zh-CN"/>
          <w14:textFill>
            <w14:solidFill>
              <w14:schemeClr w14:val="tx1"/>
            </w14:solidFill>
          </w14:textFill>
        </w:rPr>
        <w:t>和司法鉴定专家库，</w:t>
      </w:r>
      <w:r>
        <w:rPr>
          <w:rFonts w:hint="eastAsia" w:ascii="仿宋_GB2312" w:hAnsi="仿宋_GB2312" w:eastAsia="仿宋_GB2312" w:cs="仿宋_GB2312"/>
          <w:b w:val="0"/>
          <w:bCs w:val="0"/>
          <w:i w:val="0"/>
          <w:iCs w:val="0"/>
          <w:color w:val="000000" w:themeColor="text1"/>
          <w:sz w:val="32"/>
          <w:szCs w:val="32"/>
          <w:u w:val="none" w:color="auto"/>
          <w14:textFill>
            <w14:solidFill>
              <w14:schemeClr w14:val="tx1"/>
            </w14:solidFill>
          </w14:textFill>
        </w:rPr>
        <w:t>发布川渝行政复议年度典型案例。建立</w:t>
      </w:r>
      <w:r>
        <w:rPr>
          <w:rFonts w:hint="eastAsia" w:ascii="仿宋_GB2312" w:hAnsi="仿宋_GB2312" w:eastAsia="仿宋_GB2312" w:cs="仿宋_GB2312"/>
          <w:b w:val="0"/>
          <w:bCs w:val="0"/>
          <w:i w:val="0"/>
          <w:iCs w:val="0"/>
          <w:color w:val="000000" w:themeColor="text1"/>
          <w:sz w:val="32"/>
          <w:szCs w:val="32"/>
          <w:u w:val="none" w:color="auto"/>
          <w:rtl w:val="0"/>
          <w:lang w:val="en-US" w:eastAsia="zh-CN"/>
          <w14:textFill>
            <w14:solidFill>
              <w14:schemeClr w14:val="tx1"/>
            </w14:solidFill>
          </w14:textFill>
        </w:rPr>
        <w:t>跨区域跨部门涉企纠纷受理平台，</w:t>
      </w:r>
      <w:r>
        <w:rPr>
          <w:rFonts w:hint="eastAsia" w:ascii="仿宋_GB2312" w:hAnsi="仿宋_GB2312" w:eastAsia="仿宋_GB2312" w:cs="仿宋_GB2312"/>
          <w:b w:val="0"/>
          <w:bCs w:val="0"/>
          <w:i w:val="0"/>
          <w:iCs w:val="0"/>
          <w:color w:val="000000" w:themeColor="text1"/>
          <w:sz w:val="32"/>
          <w:szCs w:val="32"/>
          <w:u w:val="none" w:color="auto"/>
          <w:lang w:val="en-US" w:eastAsia="zh-CN"/>
          <w14:textFill>
            <w14:solidFill>
              <w14:schemeClr w14:val="tx1"/>
            </w14:solidFill>
          </w14:textFill>
        </w:rPr>
        <w:t>持续深化</w:t>
      </w:r>
      <w:r>
        <w:rPr>
          <w:rFonts w:hint="eastAsia" w:ascii="仿宋_GB2312" w:hAnsi="仿宋_GB2312" w:eastAsia="仿宋_GB2312" w:cs="仿宋_GB2312"/>
          <w:b w:val="0"/>
          <w:bCs w:val="0"/>
          <w:i w:val="0"/>
          <w:iCs w:val="0"/>
          <w:color w:val="000000" w:themeColor="text1"/>
          <w:sz w:val="32"/>
          <w:szCs w:val="32"/>
          <w:u w:val="none" w:color="auto"/>
          <w14:textFill>
            <w14:solidFill>
              <w14:schemeClr w14:val="tx1"/>
            </w14:solidFill>
          </w14:textFill>
        </w:rPr>
        <w:t>边界</w:t>
      </w:r>
      <w:r>
        <w:rPr>
          <w:rFonts w:hint="eastAsia" w:ascii="仿宋_GB2312" w:hAnsi="仿宋_GB2312" w:eastAsia="仿宋_GB2312" w:cs="仿宋_GB2312"/>
          <w:b w:val="0"/>
          <w:bCs w:val="0"/>
          <w:i w:val="0"/>
          <w:iCs w:val="0"/>
          <w:color w:val="000000" w:themeColor="text1"/>
          <w:sz w:val="32"/>
          <w:szCs w:val="32"/>
          <w:u w:val="none" w:color="auto"/>
          <w:lang w:eastAsia="zh-CN"/>
          <w14:textFill>
            <w14:solidFill>
              <w14:schemeClr w14:val="tx1"/>
            </w14:solidFill>
          </w14:textFill>
        </w:rPr>
        <w:t>联调</w:t>
      </w:r>
      <w:r>
        <w:rPr>
          <w:rFonts w:hint="eastAsia" w:ascii="仿宋_GB2312" w:hAnsi="仿宋_GB2312" w:eastAsia="仿宋_GB2312" w:cs="仿宋_GB2312"/>
          <w:b w:val="0"/>
          <w:bCs w:val="0"/>
          <w:i w:val="0"/>
          <w:iCs w:val="0"/>
          <w:color w:val="000000" w:themeColor="text1"/>
          <w:sz w:val="32"/>
          <w:szCs w:val="32"/>
          <w:u w:val="none" w:color="auto"/>
          <w14:textFill>
            <w14:solidFill>
              <w14:schemeClr w14:val="tx1"/>
            </w14:solidFill>
          </w14:textFill>
        </w:rPr>
        <w:t>、法律援助异地申办</w:t>
      </w:r>
      <w:r>
        <w:rPr>
          <w:rFonts w:hint="eastAsia" w:ascii="仿宋_GB2312" w:hAnsi="仿宋_GB2312" w:eastAsia="仿宋_GB2312" w:cs="仿宋_GB2312"/>
          <w:b w:val="0"/>
          <w:bCs w:val="0"/>
          <w:i w:val="0"/>
          <w:iCs w:val="0"/>
          <w:color w:val="000000" w:themeColor="text1"/>
          <w:sz w:val="32"/>
          <w:szCs w:val="32"/>
          <w:u w:val="none" w:color="auto"/>
          <w:lang w:eastAsia="zh-CN"/>
          <w14:textFill>
            <w14:solidFill>
              <w14:schemeClr w14:val="tx1"/>
            </w14:solidFill>
          </w14:textFill>
        </w:rPr>
        <w:t>、</w:t>
      </w:r>
      <w:r>
        <w:rPr>
          <w:rFonts w:hint="eastAsia" w:ascii="仿宋_GB2312" w:hAnsi="仿宋_GB2312" w:eastAsia="仿宋_GB2312" w:cs="仿宋_GB2312"/>
          <w:b w:val="0"/>
          <w:bCs w:val="0"/>
          <w:i w:val="0"/>
          <w:iCs w:val="0"/>
          <w:color w:val="000000" w:themeColor="text1"/>
          <w:sz w:val="32"/>
          <w:szCs w:val="32"/>
          <w:u w:val="none" w:color="auto"/>
          <w:lang w:val="en-US" w:eastAsia="zh-CN"/>
          <w14:textFill>
            <w14:solidFill>
              <w14:schemeClr w14:val="tx1"/>
            </w14:solidFill>
          </w14:textFill>
        </w:rPr>
        <w:t>行政执法联动响应和协作</w:t>
      </w:r>
      <w:r>
        <w:rPr>
          <w:rFonts w:hint="eastAsia" w:ascii="仿宋_GB2312" w:hAnsi="仿宋_GB2312" w:eastAsia="仿宋_GB2312" w:cs="仿宋_GB2312"/>
          <w:b w:val="0"/>
          <w:bCs w:val="0"/>
          <w:i w:val="0"/>
          <w:iCs w:val="0"/>
          <w:color w:val="000000" w:themeColor="text1"/>
          <w:sz w:val="32"/>
          <w:szCs w:val="32"/>
          <w:u w:val="none" w:color="auto"/>
          <w:lang w:eastAsia="zh-CN"/>
          <w14:textFill>
            <w14:solidFill>
              <w14:schemeClr w14:val="tx1"/>
            </w14:solidFill>
          </w14:textFill>
        </w:rPr>
        <w:t>，新增“</w:t>
      </w:r>
      <w:r>
        <w:rPr>
          <w:rFonts w:hint="eastAsia" w:ascii="仿宋_GB2312" w:hAnsi="仿宋_GB2312" w:eastAsia="仿宋_GB2312" w:cs="仿宋_GB2312"/>
          <w:b w:val="0"/>
          <w:bCs w:val="0"/>
          <w:i w:val="0"/>
          <w:iCs w:val="0"/>
          <w:color w:val="000000" w:themeColor="text1"/>
          <w:sz w:val="32"/>
          <w:szCs w:val="32"/>
          <w:u w:val="none" w:color="auto"/>
          <w14:textFill>
            <w14:solidFill>
              <w14:schemeClr w14:val="tx1"/>
            </w14:solidFill>
          </w14:textFill>
        </w:rPr>
        <w:t>川渝通办</w:t>
      </w:r>
      <w:r>
        <w:rPr>
          <w:rFonts w:hint="eastAsia" w:ascii="仿宋_GB2312" w:hAnsi="仿宋_GB2312" w:eastAsia="仿宋_GB2312" w:cs="仿宋_GB2312"/>
          <w:b w:val="0"/>
          <w:bCs w:val="0"/>
          <w:i w:val="0"/>
          <w:iCs w:val="0"/>
          <w:color w:val="000000" w:themeColor="text1"/>
          <w:sz w:val="32"/>
          <w:szCs w:val="32"/>
          <w:u w:val="none" w:color="auto"/>
          <w:lang w:eastAsia="zh-CN"/>
          <w14:textFill>
            <w14:solidFill>
              <w14:schemeClr w14:val="tx1"/>
            </w14:solidFill>
          </w14:textFill>
        </w:rPr>
        <w:t>”事项</w:t>
      </w:r>
      <w:r>
        <w:rPr>
          <w:rFonts w:hint="eastAsia" w:ascii="仿宋_GB2312" w:hAnsi="仿宋_GB2312" w:eastAsia="仿宋_GB2312" w:cs="仿宋_GB2312"/>
          <w:b w:val="0"/>
          <w:bCs w:val="0"/>
          <w:i w:val="0"/>
          <w:iCs w:val="0"/>
          <w:color w:val="000000" w:themeColor="text1"/>
          <w:sz w:val="32"/>
          <w:szCs w:val="32"/>
          <w:u w:val="none" w:color="auto"/>
          <w:lang w:val="en-US" w:eastAsia="zh-CN"/>
          <w14:textFill>
            <w14:solidFill>
              <w14:schemeClr w14:val="tx1"/>
            </w14:solidFill>
          </w14:textFill>
        </w:rPr>
        <w:t>7项。</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40" w:firstLineChars="200"/>
        <w:jc w:val="both"/>
        <w:rPr>
          <w:rFonts w:hint="eastAsia" w:ascii="仿宋_GB2312" w:hAnsi="仿宋_GB2312" w:eastAsia="仿宋_GB2312" w:cs="仿宋_GB2312"/>
          <w:b w:val="0"/>
          <w:bCs w:val="0"/>
          <w:i w:val="0"/>
          <w:iCs w:val="0"/>
          <w:color w:val="000000" w:themeColor="text1"/>
          <w:kern w:val="2"/>
          <w:sz w:val="32"/>
          <w:szCs w:val="32"/>
          <w:u w:val="none" w:color="auto"/>
          <w:lang w:val="en-US" w:eastAsia="zh-CN" w:bidi="ar-SA"/>
          <w14:textFill>
            <w14:solidFill>
              <w14:schemeClr w14:val="tx1"/>
            </w14:solidFill>
          </w14:textFill>
        </w:rPr>
      </w:pPr>
      <w:r>
        <w:rPr>
          <w:rFonts w:hint="eastAsia" w:ascii="仿宋_GB2312" w:hAnsi="仿宋_GB2312" w:eastAsia="仿宋_GB2312" w:cs="仿宋_GB2312"/>
          <w:b w:val="0"/>
          <w:bCs w:val="0"/>
          <w:i w:val="0"/>
          <w:iCs w:val="0"/>
          <w:color w:val="000000" w:themeColor="text1"/>
          <w:sz w:val="32"/>
          <w:szCs w:val="32"/>
          <w:u w:val="none" w:color="auto"/>
          <w:lang w:val="en-US" w:eastAsia="zh-CN" w:bidi="ar-SA"/>
          <w14:textFill>
            <w14:solidFill>
              <w14:schemeClr w14:val="tx1"/>
            </w14:solidFill>
          </w14:textFill>
        </w:rPr>
        <w:t>三是创新打造天府中央法务区。</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按照省委、省政府决策部署，推动建立全国首个省级法律服务集聚区</w:t>
      </w:r>
      <w:r>
        <w:rPr>
          <w:rFonts w:hint="eastAsia" w:ascii="仿宋_GB2312" w:hAnsi="仿宋_GB2312" w:eastAsia="仿宋_GB2312" w:cs="仿宋_GB2312"/>
          <w:i w:val="0"/>
          <w:iCs w:val="0"/>
          <w:color w:val="000000" w:themeColor="text1"/>
          <w:sz w:val="32"/>
          <w:szCs w:val="32"/>
          <w:u w:val="none" w:color="auto"/>
          <w:lang w:val="en-US" w:eastAsia="zh-CN"/>
          <w14:textFill>
            <w14:solidFill>
              <w14:schemeClr w14:val="tx1"/>
            </w14:solidFill>
          </w14:textFill>
        </w:rPr>
        <w:t>“天府中央法务区”，</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成功争取司法部项目</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政策</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支持17</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项</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，引进高能级法律服务项目23个</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w:t>
      </w:r>
      <w:r>
        <w:rPr>
          <w:rFonts w:hint="eastAsia" w:ascii="仿宋_GB2312" w:hAnsi="仿宋_GB2312" w:eastAsia="仿宋_GB2312" w:cs="仿宋_GB2312"/>
          <w:i w:val="0"/>
          <w:iCs w:val="0"/>
          <w:color w:val="000000" w:themeColor="text1"/>
          <w:sz w:val="32"/>
          <w:szCs w:val="32"/>
          <w:u w:val="none" w:color="auto"/>
          <w:lang w:val="en-US" w:eastAsia="zh-CN"/>
          <w14:textFill>
            <w14:solidFill>
              <w14:schemeClr w14:val="tx1"/>
            </w14:solidFill>
          </w14:textFill>
        </w:rPr>
        <w:t>创建“天府法务网”，</w:t>
      </w:r>
      <w:r>
        <w:rPr>
          <w:rFonts w:hint="eastAsia" w:ascii="仿宋_GB2312" w:hAnsi="仿宋_GB2312" w:eastAsia="仿宋_GB2312" w:cs="仿宋_GB2312"/>
          <w:b w:val="0"/>
          <w:bCs w:val="0"/>
          <w:i w:val="0"/>
          <w:iCs w:val="0"/>
          <w:color w:val="000000" w:themeColor="text1"/>
          <w:kern w:val="2"/>
          <w:sz w:val="32"/>
          <w:szCs w:val="32"/>
          <w:u w:val="none" w:color="auto"/>
          <w:lang w:val="en-US" w:eastAsia="zh-CN" w:bidi="ar-SA"/>
          <w14:textFill>
            <w14:solidFill>
              <w14:schemeClr w14:val="tx1"/>
            </w14:solidFill>
          </w14:textFill>
        </w:rPr>
        <w:t>法律服务聚集效应初步显现，专报被中办采用，入选中央改革办“中央改革2021年度典型案例”。</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40" w:firstLineChars="200"/>
        <w:jc w:val="both"/>
        <w:rPr>
          <w:rFonts w:hint="eastAsia" w:ascii="仿宋_GB2312" w:hAnsi="仿宋_GB2312" w:eastAsia="仿宋_GB2312" w:cs="仿宋_GB2312"/>
          <w:i w:val="0"/>
          <w:iCs w:val="0"/>
          <w:color w:val="000000" w:themeColor="text1"/>
          <w:sz w:val="32"/>
          <w:szCs w:val="32"/>
          <w:u w:val="none" w:color="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32"/>
          <w:szCs w:val="32"/>
          <w:u w:val="none" w:color="auto"/>
          <w:lang w:val="en-US" w:eastAsia="zh-CN" w:bidi="ar-SA"/>
          <w14:textFill>
            <w14:solidFill>
              <w14:schemeClr w14:val="tx1"/>
            </w14:solidFill>
          </w14:textFill>
        </w:rPr>
        <w:t>四是持续优化法治化营商环境。</w:t>
      </w:r>
      <w:r>
        <w:rPr>
          <w:rFonts w:hint="eastAsia" w:ascii="仿宋_GB2312" w:hAnsi="仿宋_GB2312" w:eastAsia="仿宋_GB2312" w:cs="仿宋_GB2312"/>
          <w:i w:val="0"/>
          <w:iCs w:val="0"/>
          <w:color w:val="000000" w:themeColor="text1"/>
          <w:sz w:val="32"/>
          <w:szCs w:val="32"/>
          <w:u w:val="none" w:color="auto"/>
          <w:lang w:val="en-US" w:eastAsia="zh-CN"/>
          <w14:textFill>
            <w14:solidFill>
              <w14:schemeClr w14:val="tx1"/>
            </w14:solidFill>
          </w14:textFill>
        </w:rPr>
        <w:t>修订《四川省外来企业投诉处理规定》，及时调处企业投诉，为企业减少、挽回经济损失1.6亿元。举办国际商事法律实务高峰论坛、川渝涉外法律服务合作论坛，启动国内律师事务所聘请外籍律师担任外国法律顾问试点。</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40" w:firstLineChars="200"/>
        <w:jc w:val="both"/>
        <w:rPr>
          <w:rFonts w:hint="eastAsia" w:ascii="仿宋_GB2312" w:hAnsi="仿宋_GB2312" w:eastAsia="仿宋_GB2312" w:cs="仿宋_GB2312"/>
          <w:i w:val="0"/>
          <w:iCs w:val="0"/>
          <w:color w:val="000000" w:themeColor="text1"/>
          <w:sz w:val="32"/>
          <w:szCs w:val="32"/>
          <w:u w:val="none" w:color="auto"/>
          <w:lang w:eastAsia="zh"/>
          <w14:textFill>
            <w14:solidFill>
              <w14:schemeClr w14:val="tx1"/>
            </w14:solidFill>
          </w14:textFill>
        </w:rPr>
      </w:pPr>
      <w:r>
        <w:rPr>
          <w:rFonts w:hint="eastAsia" w:ascii="仿宋_GB2312" w:hAnsi="仿宋_GB2312" w:eastAsia="仿宋_GB2312" w:cs="仿宋_GB2312"/>
          <w:b w:val="0"/>
          <w:bCs w:val="0"/>
          <w:i w:val="0"/>
          <w:iCs w:val="0"/>
          <w:color w:val="000000" w:themeColor="text1"/>
          <w:sz w:val="32"/>
          <w:szCs w:val="32"/>
          <w:u w:val="none" w:color="auto"/>
          <w:lang w:val="zh-CN" w:eastAsia="zh-CN" w:bidi="ar-SA"/>
          <w14:textFill>
            <w14:solidFill>
              <w14:schemeClr w14:val="tx1"/>
            </w14:solidFill>
          </w14:textFill>
        </w:rPr>
        <w:t>五是积极助力乡村振兴。</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开展“乡村振兴 法治同行”专项行动，试点司法所参与乡镇重大行政决策、开展规范性文件合法性审查、监督协调乡镇行政执法工作</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打造省级“枫桥式司法所”</w:t>
      </w:r>
      <w:r>
        <w:rPr>
          <w:rFonts w:hint="eastAsia" w:ascii="仿宋_GB2312" w:hAnsi="仿宋_GB2312" w:eastAsia="仿宋_GB2312" w:cs="仿宋_GB2312"/>
          <w:i w:val="0"/>
          <w:iCs w:val="0"/>
          <w:color w:val="000000" w:themeColor="text1"/>
          <w:sz w:val="32"/>
          <w:szCs w:val="32"/>
          <w:u w:val="none" w:color="auto"/>
          <w:lang w:val="en-US" w:eastAsia="zh-CN"/>
          <w14:textFill>
            <w14:solidFill>
              <w14:schemeClr w14:val="tx1"/>
            </w14:solidFill>
          </w14:textFill>
        </w:rPr>
        <w:t>80</w:t>
      </w:r>
      <w:r>
        <w:rPr>
          <w:rFonts w:hint="eastAsia" w:ascii="仿宋_GB2312" w:hAnsi="仿宋_GB2312" w:eastAsia="仿宋_GB2312" w:cs="仿宋_GB2312"/>
          <w:i w:val="0"/>
          <w:iCs w:val="0"/>
          <w:color w:val="000000" w:themeColor="text1"/>
          <w:sz w:val="32"/>
          <w:szCs w:val="32"/>
          <w:u w:val="none" w:color="auto"/>
          <w:lang w:eastAsia="zh"/>
          <w14:textFill>
            <w14:solidFill>
              <w14:schemeClr w14:val="tx1"/>
            </w14:solidFill>
          </w14:textFill>
        </w:rPr>
        <w:t>个</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49个司法所被</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评为</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w:t>
      </w:r>
      <w:r>
        <w:rPr>
          <w:rFonts w:hint="eastAsia" w:ascii="仿宋_GB2312" w:hAnsi="仿宋_GB2312" w:eastAsia="仿宋_GB2312" w:cs="仿宋_GB2312"/>
          <w:i w:val="0"/>
          <w:iCs w:val="0"/>
          <w:color w:val="000000" w:themeColor="text1"/>
          <w:sz w:val="32"/>
          <w:szCs w:val="32"/>
          <w:u w:val="none" w:color="auto"/>
          <w:lang w:eastAsia="zh"/>
          <w14:textFill>
            <w14:solidFill>
              <w14:schemeClr w14:val="tx1"/>
            </w14:solidFill>
          </w14:textFill>
        </w:rPr>
        <w:t>全国模范司法所</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w:t>
      </w:r>
      <w:r>
        <w:rPr>
          <w:rFonts w:hint="eastAsia" w:ascii="仿宋_GB2312" w:hAnsi="仿宋_GB2312" w:eastAsia="仿宋_GB2312" w:cs="仿宋_GB2312"/>
          <w:i w:val="0"/>
          <w:iCs w:val="0"/>
          <w:color w:val="000000" w:themeColor="text1"/>
          <w:sz w:val="32"/>
          <w:szCs w:val="32"/>
          <w:u w:val="none" w:color="auto"/>
          <w:lang w:eastAsia="zh"/>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olor w:val="000000" w:themeColor="text1"/>
          <w:spacing w:val="0"/>
          <w:kern w:val="2"/>
          <w:sz w:val="32"/>
          <w:szCs w:val="32"/>
          <w:u w:val="none" w:color="auto"/>
          <w:lang w:val="en-US" w:eastAsia="zh-CN" w:bidi="ar-SA"/>
          <w14:textFill>
            <w14:solidFill>
              <w14:schemeClr w14:val="tx1"/>
            </w14:solidFill>
          </w14:textFill>
        </w:rPr>
      </w:pPr>
      <w:r>
        <w:rPr>
          <w:rFonts w:hint="eastAsia" w:ascii="仿宋_GB2312" w:hAnsi="仿宋_GB2312" w:eastAsia="仿宋_GB2312" w:cs="仿宋_GB2312"/>
          <w:b w:val="0"/>
          <w:bCs w:val="0"/>
          <w:i w:val="0"/>
          <w:iCs w:val="0"/>
          <w:color w:val="000000" w:themeColor="text1"/>
          <w:kern w:val="2"/>
          <w:sz w:val="32"/>
          <w:szCs w:val="32"/>
          <w:u w:val="none" w:color="auto"/>
          <w:lang w:val="en-US" w:eastAsia="zh-CN"/>
          <w14:textFill>
            <w14:solidFill>
              <w14:schemeClr w14:val="tx1"/>
            </w14:solidFill>
          </w14:textFill>
        </w:rPr>
        <w:t>3.</w:t>
      </w:r>
      <w:r>
        <w:rPr>
          <w:rFonts w:hint="eastAsia" w:ascii="仿宋_GB2312" w:hAnsi="仿宋_GB2312" w:eastAsia="仿宋_GB2312" w:cs="仿宋_GB2312"/>
          <w:b w:val="0"/>
          <w:bCs w:val="0"/>
          <w:i w:val="0"/>
          <w:iCs w:val="0"/>
          <w:color w:val="000000" w:themeColor="text1"/>
          <w:spacing w:val="0"/>
          <w:kern w:val="2"/>
          <w:sz w:val="32"/>
          <w:szCs w:val="32"/>
          <w:u w:val="none" w:color="auto"/>
          <w:lang w:val="en-US" w:eastAsia="zh-CN" w:bidi="ar-SA"/>
          <w14:textFill>
            <w14:solidFill>
              <w14:schemeClr w14:val="tx1"/>
            </w14:solidFill>
          </w14:textFill>
        </w:rPr>
        <w:t>深入推进法治政府建设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pPr>
      <w:r>
        <w:rPr>
          <w:rFonts w:hint="eastAsia" w:ascii="仿宋_GB2312" w:hAnsi="仿宋_GB2312" w:eastAsia="仿宋_GB2312" w:cs="仿宋_GB2312"/>
          <w:b w:val="0"/>
          <w:bCs w:val="0"/>
          <w:i w:val="0"/>
          <w:iCs w:val="0"/>
          <w:color w:val="000000" w:themeColor="text1"/>
          <w:sz w:val="32"/>
          <w:szCs w:val="32"/>
          <w:u w:val="none" w:color="auto"/>
          <w:lang w:eastAsia="zh-CN" w:bidi="ar-SA"/>
          <w14:textFill>
            <w14:solidFill>
              <w14:schemeClr w14:val="tx1"/>
            </w14:solidFill>
          </w14:textFill>
        </w:rPr>
        <w:t>一是加强法治政府建设工作统筹。</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组织开展法治政府建设评估，</w:t>
      </w:r>
      <w:r>
        <w:rPr>
          <w:rFonts w:hint="eastAsia" w:ascii="仿宋_GB2312" w:hAnsi="仿宋_GB2312" w:eastAsia="仿宋_GB2312" w:cs="仿宋_GB2312"/>
          <w:i w:val="0"/>
          <w:iCs w:val="0"/>
          <w:color w:val="000000" w:themeColor="text1"/>
          <w:sz w:val="32"/>
          <w:szCs w:val="32"/>
          <w:u w:val="none" w:color="auto"/>
          <w:shd w:val="clear" w:color="auto" w:fill="auto"/>
          <w:lang w:val="en-US" w:eastAsia="zh-CN"/>
          <w14:textFill>
            <w14:solidFill>
              <w14:schemeClr w14:val="tx1"/>
            </w14:solidFill>
          </w14:textFill>
        </w:rPr>
        <w:t>编制新一轮法治政府建设实施方案，出台方案推动党政主要负责人履行推进法治建设第一责任人职责情况列入年终述职内容，</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积极参评</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第二批全国法治政府示范创建。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olor w:val="000000" w:themeColor="text1"/>
          <w:sz w:val="32"/>
          <w:szCs w:val="32"/>
          <w:u w:val="none" w:color="auto"/>
          <w:shd w:val="clear" w:color="auto" w:fill="auto"/>
          <w:lang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32"/>
          <w:szCs w:val="32"/>
          <w:u w:val="none" w:color="auto"/>
          <w:lang w:eastAsia="zh-CN" w:bidi="ar-SA"/>
          <w14:textFill>
            <w14:solidFill>
              <w14:schemeClr w14:val="tx1"/>
            </w14:solidFill>
          </w14:textFill>
        </w:rPr>
        <w:t>二是提升行政立法质量。</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健全区域协同立法工作机制，完善基层立法联系点制度</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和</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专家参与立法制度</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w:t>
      </w:r>
      <w:r>
        <w:rPr>
          <w:rFonts w:hint="eastAsia" w:ascii="仿宋_GB2312" w:hAnsi="仿宋_GB2312" w:eastAsia="仿宋_GB2312" w:cs="仿宋_GB2312"/>
          <w:i w:val="0"/>
          <w:iCs w:val="0"/>
          <w:color w:val="000000" w:themeColor="text1"/>
          <w:sz w:val="32"/>
          <w:szCs w:val="32"/>
          <w:u w:val="none" w:color="auto"/>
          <w:shd w:val="clear" w:color="auto" w:fill="auto"/>
          <w:lang w:eastAsia="zh-CN"/>
          <w14:textFill>
            <w14:solidFill>
              <w14:schemeClr w14:val="tx1"/>
            </w14:solidFill>
          </w14:textFill>
        </w:rPr>
        <w:t>推动出台首个</w:t>
      </w:r>
      <w:r>
        <w:rPr>
          <w:rFonts w:hint="eastAsia" w:ascii="仿宋_GB2312" w:hAnsi="仿宋_GB2312" w:eastAsia="仿宋_GB2312" w:cs="仿宋_GB2312"/>
          <w:i w:val="0"/>
          <w:iCs w:val="0"/>
          <w:color w:val="000000" w:themeColor="text1"/>
          <w:sz w:val="32"/>
          <w:szCs w:val="32"/>
          <w:u w:val="none" w:color="auto"/>
          <w:shd w:val="clear" w:color="auto" w:fill="auto"/>
          <w14:textFill>
            <w14:solidFill>
              <w14:schemeClr w14:val="tx1"/>
            </w14:solidFill>
          </w14:textFill>
        </w:rPr>
        <w:t>川渝协同立法项目《四川省优化营商环境条例》</w:t>
      </w:r>
      <w:r>
        <w:rPr>
          <w:rFonts w:hint="eastAsia" w:ascii="仿宋_GB2312" w:hAnsi="仿宋_GB2312" w:eastAsia="仿宋_GB2312" w:cs="仿宋_GB2312"/>
          <w:i w:val="0"/>
          <w:iCs w:val="0"/>
          <w:color w:val="000000" w:themeColor="text1"/>
          <w:sz w:val="32"/>
          <w:szCs w:val="32"/>
          <w:u w:val="none" w:color="auto"/>
          <w:shd w:val="clear" w:color="auto" w:fill="auto"/>
          <w:lang w:eastAsia="zh-CN"/>
          <w14:textFill>
            <w14:solidFill>
              <w14:schemeClr w14:val="tx1"/>
            </w14:solidFill>
          </w14:textFill>
        </w:rPr>
        <w:t>和全国首个</w:t>
      </w:r>
      <w:r>
        <w:rPr>
          <w:rFonts w:hint="eastAsia" w:ascii="仿宋_GB2312" w:hAnsi="仿宋_GB2312" w:eastAsia="仿宋_GB2312" w:cs="仿宋_GB2312"/>
          <w:i w:val="0"/>
          <w:iCs w:val="0"/>
          <w:color w:val="000000" w:themeColor="text1"/>
          <w:kern w:val="2"/>
          <w:sz w:val="32"/>
          <w:szCs w:val="32"/>
          <w:u w:val="none" w:color="auto"/>
          <w:shd w:val="clear" w:color="auto" w:fill="auto"/>
          <w:lang w:val="en-US" w:eastAsia="zh-CN" w:bidi="ar"/>
          <w14:textFill>
            <w14:solidFill>
              <w14:schemeClr w14:val="tx1"/>
            </w14:solidFill>
          </w14:textFill>
        </w:rPr>
        <w:t>交通运输综合行政执法条例，</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完成</w:t>
      </w:r>
      <w:r>
        <w:rPr>
          <w:rFonts w:hint="eastAsia" w:ascii="仿宋_GB2312" w:hAnsi="仿宋_GB2312" w:eastAsia="仿宋_GB2312" w:cs="仿宋_GB2312"/>
          <w:i w:val="0"/>
          <w:iCs w:val="0"/>
          <w:color w:val="000000" w:themeColor="text1"/>
          <w:sz w:val="32"/>
          <w:szCs w:val="32"/>
          <w:u w:val="none" w:color="auto"/>
          <w:lang w:val="en-US" w:eastAsia="zh-CN"/>
          <w14:textFill>
            <w14:solidFill>
              <w14:schemeClr w14:val="tx1"/>
            </w14:solidFill>
          </w14:textFill>
        </w:rPr>
        <w:t>农村集体经济组织条例</w:t>
      </w:r>
      <w:r>
        <w:rPr>
          <w:rFonts w:hint="eastAsia" w:ascii="仿宋_GB2312" w:hAnsi="仿宋_GB2312" w:eastAsia="仿宋_GB2312" w:cs="仿宋_GB2312"/>
          <w:b w:val="0"/>
          <w:bCs w:val="0"/>
          <w:i w:val="0"/>
          <w:iCs w:val="0"/>
          <w:color w:val="000000" w:themeColor="text1"/>
          <w:kern w:val="2"/>
          <w:sz w:val="32"/>
          <w:szCs w:val="32"/>
          <w:u w:val="none" w:color="auto"/>
          <w:shd w:val="clear" w:color="auto" w:fill="auto"/>
          <w:lang w:val="en-US" w:eastAsia="zh-CN"/>
          <w14:textFill>
            <w14:solidFill>
              <w14:schemeClr w14:val="tx1"/>
            </w14:solidFill>
          </w14:textFill>
        </w:rPr>
        <w:t>等</w:t>
      </w:r>
      <w:r>
        <w:rPr>
          <w:rFonts w:hint="eastAsia" w:ascii="仿宋_GB2312" w:hAnsi="仿宋_GB2312" w:eastAsia="仿宋_GB2312" w:cs="仿宋_GB2312"/>
          <w:i w:val="0"/>
          <w:iCs w:val="0"/>
          <w:color w:val="000000" w:themeColor="text1"/>
          <w:sz w:val="32"/>
          <w:szCs w:val="32"/>
          <w:u w:val="none" w:color="auto"/>
          <w:shd w:val="clear" w:color="auto" w:fill="auto"/>
          <w:lang w:val="en-US" w:eastAsia="zh-CN"/>
          <w14:textFill>
            <w14:solidFill>
              <w14:schemeClr w14:val="tx1"/>
            </w14:solidFill>
          </w14:textFill>
        </w:rPr>
        <w:t>行政立法项目</w:t>
      </w:r>
      <w:r>
        <w:rPr>
          <w:rFonts w:hint="eastAsia" w:ascii="仿宋_GB2312" w:hAnsi="仿宋_GB2312" w:eastAsia="仿宋_GB2312" w:cs="仿宋_GB2312"/>
          <w:b w:val="0"/>
          <w:bCs w:val="0"/>
          <w:i w:val="0"/>
          <w:iCs w:val="0"/>
          <w:color w:val="000000" w:themeColor="text1"/>
          <w:kern w:val="2"/>
          <w:sz w:val="32"/>
          <w:szCs w:val="32"/>
          <w:u w:val="none" w:color="auto"/>
          <w:shd w:val="clear" w:color="auto" w:fill="auto"/>
          <w:lang w:val="en-US" w:eastAsia="zh-CN"/>
          <w14:textFill>
            <w14:solidFill>
              <w14:schemeClr w14:val="tx1"/>
            </w14:solidFill>
          </w14:textFill>
        </w:rPr>
        <w:t>18个</w:t>
      </w:r>
      <w:r>
        <w:rPr>
          <w:rFonts w:hint="eastAsia" w:ascii="仿宋_GB2312" w:hAnsi="仿宋_GB2312" w:eastAsia="仿宋_GB2312" w:cs="仿宋_GB2312"/>
          <w:i w:val="0"/>
          <w:iCs w:val="0"/>
          <w:color w:val="000000" w:themeColor="text1"/>
          <w:sz w:val="32"/>
          <w:szCs w:val="32"/>
          <w:u w:val="none" w:color="auto"/>
          <w:shd w:val="clear" w:color="auto" w:fill="auto"/>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olor w:val="000000" w:themeColor="text1"/>
          <w:kern w:val="2"/>
          <w:sz w:val="32"/>
          <w:szCs w:val="32"/>
          <w:u w:val="none" w:color="auto"/>
          <w:shd w:val="clear" w:color="auto" w:fill="auto"/>
          <w:lang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32"/>
          <w:szCs w:val="32"/>
          <w:u w:val="none" w:color="auto"/>
          <w:lang w:eastAsia="zh-CN" w:bidi="ar-SA"/>
          <w14:textFill>
            <w14:solidFill>
              <w14:schemeClr w14:val="tx1"/>
            </w14:solidFill>
          </w14:textFill>
        </w:rPr>
        <w:t>三是加强合法性审核。</w:t>
      </w:r>
      <w:r>
        <w:rPr>
          <w:rFonts w:hint="eastAsia" w:ascii="仿宋_GB2312" w:hAnsi="仿宋_GB2312" w:eastAsia="仿宋_GB2312" w:cs="仿宋_GB2312"/>
          <w:b w:val="0"/>
          <w:bCs w:val="0"/>
          <w:i w:val="0"/>
          <w:iCs w:val="0"/>
          <w:color w:val="000000" w:themeColor="text1"/>
          <w:sz w:val="32"/>
          <w:szCs w:val="32"/>
          <w:u w:val="none" w:color="auto"/>
          <w:lang w:eastAsia="zh-CN"/>
          <w14:textFill>
            <w14:solidFill>
              <w14:schemeClr w14:val="tx1"/>
            </w14:solidFill>
          </w14:textFill>
        </w:rPr>
        <w:t>修订《四川省行政规范性文件管理办法》，</w:t>
      </w:r>
      <w:r>
        <w:rPr>
          <w:rFonts w:hint="eastAsia" w:ascii="仿宋_GB2312" w:hAnsi="仿宋_GB2312" w:eastAsia="仿宋_GB2312" w:cs="仿宋_GB2312"/>
          <w:i w:val="0"/>
          <w:iCs w:val="0"/>
          <w:color w:val="000000" w:themeColor="text1"/>
          <w:kern w:val="2"/>
          <w:sz w:val="32"/>
          <w:szCs w:val="32"/>
          <w:u w:val="none" w:color="auto"/>
          <w:lang w:val="en-US" w:eastAsia="zh-CN" w:bidi="ar-SA"/>
          <w14:textFill>
            <w14:solidFill>
              <w14:schemeClr w14:val="tx1"/>
            </w14:solidFill>
          </w14:textFill>
        </w:rPr>
        <w:t>出台</w:t>
      </w:r>
      <w:r>
        <w:rPr>
          <w:rFonts w:hint="eastAsia" w:ascii="仿宋_GB2312" w:hAnsi="仿宋_GB2312" w:eastAsia="仿宋_GB2312" w:cs="仿宋_GB2312"/>
          <w:i w:val="0"/>
          <w:iCs w:val="0"/>
          <w:color w:val="000000" w:themeColor="text1"/>
          <w:sz w:val="32"/>
          <w:szCs w:val="32"/>
          <w:u w:val="none" w:color="auto"/>
          <w:lang w:val="en-US" w:eastAsia="zh-CN"/>
          <w14:textFill>
            <w14:solidFill>
              <w14:schemeClr w14:val="tx1"/>
            </w14:solidFill>
          </w14:textFill>
        </w:rPr>
        <w:t>合法性审查专家协审办法</w:t>
      </w:r>
      <w:r>
        <w:rPr>
          <w:rFonts w:hint="eastAsia" w:ascii="仿宋_GB2312" w:hAnsi="仿宋_GB2312" w:eastAsia="仿宋_GB2312" w:cs="仿宋_GB2312"/>
          <w:i w:val="0"/>
          <w:iCs w:val="0"/>
          <w:color w:val="000000" w:themeColor="text1"/>
          <w:kern w:val="2"/>
          <w:sz w:val="32"/>
          <w:szCs w:val="32"/>
          <w:u w:val="none" w:color="auto"/>
          <w:lang w:val="en-US" w:eastAsia="zh-CN" w:bidi="ar-SA"/>
          <w14:textFill>
            <w14:solidFill>
              <w14:schemeClr w14:val="tx1"/>
            </w14:solidFill>
          </w14:textFill>
        </w:rPr>
        <w:t>和</w:t>
      </w:r>
      <w:r>
        <w:rPr>
          <w:rFonts w:hint="eastAsia" w:ascii="仿宋_GB2312" w:hAnsi="仿宋_GB2312" w:eastAsia="仿宋_GB2312" w:cs="仿宋_GB2312"/>
          <w:i w:val="0"/>
          <w:iCs w:val="0"/>
          <w:color w:val="000000" w:themeColor="text1"/>
          <w:sz w:val="32"/>
          <w:szCs w:val="32"/>
          <w:u w:val="none" w:color="auto"/>
          <w:lang w:val="en-US" w:eastAsia="zh-CN"/>
          <w14:textFill>
            <w14:solidFill>
              <w14:schemeClr w14:val="tx1"/>
            </w14:solidFill>
          </w14:textFill>
        </w:rPr>
        <w:t>备案审查交叉审查办法，</w:t>
      </w:r>
      <w:r>
        <w:rPr>
          <w:rFonts w:hint="eastAsia" w:ascii="仿宋_GB2312" w:hAnsi="仿宋_GB2312" w:eastAsia="仿宋_GB2312" w:cs="仿宋_GB2312"/>
          <w:b w:val="0"/>
          <w:bCs w:val="0"/>
          <w:i w:val="0"/>
          <w:iCs w:val="0"/>
          <w:color w:val="000000" w:themeColor="text1"/>
          <w:kern w:val="2"/>
          <w:sz w:val="32"/>
          <w:szCs w:val="32"/>
          <w:u w:val="none" w:color="auto"/>
          <w:shd w:val="clear" w:color="auto" w:fill="auto"/>
          <w:lang w:eastAsia="zh-CN"/>
          <w14:textFill>
            <w14:solidFill>
              <w14:schemeClr w14:val="tx1"/>
            </w14:solidFill>
          </w14:textFill>
        </w:rPr>
        <w:t>编制全省合法性审查、备案审</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查数据分析，</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编发</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典型案例</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w:t>
      </w:r>
      <w:r>
        <w:rPr>
          <w:rFonts w:hint="eastAsia" w:ascii="仿宋_GB2312" w:hAnsi="仿宋_GB2312" w:eastAsia="仿宋_GB2312" w:cs="仿宋_GB2312"/>
          <w:b w:val="0"/>
          <w:bCs w:val="0"/>
          <w:i w:val="0"/>
          <w:iCs w:val="0"/>
          <w:color w:val="000000" w:themeColor="text1"/>
          <w:kern w:val="2"/>
          <w:sz w:val="32"/>
          <w:szCs w:val="32"/>
          <w:u w:val="none" w:color="auto"/>
          <w:shd w:val="clear" w:color="auto" w:fill="auto"/>
          <w:lang w:val="en-US" w:eastAsia="zh-CN"/>
          <w14:textFill>
            <w14:solidFill>
              <w14:schemeClr w14:val="tx1"/>
            </w14:solidFill>
          </w14:textFill>
        </w:rPr>
        <w:t>办理</w:t>
      </w:r>
      <w:r>
        <w:rPr>
          <w:rFonts w:hint="eastAsia" w:ascii="仿宋_GB2312" w:hAnsi="仿宋_GB2312" w:eastAsia="仿宋_GB2312" w:cs="仿宋_GB2312"/>
          <w:b w:val="0"/>
          <w:bCs w:val="0"/>
          <w:i w:val="0"/>
          <w:iCs w:val="0"/>
          <w:color w:val="000000" w:themeColor="text1"/>
          <w:kern w:val="2"/>
          <w:sz w:val="32"/>
          <w:szCs w:val="32"/>
          <w:u w:val="none" w:color="auto"/>
          <w:shd w:val="clear" w:color="auto" w:fill="auto"/>
          <w:lang w:eastAsia="zh-CN"/>
          <w14:textFill>
            <w14:solidFill>
              <w14:schemeClr w14:val="tx1"/>
            </w14:solidFill>
          </w14:textFill>
        </w:rPr>
        <w:t>省委、省政府重大决策、重要文件合法性审查</w:t>
      </w:r>
      <w:r>
        <w:rPr>
          <w:rFonts w:hint="eastAsia" w:ascii="仿宋_GB2312" w:hAnsi="仿宋_GB2312" w:eastAsia="仿宋_GB2312" w:cs="仿宋_GB2312"/>
          <w:b w:val="0"/>
          <w:bCs w:val="0"/>
          <w:i w:val="0"/>
          <w:iCs w:val="0"/>
          <w:color w:val="000000" w:themeColor="text1"/>
          <w:kern w:val="2"/>
          <w:sz w:val="32"/>
          <w:szCs w:val="32"/>
          <w:u w:val="none" w:color="auto"/>
          <w:shd w:val="clear" w:color="auto" w:fill="auto"/>
          <w:lang w:val="en-US" w:eastAsia="zh-CN"/>
          <w14:textFill>
            <w14:solidFill>
              <w14:schemeClr w14:val="tx1"/>
            </w14:solidFill>
          </w14:textFill>
        </w:rPr>
        <w:t>576</w:t>
      </w:r>
      <w:r>
        <w:rPr>
          <w:rFonts w:hint="eastAsia" w:ascii="仿宋_GB2312" w:hAnsi="仿宋_GB2312" w:eastAsia="仿宋_GB2312" w:cs="仿宋_GB2312"/>
          <w:b w:val="0"/>
          <w:bCs w:val="0"/>
          <w:i w:val="0"/>
          <w:iCs w:val="0"/>
          <w:color w:val="000000" w:themeColor="text1"/>
          <w:kern w:val="2"/>
          <w:sz w:val="32"/>
          <w:szCs w:val="32"/>
          <w:u w:val="none" w:color="auto"/>
          <w:shd w:val="clear" w:color="auto" w:fill="auto"/>
          <w:lang w:eastAsia="zh-CN"/>
          <w14:textFill>
            <w14:solidFill>
              <w14:schemeClr w14:val="tx1"/>
            </w14:solidFill>
          </w14:textFill>
        </w:rPr>
        <w:t>件</w:t>
      </w:r>
      <w:r>
        <w:rPr>
          <w:rFonts w:hint="eastAsia" w:ascii="仿宋_GB2312" w:hAnsi="仿宋_GB2312" w:eastAsia="仿宋_GB2312" w:cs="仿宋_GB2312"/>
          <w:b w:val="0"/>
          <w:bCs w:val="0"/>
          <w:i w:val="0"/>
          <w:iCs w:val="0"/>
          <w:color w:val="000000" w:themeColor="text1"/>
          <w:kern w:val="2"/>
          <w:sz w:val="32"/>
          <w:szCs w:val="32"/>
          <w:u w:val="none" w:color="auto"/>
          <w:shd w:val="clear" w:color="auto" w:fill="auto"/>
          <w:lang w:val="en-US" w:eastAsia="zh-CN"/>
          <w14:textFill>
            <w14:solidFill>
              <w14:schemeClr w14:val="tx1"/>
            </w14:solidFill>
          </w14:textFill>
        </w:rPr>
        <w:t>，</w:t>
      </w:r>
      <w:r>
        <w:rPr>
          <w:rFonts w:hint="eastAsia" w:ascii="仿宋_GB2312" w:hAnsi="仿宋_GB2312" w:eastAsia="仿宋_GB2312" w:cs="仿宋_GB2312"/>
          <w:b w:val="0"/>
          <w:bCs w:val="0"/>
          <w:i w:val="0"/>
          <w:iCs w:val="0"/>
          <w:color w:val="000000" w:themeColor="text1"/>
          <w:kern w:val="2"/>
          <w:sz w:val="32"/>
          <w:szCs w:val="32"/>
          <w:u w:val="none" w:color="auto"/>
          <w:shd w:val="clear" w:color="auto" w:fill="auto"/>
          <w:lang w:eastAsia="zh-CN"/>
          <w14:textFill>
            <w14:solidFill>
              <w14:schemeClr w14:val="tx1"/>
            </w14:solidFill>
          </w14:textFill>
        </w:rPr>
        <w:t>开展备案审查</w:t>
      </w:r>
      <w:r>
        <w:rPr>
          <w:rFonts w:hint="eastAsia" w:ascii="仿宋_GB2312" w:hAnsi="仿宋_GB2312" w:eastAsia="仿宋_GB2312" w:cs="仿宋_GB2312"/>
          <w:b w:val="0"/>
          <w:bCs w:val="0"/>
          <w:i w:val="0"/>
          <w:iCs w:val="0"/>
          <w:color w:val="000000" w:themeColor="text1"/>
          <w:kern w:val="2"/>
          <w:sz w:val="32"/>
          <w:szCs w:val="32"/>
          <w:u w:val="none" w:color="auto"/>
          <w:shd w:val="clear" w:color="auto" w:fill="auto"/>
          <w:lang w:val="en-US" w:eastAsia="zh-CN"/>
          <w14:textFill>
            <w14:solidFill>
              <w14:schemeClr w14:val="tx1"/>
            </w14:solidFill>
          </w14:textFill>
        </w:rPr>
        <w:t>535</w:t>
      </w:r>
      <w:r>
        <w:rPr>
          <w:rFonts w:hint="eastAsia" w:ascii="仿宋_GB2312" w:hAnsi="仿宋_GB2312" w:eastAsia="仿宋_GB2312" w:cs="仿宋_GB2312"/>
          <w:b w:val="0"/>
          <w:bCs w:val="0"/>
          <w:i w:val="0"/>
          <w:iCs w:val="0"/>
          <w:color w:val="000000" w:themeColor="text1"/>
          <w:kern w:val="2"/>
          <w:sz w:val="32"/>
          <w:szCs w:val="32"/>
          <w:u w:val="none" w:color="auto"/>
          <w:shd w:val="clear" w:color="auto" w:fill="auto"/>
          <w:lang w:eastAsia="zh-CN"/>
          <w14:textFill>
            <w14:solidFill>
              <w14:schemeClr w14:val="tx1"/>
            </w14:solidFill>
          </w14:textFill>
        </w:rPr>
        <w:t>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olor w:val="000000" w:themeColor="text1"/>
          <w:kern w:val="2"/>
          <w:sz w:val="32"/>
          <w:szCs w:val="32"/>
          <w:u w:val="none" w:color="auto"/>
          <w:rtl w:val="0"/>
          <w:lang w:val="en-US" w:eastAsia="zh-CN" w:bidi="ar-SA"/>
          <w14:textFill>
            <w14:solidFill>
              <w14:schemeClr w14:val="tx1"/>
            </w14:solidFill>
          </w14:textFill>
        </w:rPr>
      </w:pPr>
      <w:r>
        <w:rPr>
          <w:rFonts w:hint="eastAsia" w:ascii="仿宋_GB2312" w:hAnsi="仿宋_GB2312" w:eastAsia="仿宋_GB2312" w:cs="仿宋_GB2312"/>
          <w:b w:val="0"/>
          <w:bCs w:val="0"/>
          <w:i w:val="0"/>
          <w:iCs w:val="0"/>
          <w:color w:val="000000" w:themeColor="text1"/>
          <w:sz w:val="32"/>
          <w:szCs w:val="32"/>
          <w:u w:val="none" w:color="auto"/>
          <w:lang w:eastAsia="zh-CN" w:bidi="ar-SA"/>
          <w14:textFill>
            <w14:solidFill>
              <w14:schemeClr w14:val="tx1"/>
            </w14:solidFill>
          </w14:textFill>
        </w:rPr>
        <w:t>四是强化行政执法监督。</w:t>
      </w:r>
      <w:r>
        <w:rPr>
          <w:rFonts w:hint="eastAsia" w:ascii="仿宋_GB2312" w:hAnsi="仿宋_GB2312" w:eastAsia="仿宋_GB2312" w:cs="仿宋_GB2312"/>
          <w:b w:val="0"/>
          <w:bCs w:val="0"/>
          <w:i w:val="0"/>
          <w:iCs w:val="0"/>
          <w:color w:val="000000" w:themeColor="text1"/>
          <w:kern w:val="2"/>
          <w:sz w:val="32"/>
          <w:szCs w:val="32"/>
          <w:u w:val="none" w:color="auto"/>
          <w:shd w:val="clear" w:color="auto" w:fill="auto"/>
          <w:lang w:eastAsia="zh-CN"/>
          <w14:textFill>
            <w14:solidFill>
              <w14:schemeClr w14:val="tx1"/>
            </w14:solidFill>
          </w14:textFill>
        </w:rPr>
        <w:t>修订《四川省行政执法监督条例》，出台</w:t>
      </w:r>
      <w:r>
        <w:rPr>
          <w:rFonts w:hint="eastAsia" w:ascii="仿宋_GB2312" w:hAnsi="仿宋_GB2312" w:eastAsia="仿宋_GB2312" w:cs="仿宋_GB2312"/>
          <w:b w:val="0"/>
          <w:bCs w:val="0"/>
          <w:i w:val="0"/>
          <w:iCs w:val="0"/>
          <w:color w:val="000000" w:themeColor="text1"/>
          <w:kern w:val="2"/>
          <w:sz w:val="32"/>
          <w:szCs w:val="32"/>
          <w:u w:val="none" w:color="auto"/>
          <w:shd w:val="clear" w:color="auto" w:fill="auto"/>
          <w:lang w:val="en-US" w:eastAsia="zh-CN"/>
          <w14:textFill>
            <w14:solidFill>
              <w14:schemeClr w14:val="tx1"/>
            </w14:solidFill>
          </w14:textFill>
        </w:rPr>
        <w:t>行政执法公示</w:t>
      </w:r>
      <w:r>
        <w:rPr>
          <w:rFonts w:hint="eastAsia" w:ascii="仿宋_GB2312" w:hAnsi="仿宋_GB2312" w:eastAsia="仿宋_GB2312" w:cs="仿宋_GB2312"/>
          <w:i w:val="0"/>
          <w:iCs w:val="0"/>
          <w:color w:val="000000" w:themeColor="text1"/>
          <w:sz w:val="32"/>
          <w:szCs w:val="32"/>
          <w:u w:val="none" w:color="auto"/>
          <w:lang w:val="en-US" w:eastAsia="zh-CN"/>
          <w14:textFill>
            <w14:solidFill>
              <w14:schemeClr w14:val="tx1"/>
            </w14:solidFill>
          </w14:textFill>
        </w:rPr>
        <w:t>、行政执法全过程记录、重大行政执法决定法制审核“三个办法”，</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编制实施</w:t>
      </w:r>
      <w:r>
        <w:rPr>
          <w:rFonts w:hint="eastAsia" w:ascii="仿宋_GB2312" w:hAnsi="仿宋_GB2312" w:eastAsia="仿宋_GB2312" w:cs="仿宋_GB2312"/>
          <w:i w:val="0"/>
          <w:iCs w:val="0"/>
          <w:color w:val="000000" w:themeColor="text1"/>
          <w:sz w:val="32"/>
          <w:szCs w:val="32"/>
          <w:u w:val="none" w:color="auto"/>
          <w:lang w:val="en-US" w:eastAsia="zh-CN"/>
          <w14:textFill>
            <w14:solidFill>
              <w14:schemeClr w14:val="tx1"/>
            </w14:solidFill>
          </w14:textFill>
        </w:rPr>
        <w:t>行政执法流程、执法文书等行政执法地方标准，</w:t>
      </w:r>
      <w:r>
        <w:rPr>
          <w:rFonts w:hint="eastAsia" w:ascii="仿宋_GB2312" w:hAnsi="仿宋_GB2312" w:eastAsia="仿宋_GB2312" w:cs="仿宋_GB2312"/>
          <w:i w:val="0"/>
          <w:iCs w:val="0"/>
          <w:color w:val="000000" w:themeColor="text1"/>
          <w:kern w:val="2"/>
          <w:sz w:val="32"/>
          <w:szCs w:val="32"/>
          <w:u w:val="none" w:color="auto"/>
          <w:rtl w:val="0"/>
          <w:lang w:val="en-US" w:eastAsia="zh-CN" w:bidi="ar-SA"/>
          <w14:textFill>
            <w14:solidFill>
              <w14:schemeClr w14:val="tx1"/>
            </w14:solidFill>
          </w14:textFill>
        </w:rPr>
        <w:t>在全国率先开展行政裁决程序地方标准建设</w:t>
      </w:r>
      <w:r>
        <w:rPr>
          <w:rFonts w:hint="eastAsia" w:ascii="仿宋_GB2312" w:hAnsi="仿宋_GB2312" w:eastAsia="仿宋_GB2312" w:cs="仿宋_GB2312"/>
          <w:i w:val="0"/>
          <w:iCs w:val="0"/>
          <w:color w:val="000000" w:themeColor="text1"/>
          <w:sz w:val="32"/>
          <w:szCs w:val="32"/>
          <w:u w:val="none" w:color="auto"/>
          <w:rtl w:val="0"/>
          <w:lang w:val="en-US" w:eastAsia="zh-CN"/>
          <w14:textFill>
            <w14:solidFill>
              <w14:schemeClr w14:val="tx1"/>
            </w14:solidFill>
          </w14:textFill>
        </w:rPr>
        <w:t>。</w:t>
      </w:r>
      <w:r>
        <w:rPr>
          <w:rFonts w:hint="eastAsia" w:ascii="仿宋_GB2312" w:hAnsi="仿宋_GB2312" w:eastAsia="仿宋_GB2312" w:cs="仿宋_GB2312"/>
          <w:i w:val="0"/>
          <w:iCs w:val="0"/>
          <w:color w:val="000000" w:themeColor="text1"/>
          <w:kern w:val="2"/>
          <w:sz w:val="32"/>
          <w:szCs w:val="32"/>
          <w:u w:val="none" w:color="auto"/>
          <w:rtl w:val="0"/>
          <w:lang w:val="en-US" w:eastAsia="zh-CN" w:bidi="ar-SA"/>
          <w14:textFill>
            <w14:solidFill>
              <w14:schemeClr w14:val="tx1"/>
            </w14:solidFill>
          </w14:textFill>
        </w:rPr>
        <w:t>纵深推进综合行政执法改革，试点开展省市县乡四级行政执法协调监督工作体系建设，</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组织开展全省行政执法“大学习、大练兵、大比武”</w:t>
      </w:r>
      <w:r>
        <w:rPr>
          <w:rFonts w:hint="eastAsia" w:ascii="仿宋_GB2312" w:hAnsi="仿宋_GB2312" w:eastAsia="仿宋_GB2312" w:cs="仿宋_GB2312"/>
          <w:i w:val="0"/>
          <w:iCs w:val="0"/>
          <w:color w:val="000000" w:themeColor="text1"/>
          <w:kern w:val="2"/>
          <w:sz w:val="32"/>
          <w:szCs w:val="32"/>
          <w:u w:val="none" w:color="auto"/>
          <w:rtl w:val="0"/>
          <w:lang w:val="en-US" w:eastAsia="zh-CN" w:bidi="ar-SA"/>
          <w14:textFill>
            <w14:solidFill>
              <w14:schemeClr w14:val="tx1"/>
            </w14:solidFill>
          </w14:textFill>
        </w:rPr>
        <w:t>，</w:t>
      </w:r>
      <w:r>
        <w:rPr>
          <w:rFonts w:hint="eastAsia" w:ascii="仿宋_GB2312" w:hAnsi="仿宋_GB2312" w:eastAsia="仿宋_GB2312" w:cs="仿宋_GB2312"/>
          <w:i w:val="0"/>
          <w:iCs w:val="0"/>
          <w:color w:val="000000" w:themeColor="text1"/>
          <w:sz w:val="32"/>
          <w:szCs w:val="32"/>
          <w:u w:val="none" w:color="auto"/>
          <w:lang w:val="en-US" w:eastAsia="zh-CN"/>
          <w14:textFill>
            <w14:solidFill>
              <w14:schemeClr w14:val="tx1"/>
            </w14:solidFill>
          </w14:textFill>
        </w:rPr>
        <w:t>对全省16万余件执法案卷进行案卷评</w:t>
      </w:r>
      <w:r>
        <w:rPr>
          <w:rFonts w:hint="eastAsia" w:ascii="仿宋_GB2312" w:hAnsi="仿宋_GB2312" w:eastAsia="仿宋_GB2312" w:cs="仿宋_GB2312"/>
          <w:i w:val="0"/>
          <w:iCs w:val="0"/>
          <w:color w:val="000000" w:themeColor="text1"/>
          <w:kern w:val="2"/>
          <w:sz w:val="32"/>
          <w:szCs w:val="32"/>
          <w:u w:val="none" w:color="auto"/>
          <w:rtl w:val="0"/>
          <w:lang w:val="en-US" w:eastAsia="zh-CN" w:bidi="ar-SA"/>
          <w14:textFill>
            <w14:solidFill>
              <w14:schemeClr w14:val="tx1"/>
            </w14:solidFill>
          </w14:textFill>
        </w:rPr>
        <w:t>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olor w:val="000000" w:themeColor="text1"/>
          <w:kern w:val="2"/>
          <w:sz w:val="32"/>
          <w:szCs w:val="32"/>
          <w:u w:val="none" w:color="auto"/>
          <w:rtl w:val="0"/>
          <w:lang w:val="en-US" w:eastAsia="zh-CN" w:bidi="ar-SA"/>
          <w14:textFill>
            <w14:solidFill>
              <w14:schemeClr w14:val="tx1"/>
            </w14:solidFill>
          </w14:textFill>
        </w:rPr>
      </w:pPr>
      <w:r>
        <w:rPr>
          <w:rFonts w:hint="eastAsia" w:ascii="仿宋_GB2312" w:hAnsi="仿宋_GB2312" w:eastAsia="仿宋_GB2312" w:cs="仿宋_GB2312"/>
          <w:b w:val="0"/>
          <w:bCs w:val="0"/>
          <w:i w:val="0"/>
          <w:iCs w:val="0"/>
          <w:color w:val="000000" w:themeColor="text1"/>
          <w:sz w:val="32"/>
          <w:szCs w:val="32"/>
          <w:u w:val="none" w:color="auto"/>
          <w:lang w:eastAsia="zh-CN" w:bidi="ar-SA"/>
          <w14:textFill>
            <w14:solidFill>
              <w14:schemeClr w14:val="tx1"/>
            </w14:solidFill>
          </w14:textFill>
        </w:rPr>
        <w:t>五是</w:t>
      </w:r>
      <w:r>
        <w:rPr>
          <w:rFonts w:hint="eastAsia" w:ascii="仿宋_GB2312" w:hAnsi="仿宋_GB2312" w:eastAsia="仿宋_GB2312" w:cs="仿宋_GB2312"/>
          <w:b w:val="0"/>
          <w:bCs w:val="0"/>
          <w:i w:val="0"/>
          <w:iCs w:val="0"/>
          <w:color w:val="000000" w:themeColor="text1"/>
          <w:sz w:val="32"/>
          <w:szCs w:val="32"/>
          <w:u w:val="none" w:color="auto"/>
          <w:rtl w:val="0"/>
          <w:lang w:val="zh-TW" w:eastAsia="zh-CN" w:bidi="ar-SA"/>
          <w14:textFill>
            <w14:solidFill>
              <w14:schemeClr w14:val="tx1"/>
            </w14:solidFill>
          </w14:textFill>
        </w:rPr>
        <w:t>有序推进行政复议体制改革。</w:t>
      </w:r>
      <w:r>
        <w:rPr>
          <w:rFonts w:hint="eastAsia" w:ascii="仿宋_GB2312" w:hAnsi="仿宋_GB2312" w:eastAsia="仿宋_GB2312" w:cs="仿宋_GB2312"/>
          <w:i w:val="0"/>
          <w:iCs w:val="0"/>
          <w:color w:val="000000" w:themeColor="text1"/>
          <w:sz w:val="32"/>
          <w:szCs w:val="32"/>
          <w:u w:val="none" w:color="auto"/>
          <w:lang w:val="en-US" w:eastAsia="zh-CN"/>
          <w14:textFill>
            <w14:solidFill>
              <w14:schemeClr w14:val="tx1"/>
            </w14:solidFill>
          </w14:textFill>
        </w:rPr>
        <w:t>推动设立</w:t>
      </w:r>
      <w:r>
        <w:rPr>
          <w:rFonts w:hint="eastAsia" w:ascii="仿宋_GB2312" w:hAnsi="仿宋_GB2312" w:eastAsia="仿宋_GB2312" w:cs="仿宋_GB2312"/>
          <w:b w:val="0"/>
          <w:bCs w:val="0"/>
          <w:i w:val="0"/>
          <w:iCs w:val="0"/>
          <w:color w:val="000000" w:themeColor="text1"/>
          <w:sz w:val="32"/>
          <w:szCs w:val="32"/>
          <w:u w:val="none" w:color="auto"/>
          <w:lang w:val="en-US" w:eastAsia="zh-CN"/>
          <w14:textFill>
            <w14:solidFill>
              <w14:schemeClr w14:val="tx1"/>
            </w14:solidFill>
          </w14:textFill>
        </w:rPr>
        <w:t>“省人民政府行政复议办公室”，完成省级行政复议机构设置人员配置。</w:t>
      </w:r>
      <w:r>
        <w:rPr>
          <w:rFonts w:hint="eastAsia" w:ascii="仿宋_GB2312" w:hAnsi="仿宋_GB2312" w:eastAsia="仿宋_GB2312" w:cs="仿宋_GB2312"/>
          <w:i w:val="0"/>
          <w:iCs w:val="0"/>
          <w:color w:val="000000" w:themeColor="text1"/>
          <w:kern w:val="2"/>
          <w:sz w:val="32"/>
          <w:szCs w:val="32"/>
          <w:u w:val="none" w:color="auto"/>
          <w:rtl w:val="0"/>
          <w:lang w:val="en-US" w:eastAsia="zh-CN" w:bidi="ar-SA"/>
          <w14:textFill>
            <w14:solidFill>
              <w14:schemeClr w14:val="tx1"/>
            </w14:solidFill>
          </w14:textFill>
        </w:rPr>
        <w:t>加强行政复议规范化建设，开展释理式行政复议模式、行政复议咨询委员会试点，编制年度行政复议工作分析报告，受到省委、省政府肯定。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olor w:val="000000" w:themeColor="text1"/>
          <w:sz w:val="32"/>
          <w:szCs w:val="32"/>
          <w:u w:val="none" w:color="auto"/>
          <w14:textFill>
            <w14:solidFill>
              <w14:schemeClr w14:val="tx1"/>
            </w14:solidFill>
          </w14:textFill>
        </w:rPr>
      </w:pPr>
      <w:r>
        <w:rPr>
          <w:rFonts w:hint="eastAsia" w:ascii="仿宋_GB2312" w:hAnsi="仿宋_GB2312" w:eastAsia="仿宋_GB2312" w:cs="仿宋_GB2312"/>
          <w:b w:val="0"/>
          <w:bCs w:val="0"/>
          <w:i w:val="0"/>
          <w:iCs w:val="0"/>
          <w:color w:val="000000" w:themeColor="text1"/>
          <w:sz w:val="32"/>
          <w:szCs w:val="32"/>
          <w:u w:val="none" w:color="auto"/>
          <w:rtl w:val="0"/>
          <w:lang w:val="en-US" w:eastAsia="zh-CN" w:bidi="ar-SA"/>
          <w14:textFill>
            <w14:solidFill>
              <w14:schemeClr w14:val="tx1"/>
            </w14:solidFill>
          </w14:textFill>
        </w:rPr>
        <w:t>六是持续深化“放管服”改革。</w:t>
      </w:r>
      <w:r>
        <w:rPr>
          <w:rFonts w:hint="eastAsia" w:ascii="仿宋_GB2312" w:hAnsi="仿宋_GB2312" w:eastAsia="仿宋_GB2312" w:cs="仿宋_GB2312"/>
          <w:i w:val="0"/>
          <w:iCs w:val="0"/>
          <w:color w:val="000000" w:themeColor="text1"/>
          <w:kern w:val="2"/>
          <w:sz w:val="32"/>
          <w:szCs w:val="32"/>
          <w:u w:val="none" w:color="auto"/>
          <w:rtl w:val="0"/>
          <w:lang w:val="en-US" w:eastAsia="zh-CN" w:bidi="ar-SA"/>
          <w14:textFill>
            <w14:solidFill>
              <w14:schemeClr w14:val="tx1"/>
            </w14:solidFill>
          </w14:textFill>
        </w:rPr>
        <w:t>扎实开展“一网通办”能力提升百日攻坚行动，实现11类业务跨部门共享，落地运行“一件一次办”和“一证一照办”事项11项，公共服务事项达到222项，居全国前列。</w:t>
      </w:r>
      <w:r>
        <w:rPr>
          <w:rFonts w:hint="eastAsia" w:ascii="仿宋_GB2312" w:hAnsi="仿宋_GB2312" w:eastAsia="仿宋_GB2312" w:cs="仿宋_GB2312"/>
          <w:i w:val="0"/>
          <w:iCs w:val="0"/>
          <w:color w:val="000000" w:themeColor="text1"/>
          <w:sz w:val="32"/>
          <w:szCs w:val="32"/>
          <w:u w:val="none" w:color="auto"/>
          <w:lang w:val="en-US" w:eastAsia="zh-CN"/>
          <w14:textFill>
            <w14:solidFill>
              <w14:schemeClr w14:val="tx1"/>
            </w14:solidFill>
          </w14:textFill>
        </w:rPr>
        <w:t>深化减证便民，发布148项证明事项告知承诺制目录。</w:t>
      </w:r>
      <w:r>
        <w:rPr>
          <w:rFonts w:hint="eastAsia" w:ascii="仿宋_GB2312" w:hAnsi="仿宋_GB2312" w:eastAsia="仿宋_GB2312" w:cs="仿宋_GB2312"/>
          <w:i w:val="0"/>
          <w:iCs w:val="0"/>
          <w:color w:val="000000" w:themeColor="text1"/>
          <w:kern w:val="2"/>
          <w:sz w:val="32"/>
          <w:szCs w:val="32"/>
          <w:u w:val="none" w:color="auto"/>
          <w:rtl w:val="0"/>
          <w:lang w:val="en-US" w:eastAsia="zh-CN" w:bidi="ar-SA"/>
          <w14:textFill>
            <w14:solidFill>
              <w14:schemeClr w14:val="tx1"/>
            </w14:solidFill>
          </w14:textFill>
        </w:rPr>
        <w:t>扎实推进全业务电子证照应用，生成电子证照3.2万余个。</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rPr>
          <w:rFonts w:hint="eastAsia" w:ascii="仿宋_GB2312" w:hAnsi="仿宋_GB2312" w:eastAsia="仿宋_GB2312" w:cs="仿宋_GB2312"/>
          <w:b w:val="0"/>
          <w:bCs w:val="0"/>
          <w:i w:val="0"/>
          <w:iCs w:val="0"/>
          <w:color w:val="000000" w:themeColor="text1"/>
          <w:sz w:val="32"/>
          <w:szCs w:val="32"/>
          <w:u w:val="none" w:color="auto"/>
          <w14:textFill>
            <w14:solidFill>
              <w14:schemeClr w14:val="tx1"/>
            </w14:solidFill>
          </w14:textFill>
        </w:rPr>
      </w:pPr>
      <w:r>
        <w:rPr>
          <w:rFonts w:hint="eastAsia" w:ascii="仿宋_GB2312" w:hAnsi="仿宋_GB2312" w:eastAsia="仿宋_GB2312" w:cs="仿宋_GB2312"/>
          <w:b w:val="0"/>
          <w:bCs w:val="0"/>
          <w:i w:val="0"/>
          <w:iCs w:val="0"/>
          <w:color w:val="000000" w:themeColor="text1"/>
          <w:kern w:val="2"/>
          <w:sz w:val="32"/>
          <w:szCs w:val="32"/>
          <w:u w:val="none" w:color="auto"/>
          <w:lang w:val="en-US" w:eastAsia="zh-CN"/>
          <w14:textFill>
            <w14:solidFill>
              <w14:schemeClr w14:val="tx1"/>
            </w14:solidFill>
          </w14:textFill>
        </w:rPr>
        <w:t>4.</w:t>
      </w:r>
      <w:r>
        <w:rPr>
          <w:rFonts w:hint="eastAsia" w:ascii="仿宋_GB2312" w:hAnsi="仿宋_GB2312" w:eastAsia="仿宋_GB2312" w:cs="仿宋_GB2312"/>
          <w:b w:val="0"/>
          <w:bCs w:val="0"/>
          <w:i w:val="0"/>
          <w:iCs w:val="0"/>
          <w:color w:val="000000" w:themeColor="text1"/>
          <w:spacing w:val="0"/>
          <w:kern w:val="2"/>
          <w:sz w:val="32"/>
          <w:szCs w:val="32"/>
          <w:u w:val="none" w:color="auto"/>
          <w:lang w:val="en-US" w:eastAsia="zh-CN" w:bidi="ar-SA"/>
          <w14:textFill>
            <w14:solidFill>
              <w14:schemeClr w14:val="tx1"/>
            </w14:solidFill>
          </w14:textFill>
        </w:rPr>
        <w:t>全面提升监管执法水平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olor w:val="000000" w:themeColor="text1"/>
          <w:sz w:val="32"/>
          <w:szCs w:val="32"/>
          <w:u w:val="none" w:color="auto"/>
          <w:lang w:val="en-US" w:eastAsia="zh"/>
          <w14:textFill>
            <w14:solidFill>
              <w14:schemeClr w14:val="tx1"/>
            </w14:solidFill>
          </w14:textFill>
        </w:rPr>
      </w:pPr>
      <w:r>
        <w:rPr>
          <w:rFonts w:hint="eastAsia" w:ascii="仿宋_GB2312" w:hAnsi="仿宋_GB2312" w:eastAsia="仿宋_GB2312" w:cs="仿宋_GB2312"/>
          <w:b w:val="0"/>
          <w:bCs w:val="0"/>
          <w:i w:val="0"/>
          <w:iCs w:val="0"/>
          <w:color w:val="000000" w:themeColor="text1"/>
          <w:sz w:val="32"/>
          <w:szCs w:val="32"/>
          <w:u w:val="none" w:color="auto"/>
          <w:rtl w:val="0"/>
          <w:lang w:val="en-US" w:eastAsia="zh-CN" w:bidi="ar-SA"/>
          <w14:textFill>
            <w14:solidFill>
              <w14:schemeClr w14:val="tx1"/>
            </w14:solidFill>
          </w14:textFill>
        </w:rPr>
        <w:t>一是深化四川监狱标准化建设。</w:t>
      </w:r>
      <w:r>
        <w:rPr>
          <w:rFonts w:hint="eastAsia" w:ascii="仿宋_GB2312" w:hAnsi="仿宋_GB2312" w:eastAsia="仿宋_GB2312" w:cs="仿宋_GB2312"/>
          <w:b w:val="0"/>
          <w:bCs w:val="0"/>
          <w:i w:val="0"/>
          <w:iCs w:val="0"/>
          <w:color w:val="000000" w:themeColor="text1"/>
          <w:sz w:val="32"/>
          <w:szCs w:val="32"/>
          <w:u w:val="none" w:color="auto"/>
          <w:rtl w:val="0"/>
          <w:lang w:val="en-US" w:eastAsia="zh-CN"/>
          <w14:textFill>
            <w14:solidFill>
              <w14:schemeClr w14:val="tx1"/>
            </w14:solidFill>
          </w14:textFill>
        </w:rPr>
        <w:t>持续抓好监所疫情防控，</w:t>
      </w:r>
      <w:r>
        <w:rPr>
          <w:rFonts w:hint="eastAsia" w:ascii="仿宋_GB2312" w:hAnsi="仿宋_GB2312" w:eastAsia="仿宋_GB2312" w:cs="仿宋_GB2312"/>
          <w:b w:val="0"/>
          <w:bCs w:val="0"/>
          <w:i w:val="0"/>
          <w:iCs w:val="0"/>
          <w:color w:val="000000" w:themeColor="text1"/>
          <w:sz w:val="32"/>
          <w:szCs w:val="32"/>
          <w:u w:val="none" w:color="auto"/>
          <w:lang w:val="en-US" w:eastAsia="zh-CN"/>
          <w14:textFill>
            <w14:solidFill>
              <w14:schemeClr w14:val="tx1"/>
            </w14:solidFill>
          </w14:textFill>
        </w:rPr>
        <w:t>动态出台“1+16”防控工作标准9个版本，保持</w:t>
      </w:r>
      <w:r>
        <w:rPr>
          <w:rFonts w:hint="eastAsia" w:ascii="仿宋_GB2312" w:hAnsi="仿宋_GB2312" w:eastAsia="仿宋_GB2312" w:cs="仿宋_GB2312"/>
          <w:b w:val="0"/>
          <w:bCs w:val="0"/>
          <w:i w:val="0"/>
          <w:iCs w:val="0"/>
          <w:color w:val="000000" w:themeColor="text1"/>
          <w:sz w:val="32"/>
          <w:szCs w:val="32"/>
          <w:u w:val="none" w:color="auto"/>
          <w:rtl w:val="0"/>
          <w:lang w:val="en-US" w:eastAsia="zh-CN"/>
          <w14:textFill>
            <w14:solidFill>
              <w14:schemeClr w14:val="tx1"/>
            </w14:solidFill>
          </w14:textFill>
        </w:rPr>
        <w:t>监所“零感染”</w:t>
      </w:r>
      <w:r>
        <w:rPr>
          <w:rFonts w:hint="eastAsia" w:ascii="仿宋_GB2312" w:hAnsi="仿宋_GB2312" w:eastAsia="仿宋_GB2312" w:cs="仿宋_GB2312"/>
          <w:b w:val="0"/>
          <w:bCs w:val="0"/>
          <w:i w:val="0"/>
          <w:iCs w:val="0"/>
          <w:color w:val="000000" w:themeColor="text1"/>
          <w:sz w:val="32"/>
          <w:szCs w:val="32"/>
          <w:u w:val="none" w:color="auto"/>
          <w:lang w:val="en-US" w:eastAsia="zh-CN"/>
          <w14:textFill>
            <w14:solidFill>
              <w14:schemeClr w14:val="tx1"/>
            </w14:solidFill>
          </w14:textFill>
        </w:rPr>
        <w:t>。深入开展监狱综合治理，全面核查“减假暂”案件，在全国率先制定出台“减假暂”案件排查依据和工作指南，创新建立集中办案中心，推行“四查五审六监督标准”和执法权力责任清单，被《法治日报》头版头条报道。深化狱地协作，监狱与地方党政部门建立协作机制。扎实开展“智慧监狱”创建，监狱远程会系统</w:t>
      </w:r>
      <w:r>
        <w:rPr>
          <w:rFonts w:hint="eastAsia" w:ascii="仿宋_GB2312" w:hAnsi="仿宋_GB2312" w:eastAsia="仿宋_GB2312" w:cs="仿宋_GB2312"/>
          <w:b w:val="0"/>
          <w:bCs w:val="0"/>
          <w:i w:val="0"/>
          <w:iCs w:val="0"/>
          <w:color w:val="000000" w:themeColor="text1"/>
          <w:sz w:val="32"/>
          <w:szCs w:val="32"/>
          <w:u w:val="none" w:color="auto"/>
          <w:lang w:val="en-US" w:eastAsia="zh"/>
          <w14:textFill>
            <w14:solidFill>
              <w14:schemeClr w14:val="tx1"/>
            </w14:solidFill>
          </w14:textFill>
        </w:rPr>
        <w:t>被司法部评为“2021年全国智慧司法十大创新案例”。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olor w:val="000000" w:themeColor="text1"/>
          <w:sz w:val="32"/>
          <w:szCs w:val="32"/>
          <w:highlight w:val="none"/>
          <w:u w:val="none" w:color="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32"/>
          <w:szCs w:val="32"/>
          <w:u w:val="none" w:color="auto"/>
          <w:rtl w:val="0"/>
          <w:lang w:val="en-US" w:eastAsia="zh-CN" w:bidi="ar-SA"/>
          <w14:textFill>
            <w14:solidFill>
              <w14:schemeClr w14:val="tx1"/>
            </w14:solidFill>
          </w14:textFill>
        </w:rPr>
        <w:t>二是完善社区矫正工作体系。</w:t>
      </w:r>
      <w:r>
        <w:rPr>
          <w:rFonts w:hint="eastAsia" w:ascii="仿宋_GB2312" w:hAnsi="仿宋_GB2312" w:eastAsia="仿宋_GB2312" w:cs="仿宋_GB2312"/>
          <w:i w:val="0"/>
          <w:iCs w:val="0"/>
          <w:color w:val="000000" w:themeColor="text1"/>
          <w:kern w:val="2"/>
          <w:sz w:val="32"/>
          <w:szCs w:val="32"/>
          <w:u w:val="none" w:color="auto"/>
          <w:rtl w:val="0"/>
          <w:lang w:val="en-US" w:eastAsia="zh-CN" w:bidi="ar-SA"/>
          <w14:textFill>
            <w14:solidFill>
              <w14:schemeClr w14:val="tx1"/>
            </w14:solidFill>
          </w14:textFill>
        </w:rPr>
        <w:t>加快推</w:t>
      </w:r>
      <w:r>
        <w:rPr>
          <w:rFonts w:hint="eastAsia" w:ascii="仿宋_GB2312" w:hAnsi="仿宋_GB2312" w:eastAsia="仿宋_GB2312" w:cs="仿宋_GB2312"/>
          <w:i w:val="0"/>
          <w:iCs w:val="0"/>
          <w:color w:val="000000" w:themeColor="text1"/>
          <w:sz w:val="32"/>
          <w:szCs w:val="32"/>
          <w:highlight w:val="none"/>
          <w:u w:val="none" w:color="auto"/>
          <w:rtl w:val="0"/>
          <w:lang w:val="en-US" w:eastAsia="zh-CN"/>
          <w14:textFill>
            <w14:solidFill>
              <w14:schemeClr w14:val="tx1"/>
            </w14:solidFill>
          </w14:textFill>
        </w:rPr>
        <w:t>进</w:t>
      </w:r>
      <w:r>
        <w:rPr>
          <w:rFonts w:hint="eastAsia" w:ascii="仿宋_GB2312" w:hAnsi="仿宋_GB2312" w:eastAsia="仿宋_GB2312" w:cs="仿宋_GB2312"/>
          <w:i w:val="0"/>
          <w:iCs w:val="0"/>
          <w:color w:val="000000" w:themeColor="text1"/>
          <w:sz w:val="32"/>
          <w:szCs w:val="32"/>
          <w:highlight w:val="none"/>
          <w:u w:val="none" w:color="auto"/>
          <w:lang w:val="en-US" w:eastAsia="zh-CN"/>
          <w14:textFill>
            <w14:solidFill>
              <w14:schemeClr w14:val="tx1"/>
            </w14:solidFill>
          </w14:textFill>
        </w:rPr>
        <w:t>社区矫正委员会和社区矫正机构建设。发布实施社区矫正调查评估规范、社区矫正机构刑事执行权力清单、刑罚交付执行工作指引等规范，实现社区矫正执法和交付执行环节政法各家衔接互认。升级改造社区矫正一体化平台，开发上线“在矫通”“协矫通”等移动应用，全省社区矫正对象再犯罪率低于全国平均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u w:val="none" w:color="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32"/>
          <w:szCs w:val="32"/>
          <w:u w:val="none" w:color="auto"/>
          <w:rtl w:val="0"/>
          <w:lang w:val="en-US" w:eastAsia="zh-CN" w:bidi="ar-SA"/>
          <w14:textFill>
            <w14:solidFill>
              <w14:schemeClr w14:val="tx1"/>
            </w14:solidFill>
          </w14:textFill>
        </w:rPr>
        <w:t>三是提升司法行政戒毒工作质效。</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深化</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戒毒</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医联体建设</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，组织</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召开成渝地区双城经济圈建设戒毒工作“2+4”区域协同发展联席会议</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成功承办全国司法行政戒毒场所医疗工作推进会</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u w:val="none" w:color="auto"/>
          <w14:textFill>
            <w14:solidFill>
              <w14:schemeClr w14:val="tx1"/>
            </w14:solidFill>
          </w14:textFill>
        </w:rPr>
        <w:t>编制完成涵盖全业务领域的《四川司法行政戒毒系统工作制度、规范性文件汇编》</w:t>
      </w:r>
      <w:r>
        <w:rPr>
          <w:rFonts w:hint="eastAsia" w:ascii="仿宋_GB2312" w:hAnsi="仿宋_GB2312" w:eastAsia="仿宋_GB2312" w:cs="仿宋_GB2312"/>
          <w:i w:val="0"/>
          <w:iCs w:val="0"/>
          <w:caps w:val="0"/>
          <w:color w:val="000000" w:themeColor="text1"/>
          <w:spacing w:val="0"/>
          <w:sz w:val="32"/>
          <w:szCs w:val="32"/>
          <w:u w:val="none" w:color="auto"/>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val="0"/>
          <w:i w:val="0"/>
          <w:iCs w:val="0"/>
          <w:color w:val="000000" w:themeColor="text1"/>
          <w:sz w:val="32"/>
          <w:szCs w:val="32"/>
          <w:u w:val="none" w:color="auto"/>
          <w:lang w:val="zh-CN" w:eastAsia="zh-CN" w:bidi="ar-SA"/>
          <w14:textFill>
            <w14:solidFill>
              <w14:schemeClr w14:val="tx1"/>
            </w14:solidFill>
          </w14:textFill>
        </w:rPr>
      </w:pPr>
      <w:r>
        <w:rPr>
          <w:rFonts w:hint="eastAsia" w:ascii="仿宋_GB2312" w:hAnsi="仿宋_GB2312" w:eastAsia="仿宋_GB2312" w:cs="仿宋_GB2312"/>
          <w:b w:val="0"/>
          <w:bCs w:val="0"/>
          <w:i w:val="0"/>
          <w:iCs w:val="0"/>
          <w:color w:val="000000" w:themeColor="text1"/>
          <w:sz w:val="32"/>
          <w:szCs w:val="32"/>
          <w:u w:val="none" w:color="auto"/>
          <w:lang w:val="en-US" w:eastAsia="zh-CN" w:bidi="ar-SA"/>
          <w14:textFill>
            <w14:solidFill>
              <w14:schemeClr w14:val="tx1"/>
            </w14:solidFill>
          </w14:textFill>
        </w:rPr>
        <w:t>5.全力维护社会和谐稳定</w:t>
      </w:r>
    </w:p>
    <w:p>
      <w:pPr>
        <w:keepNext w:val="0"/>
        <w:keepLines w:val="0"/>
        <w:pageBreakBefore w:val="0"/>
        <w:widowControl w:val="0"/>
        <w:suppressLineNumbers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i w:val="0"/>
          <w:iCs w:val="0"/>
          <w:color w:val="000000" w:themeColor="text1"/>
          <w:sz w:val="32"/>
          <w:szCs w:val="32"/>
          <w:u w:val="none" w:color="auto"/>
          <w:shd w:val="clear" w:color="auto" w:fill="FFFFFF"/>
          <w14:textFill>
            <w14:solidFill>
              <w14:schemeClr w14:val="tx1"/>
            </w14:solidFill>
          </w14:textFill>
        </w:rPr>
      </w:pPr>
      <w:r>
        <w:rPr>
          <w:rFonts w:hint="eastAsia" w:ascii="仿宋_GB2312" w:hAnsi="仿宋_GB2312" w:eastAsia="仿宋_GB2312" w:cs="仿宋_GB2312"/>
          <w:b w:val="0"/>
          <w:bCs w:val="0"/>
          <w:i w:val="0"/>
          <w:iCs w:val="0"/>
          <w:color w:val="000000" w:themeColor="text1"/>
          <w:sz w:val="32"/>
          <w:szCs w:val="32"/>
          <w:u w:val="none" w:color="auto"/>
          <w:lang w:eastAsia="zh-CN" w:bidi="ar-SA"/>
          <w14:textFill>
            <w14:solidFill>
              <w14:schemeClr w14:val="tx1"/>
            </w14:solidFill>
          </w14:textFill>
        </w:rPr>
        <w:t>一是突出普法宣传引导。</w:t>
      </w:r>
      <w:r>
        <w:rPr>
          <w:rFonts w:hint="eastAsia" w:ascii="仿宋_GB2312" w:hAnsi="仿宋_GB2312" w:eastAsia="仿宋_GB2312" w:cs="仿宋_GB2312"/>
          <w:i w:val="0"/>
          <w:iCs w:val="0"/>
          <w:color w:val="000000" w:themeColor="text1"/>
          <w:kern w:val="0"/>
          <w:sz w:val="32"/>
          <w:szCs w:val="32"/>
          <w:u w:val="none" w:color="auto"/>
          <w:lang w:bidi="ar"/>
          <w14:textFill>
            <w14:solidFill>
              <w14:schemeClr w14:val="tx1"/>
            </w14:solidFill>
          </w14:textFill>
        </w:rPr>
        <w:t>全面总结“七五”普法</w:t>
      </w:r>
      <w:r>
        <w:rPr>
          <w:rFonts w:hint="eastAsia" w:ascii="仿宋_GB2312" w:hAnsi="仿宋_GB2312" w:eastAsia="仿宋_GB2312" w:cs="仿宋_GB2312"/>
          <w:i w:val="0"/>
          <w:iCs w:val="0"/>
          <w:color w:val="000000" w:themeColor="text1"/>
          <w:kern w:val="0"/>
          <w:sz w:val="32"/>
          <w:szCs w:val="32"/>
          <w:u w:val="none" w:color="auto"/>
          <w:lang w:eastAsia="zh-CN" w:bidi="ar"/>
          <w14:textFill>
            <w14:solidFill>
              <w14:schemeClr w14:val="tx1"/>
            </w14:solidFill>
          </w14:textFill>
        </w:rPr>
        <w:t>工作</w:t>
      </w:r>
      <w:r>
        <w:rPr>
          <w:rFonts w:hint="eastAsia" w:ascii="仿宋_GB2312" w:hAnsi="仿宋_GB2312" w:eastAsia="仿宋_GB2312" w:cs="仿宋_GB2312"/>
          <w:i w:val="0"/>
          <w:iCs w:val="0"/>
          <w:color w:val="000000" w:themeColor="text1"/>
          <w:kern w:val="0"/>
          <w:sz w:val="32"/>
          <w:szCs w:val="32"/>
          <w:u w:val="none" w:color="auto"/>
          <w:lang w:bidi="ar"/>
          <w14:textFill>
            <w14:solidFill>
              <w14:schemeClr w14:val="tx1"/>
            </w14:solidFill>
          </w14:textFill>
        </w:rPr>
        <w:t>，</w:t>
      </w:r>
      <w:r>
        <w:rPr>
          <w:rFonts w:hint="eastAsia" w:ascii="仿宋_GB2312" w:hAnsi="仿宋_GB2312" w:eastAsia="仿宋_GB2312" w:cs="仿宋_GB2312"/>
          <w:i w:val="0"/>
          <w:iCs w:val="0"/>
          <w:color w:val="000000" w:themeColor="text1"/>
          <w:kern w:val="0"/>
          <w:sz w:val="32"/>
          <w:szCs w:val="32"/>
          <w:u w:val="none" w:color="auto"/>
          <w:lang w:eastAsia="zh-CN" w:bidi="ar"/>
          <w14:textFill>
            <w14:solidFill>
              <w14:schemeClr w14:val="tx1"/>
            </w14:solidFill>
          </w14:textFill>
        </w:rPr>
        <w:t>编制“八五”普法规划，</w:t>
      </w:r>
      <w:r>
        <w:rPr>
          <w:rFonts w:hint="eastAsia" w:ascii="仿宋_GB2312" w:hAnsi="仿宋_GB2312" w:eastAsia="仿宋_GB2312" w:cs="仿宋_GB2312"/>
          <w:i w:val="0"/>
          <w:iCs w:val="0"/>
          <w:color w:val="000000" w:themeColor="text1"/>
          <w:kern w:val="0"/>
          <w:sz w:val="32"/>
          <w:szCs w:val="32"/>
          <w:u w:val="none" w:color="auto"/>
          <w:lang w:bidi="ar"/>
          <w14:textFill>
            <w14:solidFill>
              <w14:schemeClr w14:val="tx1"/>
            </w14:solidFill>
          </w14:textFill>
        </w:rPr>
        <w:t>推动</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省人大常委会</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作出</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开展“八五”普法工作的决议。</w:t>
      </w:r>
      <w:r>
        <w:rPr>
          <w:rFonts w:hint="eastAsia" w:ascii="仿宋_GB2312" w:hAnsi="仿宋_GB2312" w:eastAsia="仿宋_GB2312" w:cs="仿宋_GB2312"/>
          <w:i w:val="0"/>
          <w:iCs w:val="0"/>
          <w:snapToGrid w:val="0"/>
          <w:color w:val="000000" w:themeColor="text1"/>
          <w:sz w:val="32"/>
          <w:szCs w:val="32"/>
          <w:u w:val="none" w:color="auto"/>
          <w14:textFill>
            <w14:solidFill>
              <w14:schemeClr w14:val="tx1"/>
            </w14:solidFill>
          </w14:textFill>
        </w:rPr>
        <w:t>深入开展“法治四川行”一月一主题活动，</w:t>
      </w:r>
      <w:r>
        <w:rPr>
          <w:rFonts w:hint="eastAsia" w:ascii="仿宋_GB2312" w:hAnsi="仿宋_GB2312" w:eastAsia="仿宋_GB2312" w:cs="仿宋_GB2312"/>
          <w:i w:val="0"/>
          <w:iCs w:val="0"/>
          <w:snapToGrid w:val="0"/>
          <w:color w:val="000000" w:themeColor="text1"/>
          <w:sz w:val="32"/>
          <w:szCs w:val="32"/>
          <w:u w:val="none" w:color="auto"/>
          <w:lang w:eastAsia="zh-CN"/>
          <w14:textFill>
            <w14:solidFill>
              <w14:schemeClr w14:val="tx1"/>
            </w14:solidFill>
          </w14:textFill>
        </w:rPr>
        <w:t>创新</w:t>
      </w:r>
      <w:r>
        <w:rPr>
          <w:rFonts w:hint="eastAsia" w:ascii="仿宋_GB2312" w:hAnsi="仿宋_GB2312" w:eastAsia="仿宋_GB2312" w:cs="仿宋_GB2312"/>
          <w:bCs/>
          <w:i w:val="0"/>
          <w:iCs w:val="0"/>
          <w:color w:val="000000" w:themeColor="text1"/>
          <w:sz w:val="32"/>
          <w:szCs w:val="32"/>
          <w:u w:val="none" w:color="auto"/>
          <w14:textFill>
            <w14:solidFill>
              <w14:schemeClr w14:val="tx1"/>
            </w14:solidFill>
          </w14:textFill>
        </w:rPr>
        <w:t>推出“法博士”普法微课堂，</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阅读点击量累计超1.2亿人次</w:t>
      </w:r>
      <w:r>
        <w:rPr>
          <w:rFonts w:hint="eastAsia" w:ascii="仿宋_GB2312" w:hAnsi="仿宋_GB2312" w:eastAsia="仿宋_GB2312" w:cs="仿宋_GB2312"/>
          <w:bCs/>
          <w:i w:val="0"/>
          <w:iCs w:val="0"/>
          <w:color w:val="000000" w:themeColor="text1"/>
          <w:sz w:val="32"/>
          <w:szCs w:val="32"/>
          <w:u w:val="none" w:color="auto"/>
          <w14:textFill>
            <w14:solidFill>
              <w14:schemeClr w14:val="tx1"/>
            </w14:solidFill>
          </w14:textFill>
        </w:rPr>
        <w:t>。</w:t>
      </w:r>
      <w:r>
        <w:rPr>
          <w:rFonts w:hint="eastAsia" w:ascii="仿宋_GB2312" w:hAnsi="仿宋_GB2312" w:eastAsia="仿宋_GB2312" w:cs="仿宋_GB2312"/>
          <w:bCs/>
          <w:i w:val="0"/>
          <w:iCs w:val="0"/>
          <w:color w:val="000000" w:themeColor="text1"/>
          <w:sz w:val="32"/>
          <w:szCs w:val="32"/>
          <w:u w:val="none" w:color="auto"/>
          <w:lang w:eastAsia="zh-CN"/>
          <w14:textFill>
            <w14:solidFill>
              <w14:schemeClr w14:val="tx1"/>
            </w14:solidFill>
          </w14:textFill>
        </w:rPr>
        <w:t>统筹</w:t>
      </w:r>
      <w:r>
        <w:rPr>
          <w:rFonts w:hint="eastAsia" w:ascii="仿宋_GB2312" w:hAnsi="仿宋_GB2312" w:eastAsia="仿宋_GB2312" w:cs="仿宋_GB2312"/>
          <w:i w:val="0"/>
          <w:iCs w:val="0"/>
          <w:snapToGrid w:val="0"/>
          <w:color w:val="000000" w:themeColor="text1"/>
          <w:sz w:val="32"/>
          <w:szCs w:val="32"/>
          <w:u w:val="none" w:color="auto"/>
          <w14:textFill>
            <w14:solidFill>
              <w14:schemeClr w14:val="tx1"/>
            </w14:solidFill>
          </w14:textFill>
        </w:rPr>
        <w:t>开展“12.4”宪法宣传</w:t>
      </w:r>
      <w:r>
        <w:rPr>
          <w:rFonts w:hint="eastAsia" w:ascii="仿宋_GB2312" w:hAnsi="仿宋_GB2312" w:eastAsia="仿宋_GB2312" w:cs="仿宋_GB2312"/>
          <w:i w:val="0"/>
          <w:iCs w:val="0"/>
          <w:snapToGrid w:val="0"/>
          <w:color w:val="000000" w:themeColor="text1"/>
          <w:sz w:val="32"/>
          <w:szCs w:val="32"/>
          <w:u w:val="none" w:color="auto"/>
          <w:lang w:eastAsia="zh-CN"/>
          <w14:textFill>
            <w14:solidFill>
              <w14:schemeClr w14:val="tx1"/>
            </w14:solidFill>
          </w14:textFill>
        </w:rPr>
        <w:t>周主题活动、</w:t>
      </w:r>
      <w:r>
        <w:rPr>
          <w:rFonts w:hint="eastAsia" w:ascii="仿宋_GB2312" w:hAnsi="仿宋_GB2312" w:eastAsia="仿宋_GB2312" w:cs="仿宋_GB2312"/>
          <w:i w:val="0"/>
          <w:iCs w:val="0"/>
          <w:snapToGrid w:val="0"/>
          <w:color w:val="000000" w:themeColor="text1"/>
          <w:sz w:val="32"/>
          <w:szCs w:val="32"/>
          <w:u w:val="none" w:color="auto"/>
          <w14:textFill>
            <w14:solidFill>
              <w14:schemeClr w14:val="tx1"/>
            </w14:solidFill>
          </w14:textFill>
        </w:rPr>
        <w:t>2021年度“四川十大法治人物”</w:t>
      </w:r>
      <w:r>
        <w:rPr>
          <w:rFonts w:hint="eastAsia" w:ascii="仿宋_GB2312" w:hAnsi="仿宋_GB2312" w:eastAsia="仿宋_GB2312" w:cs="仿宋_GB2312"/>
          <w:i w:val="0"/>
          <w:iCs w:val="0"/>
          <w:snapToGrid w:val="0"/>
          <w:color w:val="000000" w:themeColor="text1"/>
          <w:sz w:val="32"/>
          <w:szCs w:val="32"/>
          <w:u w:val="none" w:color="auto"/>
          <w:lang w:eastAsia="zh-CN"/>
          <w14:textFill>
            <w14:solidFill>
              <w14:schemeClr w14:val="tx1"/>
            </w14:solidFill>
          </w14:textFill>
        </w:rPr>
        <w:t>学习宣传活动，</w:t>
      </w:r>
      <w:r>
        <w:rPr>
          <w:rFonts w:hint="eastAsia" w:ascii="仿宋_GB2312" w:hAnsi="仿宋_GB2312" w:eastAsia="仿宋_GB2312" w:cs="仿宋_GB2312"/>
          <w:i w:val="0"/>
          <w:iCs w:val="0"/>
          <w:snapToGrid w:val="0"/>
          <w:color w:val="000000" w:themeColor="text1"/>
          <w:sz w:val="32"/>
          <w:szCs w:val="32"/>
          <w:u w:val="none" w:color="auto"/>
          <w14:textFill>
            <w14:solidFill>
              <w14:schemeClr w14:val="tx1"/>
            </w14:solidFill>
          </w14:textFill>
        </w:rPr>
        <w:t>公布首批</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红色法治文化遗存目录。搭建国家工作人员学法考法平台，举办“党建引领法治”答题打卡活动，参与答题506万余人次</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w:t>
      </w:r>
      <w:r>
        <w:rPr>
          <w:rFonts w:hint="eastAsia" w:ascii="仿宋_GB2312" w:hAnsi="仿宋_GB2312" w:eastAsia="仿宋_GB2312" w:cs="仿宋_GB2312"/>
          <w:i w:val="0"/>
          <w:iCs w:val="0"/>
          <w:color w:val="000000" w:themeColor="text1"/>
          <w:sz w:val="32"/>
          <w:szCs w:val="32"/>
          <w:u w:val="none" w:color="auto"/>
          <w:shd w:val="clear" w:color="auto" w:fill="FFFFFF"/>
          <w14:textFill>
            <w14:solidFill>
              <w14:schemeClr w14:val="tx1"/>
            </w14:solidFill>
          </w14:textFill>
        </w:rPr>
        <w:t>涉藏地区法治宣传教育“百千万”工程经验做法被中央办公厅</w:t>
      </w:r>
      <w:r>
        <w:rPr>
          <w:rFonts w:hint="eastAsia" w:ascii="仿宋_GB2312" w:hAnsi="仿宋_GB2312" w:eastAsia="仿宋_GB2312" w:cs="仿宋_GB2312"/>
          <w:i w:val="0"/>
          <w:iCs w:val="0"/>
          <w:color w:val="000000" w:themeColor="text1"/>
          <w:sz w:val="32"/>
          <w:szCs w:val="32"/>
          <w:u w:val="none" w:color="auto"/>
          <w:shd w:val="clear" w:color="auto" w:fill="FFFFFF"/>
          <w:lang w:eastAsia="zh-CN"/>
          <w14:textFill>
            <w14:solidFill>
              <w14:schemeClr w14:val="tx1"/>
            </w14:solidFill>
          </w14:textFill>
        </w:rPr>
        <w:t>采用</w:t>
      </w:r>
      <w:r>
        <w:rPr>
          <w:rFonts w:hint="eastAsia" w:ascii="仿宋_GB2312" w:hAnsi="仿宋_GB2312" w:eastAsia="仿宋_GB2312" w:cs="仿宋_GB2312"/>
          <w:i w:val="0"/>
          <w:iCs w:val="0"/>
          <w:color w:val="000000" w:themeColor="text1"/>
          <w:sz w:val="32"/>
          <w:szCs w:val="32"/>
          <w:u w:val="none" w:color="auto"/>
          <w:shd w:val="clear" w:color="auto" w:fill="FFFFFF"/>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pPr>
      <w:r>
        <w:rPr>
          <w:rFonts w:hint="eastAsia" w:ascii="仿宋_GB2312" w:hAnsi="仿宋_GB2312" w:eastAsia="仿宋_GB2312" w:cs="仿宋_GB2312"/>
          <w:b w:val="0"/>
          <w:bCs w:val="0"/>
          <w:i w:val="0"/>
          <w:iCs w:val="0"/>
          <w:color w:val="000000" w:themeColor="text1"/>
          <w:sz w:val="32"/>
          <w:szCs w:val="32"/>
          <w:u w:val="none" w:color="auto"/>
          <w:lang w:val="en-US" w:eastAsia="zh-CN" w:bidi="ar-SA"/>
          <w14:textFill>
            <w14:solidFill>
              <w14:schemeClr w14:val="tx1"/>
            </w14:solidFill>
          </w14:textFill>
        </w:rPr>
        <w:t>二是强化矛盾纠纷多元化解。</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起草</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行政调解工作暂行办法，编撰人民调解工作指导手册，</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试点</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开展政府购买人民调解服务</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命名省级“</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金</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牌调解室”50个。推进建立“调解+”多元解纷机制，</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深化诉调、检调、警调、访调对接，</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全省乡镇、村（居）和15类民生热点领域实现人民调解工作全覆盖。</w:t>
      </w:r>
    </w:p>
    <w:p>
      <w:pPr>
        <w:keepNext w:val="0"/>
        <w:keepLines w:val="0"/>
        <w:pageBreakBefore w:val="0"/>
        <w:widowControl w:val="0"/>
        <w:suppressLineNumbers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32"/>
          <w:szCs w:val="32"/>
          <w:u w:val="none" w:color="auto"/>
          <w:lang w:val="en-US" w:eastAsia="zh-CN" w:bidi="ar-SA"/>
          <w14:textFill>
            <w14:solidFill>
              <w14:schemeClr w14:val="tx1"/>
            </w14:solidFill>
          </w14:textFill>
        </w:rPr>
        <w:t>三是切实做好重点人群服务管理。</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切实发挥重点人群组组长单位职能，</w:t>
      </w:r>
      <w:r>
        <w:rPr>
          <w:rFonts w:hint="eastAsia" w:ascii="仿宋_GB2312" w:hAnsi="仿宋_GB2312" w:eastAsia="仿宋_GB2312" w:cs="仿宋_GB2312"/>
          <w:i w:val="0"/>
          <w:iCs w:val="0"/>
          <w:color w:val="000000" w:themeColor="text1"/>
          <w:sz w:val="32"/>
          <w:szCs w:val="32"/>
          <w:u w:val="none" w:color="auto"/>
          <w:lang w:eastAsia="zh"/>
          <w14:textFill>
            <w14:solidFill>
              <w14:schemeClr w14:val="tx1"/>
            </w14:solidFill>
          </w14:textFill>
        </w:rPr>
        <w:t>在全国“两会”、庆祝建党100周年等重点时段安排部署专项</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排查活动。</w:t>
      </w:r>
    </w:p>
    <w:p>
      <w:pPr>
        <w:keepNext w:val="0"/>
        <w:keepLines w:val="0"/>
        <w:pageBreakBefore w:val="0"/>
        <w:widowControl w:val="0"/>
        <w:suppressLineNumbers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i w:val="0"/>
          <w:iCs w:val="0"/>
          <w:color w:val="000000" w:themeColor="text1"/>
          <w:sz w:val="32"/>
          <w:szCs w:val="32"/>
          <w:u w:val="none" w:color="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32"/>
          <w:szCs w:val="32"/>
          <w:u w:val="none" w:color="auto"/>
          <w:lang w:val="en-US" w:eastAsia="zh-CN" w:bidi="ar-SA"/>
          <w14:textFill>
            <w14:solidFill>
              <w14:schemeClr w14:val="tx1"/>
            </w14:solidFill>
          </w14:textFill>
        </w:rPr>
        <w:t>四是抓实抓牢安全生产。</w:t>
      </w:r>
      <w:r>
        <w:rPr>
          <w:rFonts w:hint="eastAsia" w:ascii="仿宋_GB2312" w:hAnsi="仿宋_GB2312" w:eastAsia="仿宋_GB2312" w:cs="仿宋_GB2312"/>
          <w:i w:val="0"/>
          <w:iCs w:val="0"/>
          <w:color w:val="000000" w:themeColor="text1"/>
          <w:sz w:val="32"/>
          <w:szCs w:val="32"/>
          <w:u w:val="none" w:color="auto"/>
          <w:lang w:val="en-US" w:eastAsia="zh-CN"/>
          <w14:textFill>
            <w14:solidFill>
              <w14:schemeClr w14:val="tx1"/>
            </w14:solidFill>
          </w14:textFill>
        </w:rPr>
        <w:t>组织开展新修订的安全生产法集中宣传月活动，联合推动设立我省森林草原防灭火警示日。出台安全生产责任清单（2.0版），建立安全生产“两书一函”制度，全系统未发生重大以上安全责任事故。</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val="0"/>
          <w:i w:val="0"/>
          <w:iCs w:val="0"/>
          <w:color w:val="000000" w:themeColor="text1"/>
          <w:kern w:val="2"/>
          <w:sz w:val="32"/>
          <w:szCs w:val="32"/>
          <w:u w:val="none" w:color="auto"/>
          <w:lang w:val="zh-CN" w:eastAsia="zh-CN" w:bidi="ar-SA"/>
          <w14:textFill>
            <w14:solidFill>
              <w14:schemeClr w14:val="tx1"/>
            </w14:solidFill>
          </w14:textFill>
        </w:rPr>
      </w:pPr>
      <w:r>
        <w:rPr>
          <w:rFonts w:hint="eastAsia" w:ascii="仿宋_GB2312" w:hAnsi="仿宋_GB2312" w:eastAsia="仿宋_GB2312" w:cs="仿宋_GB2312"/>
          <w:b w:val="0"/>
          <w:bCs w:val="0"/>
          <w:i w:val="0"/>
          <w:iCs w:val="0"/>
          <w:color w:val="000000" w:themeColor="text1"/>
          <w:kern w:val="2"/>
          <w:sz w:val="32"/>
          <w:szCs w:val="32"/>
          <w:u w:val="none" w:color="auto"/>
          <w:lang w:val="en-US" w:eastAsia="zh-CN" w:bidi="ar-SA"/>
          <w14:textFill>
            <w14:solidFill>
              <w14:schemeClr w14:val="tx1"/>
            </w14:solidFill>
          </w14:textFill>
        </w:rPr>
        <w:t>6.持续优化法律服务供给</w:t>
      </w:r>
    </w:p>
    <w:p>
      <w:pPr>
        <w:pStyle w:val="7"/>
        <w:keepNext w:val="0"/>
        <w:keepLines w:val="0"/>
        <w:pageBreakBefore w:val="0"/>
        <w:widowControl w:val="0"/>
        <w:kinsoku/>
        <w:wordWrap/>
        <w:overflowPunct/>
        <w:topLinePunct w:val="0"/>
        <w:autoSpaceDE/>
        <w:autoSpaceDN/>
        <w:bidi w:val="0"/>
        <w:adjustRightInd/>
        <w:spacing w:line="600" w:lineRule="exact"/>
        <w:ind w:left="0" w:leftChars="0" w:firstLine="640" w:firstLineChars="200"/>
        <w:jc w:val="both"/>
        <w:textAlignment w:val="auto"/>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2"/>
          <w:sz w:val="32"/>
          <w:szCs w:val="32"/>
          <w:u w:val="none" w:color="auto"/>
          <w:lang w:val="zh-CN" w:eastAsia="zh-CN" w:bidi="ar-SA"/>
          <w14:textFill>
            <w14:solidFill>
              <w14:schemeClr w14:val="tx1"/>
            </w14:solidFill>
          </w14:textFill>
        </w:rPr>
        <w:t>一是健全公共法律服务体系。</w:t>
      </w:r>
      <w:r>
        <w:rPr>
          <w:rFonts w:hint="eastAsia" w:ascii="仿宋_GB2312" w:hAnsi="仿宋_GB2312" w:eastAsia="仿宋_GB2312" w:cs="仿宋_GB2312"/>
          <w:i w:val="0"/>
          <w:iCs w:val="0"/>
          <w:color w:val="000000" w:themeColor="text1"/>
          <w:sz w:val="32"/>
          <w:szCs w:val="32"/>
          <w:u w:val="none" w:color="auto"/>
          <w:lang w:val="zh-CN" w:eastAsia="zh-CN"/>
          <w14:textFill>
            <w14:solidFill>
              <w14:schemeClr w14:val="tx1"/>
            </w14:solidFill>
          </w14:textFill>
        </w:rPr>
        <w:t>编制全省“十四五”公共法律服务体系建设规划，建成基层公共法律服务中心（站、室）39542个，</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上线运行新版“12348四川法网”</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三大平台</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共提供接待咨询服务</w:t>
      </w:r>
      <w:r>
        <w:rPr>
          <w:rFonts w:hint="eastAsia" w:ascii="仿宋_GB2312" w:hAnsi="仿宋_GB2312" w:eastAsia="仿宋_GB2312" w:cs="仿宋_GB2312"/>
          <w:i w:val="0"/>
          <w:iCs w:val="0"/>
          <w:color w:val="000000" w:themeColor="text1"/>
          <w:sz w:val="32"/>
          <w:szCs w:val="32"/>
          <w:u w:val="none" w:color="auto"/>
          <w:lang w:val="en-US" w:eastAsia="zh-CN"/>
          <w14:textFill>
            <w14:solidFill>
              <w14:schemeClr w14:val="tx1"/>
            </w14:solidFill>
          </w14:textFill>
        </w:rPr>
        <w:t>86</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万</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人次。积极拓展公共法律服务领域，搭建知识产权协同保护“一站式”平台和金融消费纠纷非诉机制</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。律师、公证、仲裁、司法鉴定行业健康发展。</w:t>
      </w:r>
    </w:p>
    <w:p>
      <w:pPr>
        <w:pStyle w:val="7"/>
        <w:keepNext w:val="0"/>
        <w:keepLines w:val="0"/>
        <w:pageBreakBefore w:val="0"/>
        <w:widowControl w:val="0"/>
        <w:kinsoku/>
        <w:wordWrap/>
        <w:overflowPunct/>
        <w:topLinePunct w:val="0"/>
        <w:autoSpaceDE/>
        <w:autoSpaceDN/>
        <w:bidi w:val="0"/>
        <w:adjustRightInd/>
        <w:spacing w:line="600" w:lineRule="exact"/>
        <w:ind w:left="0" w:leftChars="0" w:firstLine="640" w:firstLineChars="200"/>
        <w:jc w:val="both"/>
        <w:textAlignment w:val="auto"/>
        <w:rPr>
          <w:rFonts w:hint="eastAsia" w:ascii="仿宋_GB2312" w:hAnsi="仿宋_GB2312" w:eastAsia="仿宋_GB2312" w:cs="仿宋_GB2312"/>
          <w:i w:val="0"/>
          <w:iCs w:val="0"/>
          <w:color w:val="000000" w:themeColor="text1"/>
          <w:sz w:val="32"/>
          <w:szCs w:val="32"/>
          <w:u w:val="none" w:color="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2"/>
          <w:sz w:val="32"/>
          <w:szCs w:val="32"/>
          <w:u w:val="none" w:color="auto"/>
          <w:lang w:val="zh-CN" w:eastAsia="zh-CN" w:bidi="ar-SA"/>
          <w14:textFill>
            <w14:solidFill>
              <w14:schemeClr w14:val="tx1"/>
            </w14:solidFill>
          </w14:textFill>
        </w:rPr>
        <w:t>二是抓实法律援助民生实事。</w:t>
      </w:r>
      <w:r>
        <w:rPr>
          <w:rFonts w:hint="eastAsia" w:ascii="仿宋_GB2312" w:hAnsi="仿宋_GB2312" w:eastAsia="仿宋_GB2312" w:cs="仿宋_GB2312"/>
          <w:i w:val="0"/>
          <w:iCs w:val="0"/>
          <w:color w:val="000000" w:themeColor="text1"/>
          <w:sz w:val="32"/>
          <w:szCs w:val="32"/>
          <w:u w:val="none" w:color="auto"/>
          <w:lang w:val="zh-CN" w:eastAsia="zh-CN"/>
          <w14:textFill>
            <w14:solidFill>
              <w14:schemeClr w14:val="tx1"/>
            </w14:solidFill>
          </w14:textFill>
        </w:rPr>
        <w:t>推</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动将法律援助纳入</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全省</w:t>
      </w:r>
      <w:r>
        <w:rPr>
          <w:rFonts w:hint="eastAsia" w:ascii="仿宋_GB2312" w:hAnsi="仿宋_GB2312" w:eastAsia="仿宋_GB2312" w:cs="仿宋_GB2312"/>
          <w:i w:val="0"/>
          <w:iCs w:val="0"/>
          <w:color w:val="000000" w:themeColor="text1"/>
          <w:sz w:val="32"/>
          <w:szCs w:val="32"/>
          <w:u w:val="none" w:color="auto"/>
          <w:lang w:val="en-US" w:eastAsia="zh-CN"/>
          <w14:textFill>
            <w14:solidFill>
              <w14:schemeClr w14:val="tx1"/>
            </w14:solidFill>
          </w14:textFill>
        </w:rPr>
        <w:t>30件</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民生实事，</w:t>
      </w:r>
      <w:r>
        <w:rPr>
          <w:rFonts w:hint="eastAsia" w:ascii="仿宋_GB2312" w:hAnsi="仿宋_GB2312" w:eastAsia="仿宋_GB2312" w:cs="仿宋_GB2312"/>
          <w:i w:val="0"/>
          <w:iCs w:val="0"/>
          <w:color w:val="000000" w:themeColor="text1"/>
          <w:sz w:val="32"/>
          <w:szCs w:val="32"/>
          <w:u w:val="none" w:color="auto"/>
          <w:lang w:val="en-US" w:eastAsia="zh-CN"/>
          <w14:textFill>
            <w14:solidFill>
              <w14:schemeClr w14:val="tx1"/>
            </w14:solidFill>
          </w14:textFill>
        </w:rPr>
        <w:t>出台</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刑事、民事、行政法律援助案件质量评估标准，累计办理法律援助案件</w:t>
      </w:r>
      <w:r>
        <w:rPr>
          <w:rFonts w:hint="eastAsia" w:ascii="仿宋_GB2312" w:hAnsi="仿宋_GB2312" w:eastAsia="仿宋_GB2312" w:cs="仿宋_GB2312"/>
          <w:i w:val="0"/>
          <w:iCs w:val="0"/>
          <w:color w:val="000000" w:themeColor="text1"/>
          <w:sz w:val="32"/>
          <w:szCs w:val="32"/>
          <w:u w:val="none" w:color="auto"/>
          <w:lang w:val="en-US" w:eastAsia="zh-CN"/>
          <w14:textFill>
            <w14:solidFill>
              <w14:schemeClr w14:val="tx1"/>
            </w14:solidFill>
          </w14:textFill>
        </w:rPr>
        <w:t>6.3</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万余件，</w:t>
      </w:r>
      <w:r>
        <w:rPr>
          <w:rFonts w:hint="eastAsia" w:ascii="仿宋_GB2312" w:hAnsi="仿宋_GB2312" w:eastAsia="仿宋_GB2312" w:cs="仿宋_GB2312"/>
          <w:i w:val="0"/>
          <w:iCs w:val="0"/>
          <w:color w:val="000000" w:themeColor="text1"/>
          <w:sz w:val="32"/>
          <w:szCs w:val="32"/>
          <w:u w:val="none" w:color="auto"/>
          <w:lang w:val="en-US" w:eastAsia="zh-CN"/>
          <w14:textFill>
            <w14:solidFill>
              <w14:schemeClr w14:val="tx1"/>
            </w14:solidFill>
          </w14:textFill>
        </w:rPr>
        <w:t>民事法援案件优良率排名全国第二。积极参与“春风行动”，开展“尊法守法・携手筑梦”服务农民工公益法律服务行动，累计为农民工讨回欠薪、挽回经济损失4.6亿余元。</w:t>
      </w:r>
    </w:p>
    <w:p>
      <w:pPr>
        <w:pStyle w:val="7"/>
        <w:keepNext w:val="0"/>
        <w:keepLines w:val="0"/>
        <w:pageBreakBefore w:val="0"/>
        <w:widowControl w:val="0"/>
        <w:kinsoku/>
        <w:wordWrap/>
        <w:overflowPunct/>
        <w:topLinePunct w:val="0"/>
        <w:autoSpaceDE/>
        <w:autoSpaceDN/>
        <w:bidi w:val="0"/>
        <w:adjustRightInd/>
        <w:spacing w:line="600" w:lineRule="exact"/>
        <w:ind w:left="0" w:leftChars="0" w:firstLine="640" w:firstLineChars="200"/>
        <w:jc w:val="both"/>
        <w:textAlignment w:val="auto"/>
        <w:rPr>
          <w:rFonts w:hint="eastAsia" w:ascii="仿宋_GB2312" w:hAnsi="仿宋_GB2312" w:eastAsia="仿宋_GB2312" w:cs="仿宋_GB2312"/>
          <w:i w:val="0"/>
          <w:iCs w:val="0"/>
          <w:color w:val="000000" w:themeColor="text1"/>
          <w:sz w:val="32"/>
          <w:szCs w:val="32"/>
          <w:u w:val="none" w:color="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2"/>
          <w:sz w:val="32"/>
          <w:szCs w:val="32"/>
          <w:u w:val="none" w:color="auto"/>
          <w:lang w:val="en-US" w:eastAsia="zh-CN" w:bidi="ar-SA"/>
          <w14:textFill>
            <w14:solidFill>
              <w14:schemeClr w14:val="tx1"/>
            </w14:solidFill>
          </w14:textFill>
        </w:rPr>
        <w:t>三是圆满完成“法考”工作。</w:t>
      </w:r>
      <w:r>
        <w:rPr>
          <w:rFonts w:hint="eastAsia" w:ascii="仿宋_GB2312" w:hAnsi="仿宋_GB2312" w:eastAsia="仿宋_GB2312" w:cs="仿宋_GB2312"/>
          <w:i w:val="0"/>
          <w:iCs w:val="0"/>
          <w:color w:val="000000" w:themeColor="text1"/>
          <w:sz w:val="32"/>
          <w:szCs w:val="32"/>
          <w:u w:val="none" w:color="auto"/>
          <w:lang w:val="en-US" w:eastAsia="zh-CN"/>
          <w14:textFill>
            <w14:solidFill>
              <w14:schemeClr w14:val="tx1"/>
            </w14:solidFill>
          </w14:textFill>
        </w:rPr>
        <w:t>有力应对点状疫情突发影响，印发《法考突发情况处置培训实施方案》《四川省2021年国家统一法律职业资格考试新冠肺炎疫情防控工作方案》，编制全流程26项工作导引，高质量完成年度组考任务，受到司法部肯定。</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jc w:val="both"/>
        <w:textAlignment w:val="auto"/>
        <w:rPr>
          <w:rFonts w:hint="eastAsia" w:ascii="仿宋_GB2312" w:hAnsi="仿宋_GB2312" w:eastAsia="仿宋_GB2312" w:cs="仿宋_GB2312"/>
          <w:b w:val="0"/>
          <w:bCs w:val="0"/>
          <w:i w:val="0"/>
          <w:iCs w:val="0"/>
          <w:color w:val="000000" w:themeColor="text1"/>
          <w:spacing w:val="-4"/>
          <w:sz w:val="32"/>
          <w:szCs w:val="32"/>
          <w:u w:val="none" w:color="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pacing w:val="-4"/>
          <w:sz w:val="32"/>
          <w:szCs w:val="32"/>
          <w:u w:val="none" w:color="auto"/>
          <w:lang w:val="en-US" w:eastAsia="zh-CN"/>
          <w14:textFill>
            <w14:solidFill>
              <w14:schemeClr w14:val="tx1"/>
            </w14:solidFill>
          </w14:textFill>
        </w:rPr>
        <w:t>7.全面加强班子队伍建设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olor w:val="000000" w:themeColor="text1"/>
          <w:spacing w:val="-4"/>
          <w:sz w:val="32"/>
          <w:szCs w:val="32"/>
          <w:u w:val="none" w:color="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2"/>
          <w:sz w:val="32"/>
          <w:szCs w:val="32"/>
          <w:u w:val="none" w:color="auto"/>
          <w:lang w:val="en-US" w:eastAsia="zh-CN" w:bidi="ar-SA"/>
          <w14:textFill>
            <w14:solidFill>
              <w14:schemeClr w14:val="tx1"/>
            </w14:solidFill>
          </w14:textFill>
        </w:rPr>
        <w:t>一是深入开展党史学习教育。</w:t>
      </w:r>
      <w:r>
        <w:rPr>
          <w:rFonts w:hint="eastAsia" w:ascii="仿宋_GB2312" w:hAnsi="仿宋_GB2312" w:eastAsia="仿宋_GB2312" w:cs="仿宋_GB2312"/>
          <w:b w:val="0"/>
          <w:bCs w:val="0"/>
          <w:i w:val="0"/>
          <w:iCs w:val="0"/>
          <w:color w:val="000000" w:themeColor="text1"/>
          <w:spacing w:val="-4"/>
          <w:sz w:val="32"/>
          <w:szCs w:val="32"/>
          <w:u w:val="none" w:color="auto"/>
          <w:lang w:val="en-US" w:eastAsia="zh-CN"/>
          <w14:textFill>
            <w14:solidFill>
              <w14:schemeClr w14:val="tx1"/>
            </w14:solidFill>
          </w14:textFill>
        </w:rPr>
        <w:t>聚焦“</w:t>
      </w:r>
      <w:r>
        <w:rPr>
          <w:rFonts w:hint="eastAsia" w:ascii="仿宋_GB2312" w:hAnsi="仿宋_GB2312" w:eastAsia="仿宋_GB2312" w:cs="仿宋_GB2312"/>
          <w:b w:val="0"/>
          <w:bCs w:val="0"/>
          <w:i w:val="0"/>
          <w:iCs w:val="0"/>
          <w:color w:val="000000" w:themeColor="text1"/>
          <w:spacing w:val="-4"/>
          <w:sz w:val="32"/>
          <w:szCs w:val="32"/>
          <w:u w:val="none" w:color="auto"/>
          <w:lang w:val="en-US" w:eastAsia="zh-CN"/>
          <w14:textFill>
            <w14:solidFill>
              <w14:schemeClr w14:val="tx1"/>
            </w14:solidFill>
          </w14:textFill>
        </w:rPr>
        <w:fldChar w:fldCharType="begin"/>
      </w:r>
      <w:r>
        <w:rPr>
          <w:rFonts w:hint="eastAsia" w:ascii="仿宋_GB2312" w:hAnsi="仿宋_GB2312" w:eastAsia="仿宋_GB2312" w:cs="仿宋_GB2312"/>
          <w:b w:val="0"/>
          <w:bCs w:val="0"/>
          <w:i w:val="0"/>
          <w:iCs w:val="0"/>
          <w:color w:val="000000" w:themeColor="text1"/>
          <w:spacing w:val="-4"/>
          <w:sz w:val="32"/>
          <w:szCs w:val="32"/>
          <w:u w:val="none" w:color="auto"/>
          <w:lang w:val="en-US" w:eastAsia="zh-CN"/>
          <w14:textFill>
            <w14:solidFill>
              <w14:schemeClr w14:val="tx1"/>
            </w14:solidFill>
          </w14:textFill>
        </w:rPr>
        <w:instrText xml:space="preserve"> HYPERLINK "https://www.so.com/link?m=bEBpWt3UP+GmXHe164rPQZBaaobXjFyv7IRirRXsfiuo/W2swcTM7yaKaSk9SWBw7bXHO0vpyQAjfVTpaNUEzRVpTtpeBhWAFWXVSNhn9YWfLMtcUWS9UM2p9uxNteOULD21bSfS6mI534j83XjAQL4GqZPwRgcIIqdkjmPfFeC5fTDs9CJU6+hOl6RpHl6Bwn4I2KCwXmroIZ8GLuIEV4v/64m/MZKPe" \t "https://www.so.com/_blank" </w:instrText>
      </w:r>
      <w:r>
        <w:rPr>
          <w:rFonts w:hint="eastAsia" w:ascii="仿宋_GB2312" w:hAnsi="仿宋_GB2312" w:eastAsia="仿宋_GB2312" w:cs="仿宋_GB2312"/>
          <w:b w:val="0"/>
          <w:bCs w:val="0"/>
          <w:i w:val="0"/>
          <w:iCs w:val="0"/>
          <w:color w:val="000000" w:themeColor="text1"/>
          <w:spacing w:val="-4"/>
          <w:sz w:val="32"/>
          <w:szCs w:val="32"/>
          <w:u w:val="none" w:color="auto"/>
          <w:lang w:val="en-US" w:eastAsia="zh-CN"/>
          <w14:textFill>
            <w14:solidFill>
              <w14:schemeClr w14:val="tx1"/>
            </w14:solidFill>
          </w14:textFill>
        </w:rPr>
        <w:fldChar w:fldCharType="separate"/>
      </w:r>
      <w:r>
        <w:rPr>
          <w:rFonts w:hint="eastAsia" w:ascii="仿宋_GB2312" w:hAnsi="仿宋_GB2312" w:eastAsia="仿宋_GB2312" w:cs="仿宋_GB2312"/>
          <w:b w:val="0"/>
          <w:bCs w:val="0"/>
          <w:i w:val="0"/>
          <w:iCs w:val="0"/>
          <w:color w:val="000000" w:themeColor="text1"/>
          <w:spacing w:val="-4"/>
          <w:sz w:val="32"/>
          <w:szCs w:val="32"/>
          <w:u w:val="none" w:color="auto"/>
          <w:lang w:val="en-US" w:eastAsia="zh-CN"/>
          <w14:textFill>
            <w14:solidFill>
              <w14:schemeClr w14:val="tx1"/>
            </w14:solidFill>
          </w14:textFill>
        </w:rPr>
        <w:t>学党史、悟思想、办实事、开新局</w:t>
      </w:r>
      <w:r>
        <w:rPr>
          <w:rFonts w:hint="eastAsia" w:ascii="仿宋_GB2312" w:hAnsi="仿宋_GB2312" w:eastAsia="仿宋_GB2312" w:cs="仿宋_GB2312"/>
          <w:b w:val="0"/>
          <w:bCs w:val="0"/>
          <w:i w:val="0"/>
          <w:iCs w:val="0"/>
          <w:color w:val="000000" w:themeColor="text1"/>
          <w:spacing w:val="-4"/>
          <w:sz w:val="32"/>
          <w:szCs w:val="32"/>
          <w:u w:val="none" w:color="auto"/>
          <w:lang w:val="en-US" w:eastAsia="zh-CN"/>
          <w14:textFill>
            <w14:solidFill>
              <w14:schemeClr w14:val="tx1"/>
            </w14:solidFill>
          </w14:textFill>
        </w:rPr>
        <w:fldChar w:fldCharType="end"/>
      </w:r>
      <w:r>
        <w:rPr>
          <w:rFonts w:hint="eastAsia" w:ascii="仿宋_GB2312" w:hAnsi="仿宋_GB2312" w:eastAsia="仿宋_GB2312" w:cs="仿宋_GB2312"/>
          <w:b w:val="0"/>
          <w:bCs w:val="0"/>
          <w:i w:val="0"/>
          <w:iCs w:val="0"/>
          <w:color w:val="000000" w:themeColor="text1"/>
          <w:spacing w:val="-4"/>
          <w:sz w:val="32"/>
          <w:szCs w:val="32"/>
          <w:u w:val="none" w:color="auto"/>
          <w:lang w:val="en-US" w:eastAsia="zh-CN"/>
          <w14:textFill>
            <w14:solidFill>
              <w14:schemeClr w14:val="tx1"/>
            </w14:solidFill>
          </w14:textFill>
        </w:rPr>
        <w:t>”，以学习习近平总书记“七一”重要讲话精神、党的十九届六中全会精神、“四史”专题学习为重点，组织开展“八个100”主题活动，创新推出“1+4”专题课程、“12+12”网络课程、“1+8”网络微课程，累计参学2.5万人。创新实施“我为群众办实事十心工程”，完成民生事项179项，为群众办实事11万余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olor w:val="000000" w:themeColor="text1"/>
          <w:spacing w:val="-4"/>
          <w:sz w:val="32"/>
          <w:szCs w:val="32"/>
          <w:u w:val="none" w:color="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2"/>
          <w:sz w:val="32"/>
          <w:szCs w:val="32"/>
          <w:u w:val="none" w:color="auto"/>
          <w:lang w:val="en-US" w:eastAsia="zh-CN" w:bidi="ar-SA"/>
          <w14:textFill>
            <w14:solidFill>
              <w14:schemeClr w14:val="tx1"/>
            </w14:solidFill>
          </w14:textFill>
        </w:rPr>
        <w:t>二是扎实开展队伍教育整顿。</w:t>
      </w:r>
      <w:r>
        <w:rPr>
          <w:rFonts w:hint="eastAsia" w:ascii="仿宋_GB2312" w:hAnsi="仿宋_GB2312" w:eastAsia="仿宋_GB2312" w:cs="仿宋_GB2312"/>
          <w:b w:val="0"/>
          <w:bCs w:val="0"/>
          <w:i w:val="0"/>
          <w:iCs w:val="0"/>
          <w:color w:val="000000" w:themeColor="text1"/>
          <w:spacing w:val="-4"/>
          <w:sz w:val="32"/>
          <w:szCs w:val="32"/>
          <w:u w:val="none" w:color="auto"/>
          <w:lang w:val="en-US" w:eastAsia="zh-CN"/>
          <w14:textFill>
            <w14:solidFill>
              <w14:schemeClr w14:val="tx1"/>
            </w14:solidFill>
          </w14:textFill>
        </w:rPr>
        <w:t>以政法队伍教育整顿为牵引，一体推进律师、公证和司法鉴定行业专项治理。坚决肃清流毒影响，清除害群之马，排查整改顽瘴痼疾3610个，建立健全各项制度1667项，搭建起覆盖全业务的岗位风险防控体系。通过教育整顿，全系统政治生态进一步优化、纪律作风进一步好转、素质能力进一步增强、执法司法公信力进一步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olor w:val="000000" w:themeColor="text1"/>
          <w:spacing w:val="-4"/>
          <w:sz w:val="32"/>
          <w:szCs w:val="32"/>
          <w:u w:val="none" w:color="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2"/>
          <w:sz w:val="32"/>
          <w:szCs w:val="32"/>
          <w:u w:val="none" w:color="auto"/>
          <w:lang w:val="en-US" w:eastAsia="zh-CN" w:bidi="ar-SA"/>
          <w14:textFill>
            <w14:solidFill>
              <w14:schemeClr w14:val="tx1"/>
            </w14:solidFill>
          </w14:textFill>
        </w:rPr>
        <w:t>三是全面从严治党管警。</w:t>
      </w:r>
      <w:r>
        <w:rPr>
          <w:rFonts w:hint="eastAsia" w:ascii="仿宋_GB2312" w:hAnsi="仿宋_GB2312" w:eastAsia="仿宋_GB2312" w:cs="仿宋_GB2312"/>
          <w:b w:val="0"/>
          <w:bCs w:val="0"/>
          <w:i w:val="0"/>
          <w:iCs w:val="0"/>
          <w:color w:val="000000" w:themeColor="text1"/>
          <w:spacing w:val="-4"/>
          <w:sz w:val="32"/>
          <w:szCs w:val="32"/>
          <w:u w:val="none" w:color="auto"/>
          <w:lang w:val="en-US" w:eastAsia="zh-CN"/>
          <w14:textFill>
            <w14:solidFill>
              <w14:schemeClr w14:val="tx1"/>
            </w14:solidFill>
          </w14:textFill>
        </w:rPr>
        <w:t>研究制定全省司法行政领导班子建设规划，制发机关纪律作风“十严格十严禁”、机关干警“八小时外”监督管理办法、暖警爱警“十条措施”，编制岗位风险防控管理工作手册，构建“严管厚爱”的制度机制。健全完善政治轮训实施细则，分层分类开展政治轮训36710人次。</w:t>
      </w:r>
      <w:r>
        <w:rPr>
          <w:rFonts w:hint="eastAsia" w:ascii="仿宋_GB2312" w:hAnsi="仿宋_GB2312" w:eastAsia="仿宋_GB2312" w:cs="仿宋_GB2312"/>
          <w:b w:val="0"/>
          <w:bCs w:val="0"/>
          <w:i w:val="0"/>
          <w:iCs w:val="0"/>
          <w:color w:val="000000" w:themeColor="text1"/>
          <w:sz w:val="32"/>
          <w:szCs w:val="32"/>
          <w:u w:val="none" w:color="auto"/>
          <w:lang w:val="en-US" w:eastAsia="zh-CN"/>
          <w14:textFill>
            <w14:solidFill>
              <w14:schemeClr w14:val="tx1"/>
            </w14:solidFill>
          </w14:textFill>
        </w:rPr>
        <w:t>全年</w:t>
      </w:r>
      <w:r>
        <w:rPr>
          <w:rFonts w:hint="eastAsia" w:ascii="仿宋_GB2312" w:hAnsi="仿宋_GB2312" w:eastAsia="仿宋_GB2312" w:cs="仿宋_GB2312"/>
          <w:b w:val="0"/>
          <w:bCs w:val="0"/>
          <w:i w:val="0"/>
          <w:iCs w:val="0"/>
          <w:color w:val="000000" w:themeColor="text1"/>
          <w:sz w:val="32"/>
          <w:szCs w:val="32"/>
          <w:u w:val="none" w:color="auto"/>
          <w:lang w:val="zh-CN" w:eastAsia="zh-CN"/>
          <w14:textFill>
            <w14:solidFill>
              <w14:schemeClr w14:val="tx1"/>
            </w14:solidFill>
          </w14:textFill>
        </w:rPr>
        <w:t>全系统</w:t>
      </w:r>
      <w:r>
        <w:rPr>
          <w:rFonts w:hint="eastAsia" w:ascii="仿宋_GB2312" w:hAnsi="仿宋_GB2312" w:eastAsia="仿宋_GB2312" w:cs="仿宋_GB2312"/>
          <w:b w:val="0"/>
          <w:bCs w:val="0"/>
          <w:i w:val="0"/>
          <w:iCs w:val="0"/>
          <w:color w:val="000000" w:themeColor="text1"/>
          <w:sz w:val="32"/>
          <w:szCs w:val="32"/>
          <w:u w:val="none" w:color="auto"/>
          <w:lang w:val="en-US" w:eastAsia="zh-CN"/>
          <w14:textFill>
            <w14:solidFill>
              <w14:schemeClr w14:val="tx1"/>
            </w14:solidFill>
          </w14:textFill>
        </w:rPr>
        <w:t>2</w:t>
      </w:r>
      <w:r>
        <w:rPr>
          <w:rFonts w:hint="eastAsia" w:ascii="仿宋_GB2312" w:hAnsi="仿宋_GB2312" w:eastAsia="仿宋_GB2312" w:cs="仿宋_GB2312"/>
          <w:i w:val="0"/>
          <w:iCs w:val="0"/>
          <w:color w:val="000000" w:themeColor="text1"/>
          <w:sz w:val="32"/>
          <w:szCs w:val="40"/>
          <w:u w:val="none" w:color="auto"/>
          <w:lang w:val="en-US" w:eastAsia="zh-CN"/>
          <w14:textFill>
            <w14:solidFill>
              <w14:schemeClr w14:val="tx1"/>
            </w14:solidFill>
          </w14:textFill>
        </w:rPr>
        <w:t>06个集体、663名个人获得省部级及以上表彰表扬和记功奖励。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0"/>
        <w:jc w:val="both"/>
        <w:textAlignment w:val="auto"/>
        <w:rPr>
          <w:rFonts w:hint="eastAsia" w:ascii="仿宋_GB2312" w:hAnsi="仿宋_GB2312" w:eastAsia="仿宋_GB2312" w:cs="仿宋_GB2312"/>
          <w:bCs/>
          <w:i w:val="0"/>
          <w:iCs w:val="0"/>
          <w:color w:val="000000" w:themeColor="text1"/>
          <w:sz w:val="32"/>
          <w:szCs w:val="32"/>
          <w:highlight w:val="none"/>
          <w:u w:val="none" w:color="auto"/>
          <w14:textFill>
            <w14:solidFill>
              <w14:schemeClr w14:val="tx1"/>
            </w14:solidFill>
          </w14:textFill>
        </w:rPr>
      </w:pPr>
      <w:r>
        <w:rPr>
          <w:rFonts w:hint="eastAsia" w:ascii="仿宋_GB2312" w:hAnsi="仿宋_GB2312" w:eastAsia="仿宋_GB2312" w:cs="仿宋_GB2312"/>
          <w:b w:val="0"/>
          <w:bCs w:val="0"/>
          <w:i w:val="0"/>
          <w:iCs w:val="0"/>
          <w:color w:val="000000" w:themeColor="text1"/>
          <w:sz w:val="32"/>
          <w:szCs w:val="32"/>
          <w:u w:val="none" w:color="auto"/>
          <w:lang w:val="en-US" w:eastAsia="zh-CN"/>
          <w14:textFill>
            <w14:solidFill>
              <w14:schemeClr w14:val="tx1"/>
            </w14:solidFill>
          </w14:textFill>
        </w:rPr>
        <w:t>2022年是全面落实“十四五”规划的关键之年，也是全省司法行政系统“五年三步走”的发展跨越之年。司法厅将牢牢把握“稳字当头、稳中求进”的工作主基调，围绕贯彻省委、省政府决策部署，“重落实、善督导，强聚合、抓集成，促跨越、争一流”，全面加强思想政治建设，全面贯彻落实法治建设系列规划，全面提升多元解纷协同能力，助推建设更高水平法治四川、平安四川，以优异成绩向党的二十大献礼。</w:t>
      </w:r>
    </w:p>
    <w:p>
      <w:pPr>
        <w:pStyle w:val="2"/>
        <w:keepNext w:val="0"/>
        <w:keepLines w:val="0"/>
        <w:pageBreakBefore w:val="0"/>
        <w:widowControl w:val="0"/>
        <w:kinsoku/>
        <w:wordWrap/>
        <w:overflowPunct/>
        <w:topLinePunct w:val="0"/>
        <w:autoSpaceDE/>
        <w:autoSpaceDN/>
        <w:bidi w:val="0"/>
        <w:spacing w:before="0" w:after="0" w:line="600" w:lineRule="exact"/>
        <w:ind w:firstLine="640" w:firstLineChars="200"/>
        <w:jc w:val="both"/>
        <w:rPr>
          <w:rStyle w:val="27"/>
          <w:rFonts w:hint="eastAsia" w:ascii="黑体" w:hAnsi="黑体" w:eastAsia="黑体" w:cs="黑体"/>
          <w:b w:val="0"/>
          <w:bCs w:val="0"/>
          <w:i w:val="0"/>
          <w:iCs w:val="0"/>
          <w:color w:val="000000" w:themeColor="text1"/>
          <w:highlight w:val="none"/>
          <w:u w:val="none" w:color="auto"/>
          <w14:textFill>
            <w14:solidFill>
              <w14:schemeClr w14:val="tx1"/>
            </w14:solidFill>
          </w14:textFill>
        </w:rPr>
      </w:pPr>
      <w:bookmarkStart w:id="20" w:name="_Toc15396601"/>
      <w:bookmarkStart w:id="21" w:name="_Toc15377200"/>
      <w:r>
        <w:rPr>
          <w:rFonts w:hint="eastAsia" w:ascii="黑体" w:hAnsi="黑体" w:eastAsia="黑体" w:cs="黑体"/>
          <w:b w:val="0"/>
          <w:i w:val="0"/>
          <w:iCs w:val="0"/>
          <w:color w:val="000000" w:themeColor="text1"/>
          <w:highlight w:val="none"/>
          <w:u w:val="none" w:color="auto"/>
          <w14:textFill>
            <w14:solidFill>
              <w14:schemeClr w14:val="tx1"/>
            </w14:solidFill>
          </w14:textFill>
        </w:rPr>
        <w:t>二、机</w:t>
      </w:r>
      <w:r>
        <w:rPr>
          <w:rStyle w:val="27"/>
          <w:rFonts w:hint="eastAsia" w:ascii="黑体" w:hAnsi="黑体" w:eastAsia="黑体" w:cs="黑体"/>
          <w:b w:val="0"/>
          <w:bCs w:val="0"/>
          <w:i w:val="0"/>
          <w:iCs w:val="0"/>
          <w:color w:val="000000" w:themeColor="text1"/>
          <w:highlight w:val="none"/>
          <w:u w:val="none" w:color="auto"/>
          <w14:textFill>
            <w14:solidFill>
              <w14:schemeClr w14:val="tx1"/>
            </w14:solidFill>
          </w14:textFill>
        </w:rPr>
        <w:t>构设置</w:t>
      </w:r>
      <w:bookmarkEnd w:id="20"/>
      <w:bookmarkEnd w:id="21"/>
    </w:p>
    <w:p>
      <w:pPr>
        <w:keepNext w:val="0"/>
        <w:keepLines w:val="0"/>
        <w:pageBreakBefore w:val="0"/>
        <w:widowControl w:val="0"/>
        <w:numPr>
          <w:ilvl w:val="0"/>
          <w:numId w:val="0"/>
        </w:numPr>
        <w:shd w:val="clear" w:color="auto" w:fill="FFFFFF"/>
        <w:kinsoku/>
        <w:wordWrap/>
        <w:overflowPunct/>
        <w:topLinePunct w:val="0"/>
        <w:autoSpaceDE/>
        <w:autoSpaceDN/>
        <w:bidi w:val="0"/>
        <w:spacing w:line="600" w:lineRule="exact"/>
        <w:ind w:firstLine="640" w:firstLineChars="200"/>
        <w:jc w:val="both"/>
        <w:rPr>
          <w:rFonts w:hint="eastAsia" w:ascii="仿宋_GB2312" w:hAnsi="仿宋_GB2312" w:eastAsia="仿宋_GB2312" w:cs="仿宋_GB2312"/>
          <w:i w:val="0"/>
          <w:iCs w:val="0"/>
          <w:color w:val="000000" w:themeColor="text1"/>
          <w:sz w:val="32"/>
          <w:szCs w:val="30"/>
          <w:u w:val="none" w:color="auto"/>
          <w:lang w:val="en-GB" w:eastAsia="zh-CN"/>
          <w14:textFill>
            <w14:solidFill>
              <w14:schemeClr w14:val="tx1"/>
            </w14:solidFill>
          </w14:textFill>
        </w:rPr>
      </w:pPr>
      <w:r>
        <w:rPr>
          <w:rFonts w:hint="eastAsia" w:ascii="仿宋_GB2312" w:hAnsi="仿宋_GB2312" w:eastAsia="仿宋_GB2312" w:cs="仿宋_GB2312"/>
          <w:i w:val="0"/>
          <w:iCs w:val="0"/>
          <w:color w:val="000000" w:themeColor="text1"/>
          <w:sz w:val="32"/>
          <w:szCs w:val="30"/>
          <w:u w:val="none" w:color="auto"/>
          <w:lang w:val="en-GB"/>
          <w14:textFill>
            <w14:solidFill>
              <w14:schemeClr w14:val="tx1"/>
            </w14:solidFill>
          </w14:textFill>
        </w:rPr>
        <w:t>四川省司法厅</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下属二级预算单位</w:t>
      </w:r>
      <w:r>
        <w:rPr>
          <w:rFonts w:hint="eastAsia" w:ascii="仿宋_GB2312" w:hAnsi="仿宋_GB2312" w:eastAsia="仿宋_GB2312" w:cs="仿宋_GB2312"/>
          <w:bCs/>
          <w:i w:val="0"/>
          <w:iCs w:val="0"/>
          <w:color w:val="000000" w:themeColor="text1"/>
          <w:sz w:val="32"/>
          <w:szCs w:val="32"/>
          <w:u w:val="none" w:color="auto"/>
          <w:lang w:val="en-US" w:eastAsia="zh-CN"/>
          <w14:textFill>
            <w14:solidFill>
              <w14:schemeClr w14:val="tx1"/>
            </w14:solidFill>
          </w14:textFill>
        </w:rPr>
        <w:t>4</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个，其中行政单位</w:t>
      </w:r>
      <w:r>
        <w:rPr>
          <w:rFonts w:hint="eastAsia" w:ascii="仿宋_GB2312" w:hAnsi="仿宋_GB2312" w:eastAsia="仿宋_GB2312" w:cs="仿宋_GB2312"/>
          <w:bCs/>
          <w:i w:val="0"/>
          <w:iCs w:val="0"/>
          <w:color w:val="000000" w:themeColor="text1"/>
          <w:sz w:val="32"/>
          <w:szCs w:val="32"/>
          <w:u w:val="none" w:color="auto"/>
          <w:lang w:val="en-US" w:eastAsia="zh-CN"/>
          <w14:textFill>
            <w14:solidFill>
              <w14:schemeClr w14:val="tx1"/>
            </w14:solidFill>
          </w14:textFill>
        </w:rPr>
        <w:t>2</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个，参照公务员法管理的</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行政事业单位</w:t>
      </w:r>
      <w:r>
        <w:rPr>
          <w:rFonts w:hint="eastAsia" w:ascii="仿宋_GB2312" w:hAnsi="仿宋_GB2312" w:eastAsia="仿宋_GB2312" w:cs="仿宋_GB2312"/>
          <w:bCs/>
          <w:i w:val="0"/>
          <w:iCs w:val="0"/>
          <w:color w:val="000000" w:themeColor="text1"/>
          <w:sz w:val="32"/>
          <w:szCs w:val="32"/>
          <w:u w:val="none" w:color="auto"/>
          <w:lang w:val="en-US" w:eastAsia="zh-CN"/>
          <w14:textFill>
            <w14:solidFill>
              <w14:schemeClr w14:val="tx1"/>
            </w14:solidFill>
          </w14:textFill>
        </w:rPr>
        <w:t>1</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个，其他</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行政事业单位</w:t>
      </w:r>
      <w:r>
        <w:rPr>
          <w:rFonts w:hint="eastAsia" w:ascii="仿宋_GB2312" w:hAnsi="仿宋_GB2312" w:eastAsia="仿宋_GB2312" w:cs="仿宋_GB2312"/>
          <w:bCs/>
          <w:i w:val="0"/>
          <w:iCs w:val="0"/>
          <w:color w:val="000000" w:themeColor="text1"/>
          <w:sz w:val="32"/>
          <w:szCs w:val="32"/>
          <w:u w:val="none" w:color="auto"/>
          <w:lang w:val="en-US" w:eastAsia="zh-CN"/>
          <w14:textFill>
            <w14:solidFill>
              <w14:schemeClr w14:val="tx1"/>
            </w14:solidFill>
          </w14:textFill>
        </w:rPr>
        <w:t>1</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个。</w:t>
      </w:r>
    </w:p>
    <w:p>
      <w:pPr>
        <w:keepNext w:val="0"/>
        <w:keepLines w:val="0"/>
        <w:pageBreakBefore w:val="0"/>
        <w:widowControl w:val="0"/>
        <w:numPr>
          <w:ilvl w:val="0"/>
          <w:numId w:val="0"/>
        </w:numPr>
        <w:shd w:val="clear" w:color="auto" w:fill="FFFFFF"/>
        <w:kinsoku/>
        <w:wordWrap/>
        <w:overflowPunct/>
        <w:topLinePunct w:val="0"/>
        <w:autoSpaceDE/>
        <w:autoSpaceDN/>
        <w:bidi w:val="0"/>
        <w:spacing w:line="600" w:lineRule="exact"/>
        <w:ind w:firstLine="640" w:firstLineChars="200"/>
        <w:jc w:val="both"/>
        <w:rPr>
          <w:rFonts w:hint="eastAsia" w:ascii="仿宋_GB2312" w:hAnsi="仿宋_GB2312" w:eastAsia="仿宋_GB2312" w:cs="仿宋_GB2312"/>
          <w:i w:val="0"/>
          <w:iCs w:val="0"/>
          <w:color w:val="000000" w:themeColor="text1"/>
          <w:sz w:val="32"/>
          <w:szCs w:val="30"/>
          <w:u w:val="none" w:color="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纳入四川省</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司法厅</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202</w:t>
      </w:r>
      <w:r>
        <w:rPr>
          <w:rFonts w:hint="eastAsia" w:ascii="仿宋_GB2312" w:hAnsi="仿宋_GB2312" w:eastAsia="仿宋_GB2312" w:cs="仿宋_GB2312"/>
          <w:i w:val="0"/>
          <w:iCs w:val="0"/>
          <w:color w:val="000000" w:themeColor="text1"/>
          <w:sz w:val="32"/>
          <w:szCs w:val="32"/>
          <w:u w:val="none" w:color="auto"/>
          <w:lang w:val="en-US" w:eastAsia="zh-CN"/>
          <w14:textFill>
            <w14:solidFill>
              <w14:schemeClr w14:val="tx1"/>
            </w14:solidFill>
          </w14:textFill>
        </w:rPr>
        <w:t>1</w:t>
      </w:r>
      <w:r>
        <w:rPr>
          <w:rFonts w:hint="eastAsia" w:ascii="仿宋_GB2312" w:hAnsi="仿宋_GB2312" w:eastAsia="仿宋_GB2312" w:cs="仿宋_GB2312"/>
          <w:i w:val="0"/>
          <w:iCs w:val="0"/>
          <w:color w:val="000000" w:themeColor="text1"/>
          <w:sz w:val="32"/>
          <w:szCs w:val="32"/>
          <w:u w:val="none" w:color="auto"/>
          <w14:textFill>
            <w14:solidFill>
              <w14:schemeClr w14:val="tx1"/>
            </w14:solidFill>
          </w14:textFill>
        </w:rPr>
        <w:t>年度部门决算编制范围的二级预算单位包括：</w:t>
      </w:r>
    </w:p>
    <w:p>
      <w:pPr>
        <w:keepNext w:val="0"/>
        <w:keepLines w:val="0"/>
        <w:pageBreakBefore w:val="0"/>
        <w:widowControl w:val="0"/>
        <w:kinsoku/>
        <w:wordWrap/>
        <w:overflowPunct/>
        <w:topLinePunct w:val="0"/>
        <w:autoSpaceDE/>
        <w:autoSpaceDN/>
        <w:bidi w:val="0"/>
        <w:spacing w:line="600" w:lineRule="exact"/>
        <w:ind w:firstLine="800" w:firstLineChars="250"/>
        <w:jc w:val="both"/>
        <w:rPr>
          <w:rFonts w:hint="eastAsia" w:ascii="仿宋_GB2312" w:hAnsi="仿宋_GB2312" w:eastAsia="仿宋_GB2312" w:cs="仿宋_GB2312"/>
          <w:i w:val="0"/>
          <w:iCs w:val="0"/>
          <w:color w:val="000000" w:themeColor="text1"/>
          <w:sz w:val="32"/>
          <w:szCs w:val="32"/>
          <w:highlight w:val="none"/>
          <w:u w:val="none" w:color="auto"/>
          <w14:textFill>
            <w14:solidFill>
              <w14:schemeClr w14:val="tx1"/>
            </w14:solidFill>
          </w14:textFill>
        </w:rPr>
      </w:pP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Lines="0" w:line="600" w:lineRule="exact"/>
        <w:ind w:left="672" w:leftChars="0"/>
        <w:jc w:val="both"/>
        <w:outlineLvl w:val="2"/>
        <w:rPr>
          <w:rFonts w:hint="eastAsia" w:ascii="仿宋_GB2312" w:hAnsi="仿宋_GB2312" w:eastAsia="仿宋_GB2312" w:cs="仿宋_GB2312"/>
          <w:i w:val="0"/>
          <w:iCs w:val="0"/>
          <w:color w:val="000000" w:themeColor="text1"/>
          <w:sz w:val="32"/>
          <w:szCs w:val="32"/>
          <w:highlight w:val="none"/>
          <w:u w:val="none" w:color="auto"/>
          <w14:textFill>
            <w14:solidFill>
              <w14:schemeClr w14:val="tx1"/>
            </w14:solidFill>
          </w14:textFill>
        </w:rPr>
      </w:pPr>
      <w:bookmarkStart w:id="22" w:name="_Toc15377202"/>
      <w:bookmarkStart w:id="23" w:name="_Toc15377433"/>
      <w:bookmarkStart w:id="24" w:name="_Toc15378449"/>
      <w:bookmarkStart w:id="25" w:name="_Toc15306276"/>
      <w:r>
        <w:rPr>
          <w:rFonts w:hint="eastAsia" w:hAnsi="仿宋_GB2312" w:cs="仿宋_GB2312"/>
          <w:i w:val="0"/>
          <w:iCs w:val="0"/>
          <w:color w:val="000000" w:themeColor="text1"/>
          <w:sz w:val="32"/>
          <w:szCs w:val="32"/>
          <w:u w:val="none" w:color="auto"/>
          <w:lang w:val="en-US" w:eastAsia="zh-CN"/>
          <w14:textFill>
            <w14:solidFill>
              <w14:schemeClr w14:val="tx1"/>
            </w14:solidFill>
          </w14:textFill>
        </w:rPr>
        <w:t>1.</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四川省司法厅机关</w:t>
      </w:r>
      <w:bookmarkEnd w:id="22"/>
      <w:bookmarkEnd w:id="23"/>
      <w:bookmarkEnd w:id="24"/>
      <w:bookmarkEnd w:id="25"/>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Lines="0" w:line="600" w:lineRule="exact"/>
        <w:ind w:left="672" w:leftChars="0"/>
        <w:jc w:val="both"/>
        <w:outlineLvl w:val="2"/>
        <w:rPr>
          <w:rFonts w:hint="eastAsia" w:ascii="仿宋_GB2312" w:hAnsi="仿宋_GB2312" w:eastAsia="仿宋_GB2312" w:cs="仿宋_GB2312"/>
          <w:i w:val="0"/>
          <w:iCs w:val="0"/>
          <w:color w:val="000000" w:themeColor="text1"/>
          <w:sz w:val="32"/>
          <w:szCs w:val="32"/>
          <w:highlight w:val="none"/>
          <w:u w:val="none" w:color="auto"/>
          <w14:textFill>
            <w14:solidFill>
              <w14:schemeClr w14:val="tx1"/>
            </w14:solidFill>
          </w14:textFill>
        </w:rPr>
      </w:pPr>
      <w:r>
        <w:rPr>
          <w:rFonts w:hint="eastAsia" w:hAnsi="仿宋_GB2312" w:cs="仿宋_GB2312"/>
          <w:i w:val="0"/>
          <w:iCs w:val="0"/>
          <w:color w:val="000000" w:themeColor="text1"/>
          <w:sz w:val="32"/>
          <w:szCs w:val="32"/>
          <w:u w:val="none" w:color="auto"/>
          <w:lang w:val="en-US" w:eastAsia="zh-CN"/>
          <w14:textFill>
            <w14:solidFill>
              <w14:schemeClr w14:val="tx1"/>
            </w14:solidFill>
          </w14:textFill>
        </w:rPr>
        <w:t>2.</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四川省司法厅机关服务中心</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Lines="0" w:line="600" w:lineRule="exact"/>
        <w:ind w:left="672" w:leftChars="0"/>
        <w:jc w:val="both"/>
        <w:outlineLvl w:val="2"/>
        <w:rPr>
          <w:rFonts w:hint="eastAsia" w:ascii="仿宋_GB2312" w:hAnsi="仿宋_GB2312" w:eastAsia="仿宋_GB2312" w:cs="仿宋_GB2312"/>
          <w:i w:val="0"/>
          <w:iCs w:val="0"/>
          <w:color w:val="000000" w:themeColor="text1"/>
          <w:sz w:val="32"/>
          <w:szCs w:val="32"/>
          <w:highlight w:val="none"/>
          <w:u w:val="none" w:color="auto"/>
          <w14:textFill>
            <w14:solidFill>
              <w14:schemeClr w14:val="tx1"/>
            </w14:solidFill>
          </w14:textFill>
        </w:rPr>
      </w:pPr>
      <w:r>
        <w:rPr>
          <w:rFonts w:hint="eastAsia" w:hAnsi="仿宋_GB2312" w:cs="仿宋_GB2312"/>
          <w:i w:val="0"/>
          <w:iCs w:val="0"/>
          <w:color w:val="000000" w:themeColor="text1"/>
          <w:sz w:val="32"/>
          <w:szCs w:val="32"/>
          <w:u w:val="none" w:color="auto"/>
          <w:lang w:val="en-US" w:eastAsia="zh-CN"/>
          <w14:textFill>
            <w14:solidFill>
              <w14:schemeClr w14:val="tx1"/>
            </w14:solidFill>
          </w14:textFill>
        </w:rPr>
        <w:t>3.</w:t>
      </w:r>
      <w:r>
        <w:rPr>
          <w:rFonts w:hint="eastAsia" w:ascii="仿宋_GB2312" w:hAnsi="仿宋_GB2312" w:eastAsia="仿宋_GB2312" w:cs="仿宋_GB2312"/>
          <w:i w:val="0"/>
          <w:iCs w:val="0"/>
          <w:color w:val="000000" w:themeColor="text1"/>
          <w:sz w:val="32"/>
          <w:szCs w:val="32"/>
          <w:u w:val="none" w:color="auto"/>
          <w:lang w:eastAsia="zh-CN"/>
          <w14:textFill>
            <w14:solidFill>
              <w14:schemeClr w14:val="tx1"/>
            </w14:solidFill>
          </w14:textFill>
        </w:rPr>
        <w:t>四川省法律援助中心</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Lines="0" w:line="600" w:lineRule="exact"/>
        <w:ind w:left="672" w:leftChars="0"/>
        <w:jc w:val="both"/>
        <w:outlineLvl w:val="2"/>
        <w:rPr>
          <w:rFonts w:hint="eastAsia" w:ascii="仿宋_GB2312" w:hAnsi="仿宋_GB2312" w:eastAsia="仿宋_GB2312" w:cs="仿宋_GB2312"/>
          <w:i w:val="0"/>
          <w:iCs w:val="0"/>
          <w:color w:val="000000" w:themeColor="text1"/>
          <w:sz w:val="32"/>
          <w:szCs w:val="32"/>
          <w:highlight w:val="none"/>
          <w:u w:val="none" w:color="auto"/>
          <w14:textFill>
            <w14:solidFill>
              <w14:schemeClr w14:val="tx1"/>
            </w14:solidFill>
          </w14:textFill>
        </w:rPr>
      </w:pPr>
      <w:r>
        <w:rPr>
          <w:rFonts w:hint="eastAsia" w:hAnsi="仿宋_GB2312" w:cs="仿宋_GB2312"/>
          <w:bCs/>
          <w:i w:val="0"/>
          <w:iCs w:val="0"/>
          <w:color w:val="000000" w:themeColor="text1"/>
          <w:sz w:val="32"/>
          <w:szCs w:val="32"/>
          <w:u w:val="none" w:color="auto"/>
          <w:lang w:val="en-US" w:eastAsia="zh-CN"/>
          <w14:textFill>
            <w14:solidFill>
              <w14:schemeClr w14:val="tx1"/>
            </w14:solidFill>
          </w14:textFill>
        </w:rPr>
        <w:t>4.</w:t>
      </w:r>
      <w:r>
        <w:rPr>
          <w:rFonts w:hint="eastAsia" w:ascii="仿宋_GB2312" w:hAnsi="仿宋_GB2312" w:eastAsia="仿宋_GB2312" w:cs="仿宋_GB2312"/>
          <w:bCs/>
          <w:i w:val="0"/>
          <w:iCs w:val="0"/>
          <w:color w:val="000000" w:themeColor="text1"/>
          <w:sz w:val="32"/>
          <w:szCs w:val="32"/>
          <w:u w:val="none" w:color="auto"/>
          <w14:textFill>
            <w14:solidFill>
              <w14:schemeClr w14:val="tx1"/>
            </w14:solidFill>
          </w14:textFill>
        </w:rPr>
        <w:t>四川司法警官职业学院</w:t>
      </w:r>
    </w:p>
    <w:p>
      <w:pPr>
        <w:widowControl/>
        <w:jc w:val="left"/>
        <w:rPr>
          <w:rFonts w:ascii="仿宋" w:hAnsi="仿宋" w:eastAsia="仿宋"/>
          <w:color w:val="000000" w:themeColor="text1"/>
          <w:kern w:val="0"/>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color w:val="000000" w:themeColor="text1"/>
          <w:sz w:val="44"/>
          <w:szCs w:val="44"/>
          <w:highlight w:val="none"/>
          <w14:textFill>
            <w14:solidFill>
              <w14:schemeClr w14:val="tx1"/>
            </w14:solidFill>
          </w14:textFill>
        </w:rPr>
      </w:pPr>
      <w:bookmarkStart w:id="26" w:name="_Toc15377204"/>
      <w:bookmarkStart w:id="27" w:name="_Toc15396602"/>
      <w:r>
        <w:rPr>
          <w:rFonts w:hint="eastAsia" w:ascii="方正小标宋_GBK" w:hAnsi="方正小标宋_GBK" w:eastAsia="方正小标宋_GBK" w:cs="方正小标宋_GBK"/>
          <w:b w:val="0"/>
          <w:color w:val="000000" w:themeColor="text1"/>
          <w:sz w:val="44"/>
          <w:szCs w:val="44"/>
          <w:highlight w:val="none"/>
          <w14:textFill>
            <w14:solidFill>
              <w14:schemeClr w14:val="tx1"/>
            </w14:solidFill>
          </w14:textFill>
        </w:rPr>
        <w:t xml:space="preserve">第二部分 </w:t>
      </w:r>
      <w:r>
        <w:rPr>
          <w:rFonts w:hint="eastAsia" w:ascii="方正小标宋_GBK" w:hAnsi="方正小标宋_GBK" w:eastAsia="方正小标宋_GBK" w:cs="方正小标宋_GBK"/>
          <w:b w:val="0"/>
          <w:color w:val="000000" w:themeColor="text1"/>
          <w:sz w:val="44"/>
          <w:szCs w:val="44"/>
          <w:highlight w:val="none"/>
          <w:lang w:val="en-US" w:eastAsia="zh-CN"/>
          <w14:textFill>
            <w14:solidFill>
              <w14:schemeClr w14:val="tx1"/>
            </w14:solidFill>
          </w14:textFill>
        </w:rPr>
        <w:t xml:space="preserve"> 2021年度</w:t>
      </w:r>
      <w:r>
        <w:rPr>
          <w:rFonts w:hint="eastAsia" w:ascii="方正小标宋_GBK" w:hAnsi="方正小标宋_GBK" w:eastAsia="方正小标宋_GBK" w:cs="方正小标宋_GBK"/>
          <w:b w:val="0"/>
          <w:color w:val="000000" w:themeColor="text1"/>
          <w:sz w:val="44"/>
          <w:szCs w:val="44"/>
          <w:highlight w:val="none"/>
          <w14:textFill>
            <w14:solidFill>
              <w14:schemeClr w14:val="tx1"/>
            </w14:solidFill>
          </w14:textFill>
        </w:rPr>
        <w:t>部门决算情况说明</w:t>
      </w:r>
      <w:bookmarkEnd w:id="26"/>
      <w:bookmarkEnd w:id="27"/>
    </w:p>
    <w:p>
      <w:pPr>
        <w:keepNext w:val="0"/>
        <w:keepLines w:val="0"/>
        <w:pageBreakBefore w:val="0"/>
        <w:widowControl w:val="0"/>
        <w:kinsoku/>
        <w:wordWrap/>
        <w:overflowPunct/>
        <w:topLinePunct w:val="0"/>
        <w:autoSpaceDE/>
        <w:autoSpaceDN/>
        <w:bidi w:val="0"/>
        <w:adjustRightInd/>
        <w:snapToGrid/>
        <w:spacing w:line="640" w:lineRule="exact"/>
        <w:textAlignment w:val="auto"/>
        <w:rPr>
          <w:color w:val="000000" w:themeColor="text1"/>
          <w:highlight w:val="none"/>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1"/>
        <w:rPr>
          <w:rStyle w:val="27"/>
          <w:rFonts w:ascii="黑体" w:hAnsi="黑体" w:eastAsia="黑体"/>
          <w:b w:val="0"/>
          <w:color w:val="000000" w:themeColor="text1"/>
          <w:highlight w:val="none"/>
          <w14:textFill>
            <w14:solidFill>
              <w14:schemeClr w14:val="tx1"/>
            </w14:solidFill>
          </w14:textFill>
        </w:rPr>
      </w:pPr>
      <w:bookmarkStart w:id="28" w:name="_Toc15396603"/>
      <w:bookmarkStart w:id="29" w:name="_Toc15377205"/>
      <w:r>
        <w:rPr>
          <w:rFonts w:hint="eastAsia" w:ascii="黑体" w:hAnsi="黑体" w:eastAsia="黑体"/>
          <w:color w:val="000000" w:themeColor="text1"/>
          <w:sz w:val="32"/>
          <w:szCs w:val="32"/>
          <w:highlight w:val="none"/>
          <w:lang w:eastAsia="zh-CN"/>
          <w14:textFill>
            <w14:solidFill>
              <w14:schemeClr w14:val="tx1"/>
            </w14:solidFill>
          </w14:textFill>
        </w:rPr>
        <w:t>一、</w:t>
      </w:r>
      <w:r>
        <w:rPr>
          <w:rFonts w:hint="eastAsia" w:ascii="黑体" w:hAnsi="黑体" w:eastAsia="黑体"/>
          <w:color w:val="000000" w:themeColor="text1"/>
          <w:sz w:val="32"/>
          <w:szCs w:val="32"/>
          <w:highlight w:val="none"/>
          <w14:textFill>
            <w14:solidFill>
              <w14:schemeClr w14:val="tx1"/>
            </w14:solidFill>
          </w14:textFill>
        </w:rPr>
        <w:t>收</w:t>
      </w:r>
      <w:r>
        <w:rPr>
          <w:rStyle w:val="27"/>
          <w:rFonts w:hint="eastAsia" w:ascii="黑体" w:hAnsi="黑体" w:eastAsia="黑体"/>
          <w:b w:val="0"/>
          <w:color w:val="000000" w:themeColor="text1"/>
          <w:highlight w:val="none"/>
          <w14:textFill>
            <w14:solidFill>
              <w14:schemeClr w14:val="tx1"/>
            </w14:solidFill>
          </w14:textFill>
        </w:rPr>
        <w:t>入支出决算总体情况说明</w:t>
      </w:r>
      <w:bookmarkEnd w:id="28"/>
      <w:bookmarkEnd w:id="29"/>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highlight w:val="none"/>
          <w14:textFill>
            <w14:solidFill>
              <w14:schemeClr w14:val="tx1"/>
            </w14:solidFill>
          </w14:textFill>
        </w:rPr>
        <w:t>年度收、支总计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27328.74</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万元。与20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highlight w:val="none"/>
          <w14:textFill>
            <w14:solidFill>
              <w14:schemeClr w14:val="tx1"/>
            </w14:solidFill>
          </w14:textFill>
        </w:rPr>
        <w:t>年相比，收、支总计各增加</w:t>
      </w:r>
      <w:r>
        <w:rPr>
          <w:rFonts w:hint="eastAsia" w:ascii="仿宋_GB2312" w:hAnsi="仿宋_GB2312" w:eastAsia="仿宋_GB2312" w:cs="仿宋_GB2312"/>
          <w:color w:val="000000" w:themeColor="text1"/>
          <w:sz w:val="32"/>
          <w:szCs w:val="32"/>
          <w14:textFill>
            <w14:solidFill>
              <w14:schemeClr w14:val="tx1"/>
            </w14:solidFill>
          </w14:textFill>
        </w:rPr>
        <w:t>6065.7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28.53</w:t>
      </w:r>
      <w:r>
        <w:rPr>
          <w:rFonts w:hint="eastAsia" w:ascii="仿宋_GB2312" w:hAnsi="仿宋_GB2312" w:eastAsia="仿宋_GB2312" w:cs="仿宋_GB2312"/>
          <w:color w:val="000000" w:themeColor="text1"/>
          <w:sz w:val="32"/>
          <w:szCs w:val="32"/>
          <w:highlight w:val="none"/>
          <w14:textFill>
            <w14:solidFill>
              <w14:schemeClr w14:val="tx1"/>
            </w14:solidFill>
          </w14:textFill>
        </w:rPr>
        <w:t>%。主要变动原因是</w:t>
      </w:r>
      <w:r>
        <w:rPr>
          <w:rFonts w:hint="eastAsia" w:ascii="仿宋_GB2312" w:hAnsi="仿宋_GB2312" w:eastAsia="仿宋_GB2312" w:cs="仿宋_GB2312"/>
          <w:color w:val="000000" w:themeColor="text1"/>
          <w:sz w:val="32"/>
          <w:szCs w:val="32"/>
          <w14:textFill>
            <w14:solidFill>
              <w14:schemeClr w14:val="tx1"/>
            </w14:solidFill>
          </w14:textFill>
        </w:rPr>
        <w:t>：一是本年度因新增工作任务量，相应新增预算收入。按上级部门相关工作安排，新</w:t>
      </w:r>
      <w:r>
        <w:rPr>
          <w:rFonts w:hint="eastAsia" w:ascii="仿宋_GB2312" w:hAnsi="仿宋_GB2312" w:eastAsia="仿宋_GB2312" w:cs="仿宋_GB2312"/>
          <w:color w:val="000000" w:themeColor="text1"/>
          <w:sz w:val="32"/>
          <w:szCs w:val="32"/>
          <w:lang w:eastAsia="zh-CN"/>
          <w14:textFill>
            <w14:solidFill>
              <w14:schemeClr w14:val="tx1"/>
            </w14:solidFill>
          </w14:textFill>
        </w:rPr>
        <w:t>增加政法教育整顿、习近平法治思想宣传等经费</w:t>
      </w:r>
      <w:r>
        <w:rPr>
          <w:rFonts w:hint="eastAsia" w:ascii="仿宋_GB2312" w:hAnsi="仿宋_GB2312" w:eastAsia="仿宋_GB2312" w:cs="仿宋_GB2312"/>
          <w:color w:val="000000" w:themeColor="text1"/>
          <w:sz w:val="32"/>
          <w:szCs w:val="32"/>
          <w14:textFill>
            <w14:solidFill>
              <w14:schemeClr w14:val="tx1"/>
            </w14:solidFill>
          </w14:textFill>
        </w:rPr>
        <w:t>。二是本年度因新增职工住房补贴和退休人员一次性补贴，相应新增了人员经费预算收入。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（图1：收、支决算总计变动情况图）（柱状图）</w:t>
      </w:r>
    </w:p>
    <w:p>
      <w:pPr>
        <w:bidi w:val="0"/>
      </w:pPr>
      <w:bookmarkStart w:id="30" w:name="_Toc15377206"/>
      <w:bookmarkStart w:id="31" w:name="_Toc15396604"/>
      <w:r>
        <w:drawing>
          <wp:inline distT="0" distB="0" distL="114300" distR="114300">
            <wp:extent cx="5228590" cy="2961640"/>
            <wp:effectExtent l="4445" t="4445" r="5715" b="5715"/>
            <wp:docPr id="1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5"/>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1"/>
        <w:rPr>
          <w:rStyle w:val="27"/>
          <w:rFonts w:hint="eastAsia" w:ascii="黑体" w:hAnsi="黑体" w:eastAsia="黑体" w:cs="黑体"/>
          <w:b w:val="0"/>
          <w:color w:val="000000" w:themeColor="text1"/>
          <w:highlight w:val="none"/>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二、</w:t>
      </w:r>
      <w:r>
        <w:rPr>
          <w:rFonts w:hint="eastAsia" w:ascii="黑体" w:hAnsi="黑体" w:eastAsia="黑体" w:cs="黑体"/>
          <w:color w:val="000000" w:themeColor="text1"/>
          <w:sz w:val="32"/>
          <w:szCs w:val="32"/>
          <w:highlight w:val="none"/>
          <w14:textFill>
            <w14:solidFill>
              <w14:schemeClr w14:val="tx1"/>
            </w14:solidFill>
          </w14:textFill>
        </w:rPr>
        <w:t>收</w:t>
      </w:r>
      <w:r>
        <w:rPr>
          <w:rStyle w:val="27"/>
          <w:rFonts w:hint="eastAsia" w:ascii="黑体" w:hAnsi="黑体" w:eastAsia="黑体" w:cs="黑体"/>
          <w:b w:val="0"/>
          <w:color w:val="000000" w:themeColor="text1"/>
          <w:highlight w:val="none"/>
          <w14:textFill>
            <w14:solidFill>
              <w14:schemeClr w14:val="tx1"/>
            </w14:solidFill>
          </w14:textFill>
        </w:rPr>
        <w:t>入决算情况说明</w:t>
      </w:r>
      <w:bookmarkEnd w:id="30"/>
      <w:bookmarkEnd w:id="31"/>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highlight w:val="none"/>
          <w14:textFill>
            <w14:solidFill>
              <w14:schemeClr w14:val="tx1"/>
            </w14:solidFill>
          </w14:textFill>
        </w:rPr>
        <w:t>年本年收入合计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27328.74</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highlight w:val="none"/>
          <w14:textFill>
            <w14:solidFill>
              <w14:schemeClr w14:val="tx1"/>
            </w14:solidFill>
          </w14:textFill>
        </w:rPr>
        <w:t>，其中：一般公共预算财政拨款收入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24240.10</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88.7</w:t>
      </w:r>
      <w:r>
        <w:rPr>
          <w:rFonts w:hint="eastAsia" w:ascii="仿宋_GB2312" w:hAnsi="仿宋_GB2312" w:eastAsia="仿宋_GB2312" w:cs="仿宋_GB2312"/>
          <w:color w:val="000000" w:themeColor="text1"/>
          <w:sz w:val="32"/>
          <w:szCs w:val="32"/>
          <w:highlight w:val="none"/>
          <w14:textFill>
            <w14:solidFill>
              <w14:schemeClr w14:val="tx1"/>
            </w14:solidFill>
          </w14:textFill>
        </w:rPr>
        <w:t>%；政府性基金预算财政拨款收入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国有资本经营预算财政拨款收入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%；上级补助收入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%；事业收入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%；经营收入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%；附属单位上缴收入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%；其他收入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3088.64</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11.3</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（图2：收入决算结构图）（饼状图）</w:t>
      </w:r>
    </w:p>
    <w:p>
      <w:pPr>
        <w:bidi w:val="0"/>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59264" behindDoc="0" locked="0" layoutInCell="1" allowOverlap="1">
            <wp:simplePos x="0" y="0"/>
            <wp:positionH relativeFrom="column">
              <wp:align>center</wp:align>
            </wp:positionH>
            <wp:positionV relativeFrom="paragraph">
              <wp:posOffset>176530</wp:posOffset>
            </wp:positionV>
            <wp:extent cx="4572000" cy="2743200"/>
            <wp:effectExtent l="4445" t="4445" r="14605" b="14605"/>
            <wp:wrapSquare wrapText="bothSides"/>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ascii="仿宋_GB2312" w:eastAsia="仿宋_GB2312"/>
          <w:color w:val="000000" w:themeColor="text1"/>
          <w:sz w:val="32"/>
          <w:szCs w:val="32"/>
          <w:highlight w:val="none"/>
          <w14:textFill>
            <w14:solidFill>
              <w14:schemeClr w14:val="tx1"/>
            </w14:solidFill>
          </w14:textFill>
        </w:rPr>
      </w:pPr>
    </w:p>
    <w:p>
      <w:pPr>
        <w:pStyle w:val="5"/>
        <w:rPr>
          <w:rFonts w:ascii="仿宋_GB2312" w:eastAsia="仿宋_GB2312"/>
          <w:color w:val="000000" w:themeColor="text1"/>
          <w:sz w:val="32"/>
          <w:szCs w:val="32"/>
          <w:highlight w:val="none"/>
          <w14:textFill>
            <w14:solidFill>
              <w14:schemeClr w14:val="tx1"/>
            </w14:solidFill>
          </w14:textFill>
        </w:rPr>
      </w:pPr>
    </w:p>
    <w:p>
      <w:pPr>
        <w:pStyle w:val="5"/>
        <w:rPr>
          <w:rFonts w:ascii="仿宋_GB2312" w:eastAsia="仿宋_GB2312"/>
          <w:color w:val="000000" w:themeColor="text1"/>
          <w:sz w:val="32"/>
          <w:szCs w:val="32"/>
          <w:highlight w:val="none"/>
          <w14:textFill>
            <w14:solidFill>
              <w14:schemeClr w14:val="tx1"/>
            </w14:solidFill>
          </w14:textFill>
        </w:rPr>
      </w:pPr>
    </w:p>
    <w:p>
      <w:pPr>
        <w:pStyle w:val="5"/>
        <w:rPr>
          <w:rFonts w:ascii="仿宋_GB2312" w:eastAsia="仿宋_GB2312"/>
          <w:color w:val="000000" w:themeColor="text1"/>
          <w:sz w:val="32"/>
          <w:szCs w:val="32"/>
          <w:highlight w:val="none"/>
          <w14:textFill>
            <w14:solidFill>
              <w14:schemeClr w14:val="tx1"/>
            </w14:solidFill>
          </w14:textFill>
        </w:rPr>
      </w:pPr>
    </w:p>
    <w:p>
      <w:pPr>
        <w:pStyle w:val="5"/>
        <w:rPr>
          <w:rFonts w:ascii="仿宋_GB2312" w:eastAsia="仿宋_GB2312"/>
          <w:color w:val="000000" w:themeColor="text1"/>
          <w:sz w:val="32"/>
          <w:szCs w:val="32"/>
          <w:highlight w:val="none"/>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olor w:val="000000" w:themeColor="text1"/>
          <w:sz w:val="32"/>
          <w:szCs w:val="32"/>
          <w:highlight w:val="none"/>
          <w:lang w:eastAsia="zh-CN"/>
          <w14:textFill>
            <w14:solidFill>
              <w14:schemeClr w14:val="tx1"/>
            </w14:solidFill>
          </w14:textFill>
        </w:rPr>
      </w:pPr>
      <w:bookmarkStart w:id="32" w:name="_Toc15377207"/>
      <w:bookmarkStart w:id="33" w:name="_Toc15396605"/>
    </w:p>
    <w:p>
      <w:pPr>
        <w:pStyle w:val="2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olor w:val="000000" w:themeColor="text1"/>
          <w:sz w:val="32"/>
          <w:szCs w:val="32"/>
          <w:highlight w:val="none"/>
          <w:lang w:eastAsia="zh-CN"/>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1"/>
        <w:rPr>
          <w:rStyle w:val="27"/>
          <w:rFonts w:ascii="黑体" w:hAnsi="黑体" w:eastAsia="黑体"/>
          <w:b w:val="0"/>
          <w:color w:val="000000" w:themeColor="text1"/>
          <w:highlight w:val="none"/>
          <w14:textFill>
            <w14:solidFill>
              <w14:schemeClr w14:val="tx1"/>
            </w14:solidFill>
          </w14:textFill>
        </w:rPr>
      </w:pPr>
      <w:r>
        <w:rPr>
          <w:rFonts w:hint="eastAsia" w:ascii="黑体" w:hAnsi="黑体" w:eastAsia="黑体"/>
          <w:color w:val="000000" w:themeColor="text1"/>
          <w:sz w:val="32"/>
          <w:szCs w:val="32"/>
          <w:highlight w:val="none"/>
          <w:lang w:eastAsia="zh-CN"/>
          <w14:textFill>
            <w14:solidFill>
              <w14:schemeClr w14:val="tx1"/>
            </w14:solidFill>
          </w14:textFill>
        </w:rPr>
        <w:t>三、</w:t>
      </w:r>
      <w:r>
        <w:rPr>
          <w:rFonts w:hint="eastAsia" w:ascii="黑体" w:hAnsi="黑体" w:eastAsia="黑体"/>
          <w:color w:val="000000" w:themeColor="text1"/>
          <w:sz w:val="32"/>
          <w:szCs w:val="32"/>
          <w:highlight w:val="none"/>
          <w14:textFill>
            <w14:solidFill>
              <w14:schemeClr w14:val="tx1"/>
            </w14:solidFill>
          </w14:textFill>
        </w:rPr>
        <w:t>支</w:t>
      </w:r>
      <w:r>
        <w:rPr>
          <w:rStyle w:val="27"/>
          <w:rFonts w:hint="eastAsia" w:ascii="黑体" w:hAnsi="黑体" w:eastAsia="黑体"/>
          <w:b w:val="0"/>
          <w:color w:val="000000" w:themeColor="text1"/>
          <w:highlight w:val="none"/>
          <w14:textFill>
            <w14:solidFill>
              <w14:schemeClr w14:val="tx1"/>
            </w14:solidFill>
          </w14:textFill>
        </w:rPr>
        <w:t>出决算情况说明</w:t>
      </w:r>
      <w:bookmarkEnd w:id="32"/>
      <w:bookmarkEnd w:id="33"/>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000000" w:themeColor="text1"/>
          <w:sz w:val="32"/>
          <w:szCs w:val="32"/>
          <w:highlight w:val="none"/>
          <w:shd w:val="pct10"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highlight w:val="none"/>
          <w14:textFill>
            <w14:solidFill>
              <w14:schemeClr w14:val="tx1"/>
            </w14:solidFill>
          </w14:textFill>
        </w:rPr>
        <w:t>年本年支出合计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27328.74</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万元，其中：基本支出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15382.24</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56.29</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%；项目支出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11946.50</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43.71</w:t>
      </w:r>
      <w:r>
        <w:rPr>
          <w:rFonts w:hint="eastAsia" w:ascii="仿宋_GB2312" w:hAnsi="仿宋_GB2312" w:eastAsia="仿宋_GB2312" w:cs="仿宋_GB2312"/>
          <w:color w:val="000000" w:themeColor="text1"/>
          <w:sz w:val="32"/>
          <w:szCs w:val="32"/>
          <w:highlight w:val="none"/>
          <w14:textFill>
            <w14:solidFill>
              <w14:schemeClr w14:val="tx1"/>
            </w14:solidFill>
          </w14:textFill>
        </w:rPr>
        <w:t>%；上缴上级支出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%；经营支出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%；对附属单位补助支出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（图3：支出决算结构图）（饼状图）</w:t>
      </w:r>
    </w:p>
    <w:p>
      <w:pPr>
        <w:keepNext w:val="0"/>
        <w:keepLines w:val="0"/>
        <w:pageBreakBefore w:val="0"/>
        <w:widowControl w:val="0"/>
        <w:kinsoku/>
        <w:wordWrap/>
        <w:overflowPunct/>
        <w:topLinePunct w:val="0"/>
        <w:autoSpaceDE/>
        <w:autoSpaceDN/>
        <w:bidi w:val="0"/>
        <w:adjustRightInd/>
        <w:snapToGrid/>
        <w:spacing w:line="640" w:lineRule="exact"/>
        <w:textAlignment w:val="auto"/>
        <w:rPr>
          <w:color w:val="000000" w:themeColor="text1"/>
          <w14:textFill>
            <w14:solidFill>
              <w14:schemeClr w14:val="tx1"/>
            </w14:solidFill>
          </w14:textFill>
        </w:rPr>
      </w:pPr>
    </w:p>
    <w:p>
      <w:pPr>
        <w:spacing w:line="600" w:lineRule="exact"/>
        <w:ind w:firstLine="640" w:firstLineChars="200"/>
        <w:rPr>
          <w:rFonts w:ascii="仿宋_GB2312" w:eastAsia="仿宋_GB2312"/>
          <w:color w:val="000000" w:themeColor="text1"/>
          <w:sz w:val="32"/>
          <w:szCs w:val="32"/>
          <w:highlight w:val="none"/>
          <w14:textFill>
            <w14:solidFill>
              <w14:schemeClr w14:val="tx1"/>
            </w14:solidFill>
          </w14:textFill>
        </w:rPr>
      </w:pPr>
    </w:p>
    <w:p>
      <w:pPr>
        <w:spacing w:line="600" w:lineRule="exact"/>
        <w:ind w:firstLine="420" w:firstLineChars="200"/>
        <w:outlineLvl w:val="1"/>
        <w:rPr>
          <w:rFonts w:hint="eastAsia" w:ascii="黑体" w:hAnsi="黑体" w:eastAsia="黑体"/>
          <w:color w:val="000000" w:themeColor="text1"/>
          <w:sz w:val="32"/>
          <w:szCs w:val="32"/>
          <w:highlight w:val="none"/>
          <w14:textFill>
            <w14:solidFill>
              <w14:schemeClr w14:val="tx1"/>
            </w14:solidFill>
          </w14:textFill>
        </w:rPr>
      </w:pPr>
      <w:bookmarkStart w:id="34" w:name="_Toc15396606"/>
      <w:bookmarkStart w:id="35" w:name="_Toc15377208"/>
      <w:r>
        <w:rPr>
          <w:color w:val="000000" w:themeColor="text1"/>
          <w14:textFill>
            <w14:solidFill>
              <w14:schemeClr w14:val="tx1"/>
            </w14:solidFill>
          </w14:textFill>
        </w:rPr>
        <w:drawing>
          <wp:anchor distT="0" distB="0" distL="114935" distR="114935" simplePos="0" relativeHeight="251660288" behindDoc="1" locked="0" layoutInCell="1" allowOverlap="1">
            <wp:simplePos x="0" y="0"/>
            <wp:positionH relativeFrom="column">
              <wp:posOffset>645795</wp:posOffset>
            </wp:positionH>
            <wp:positionV relativeFrom="paragraph">
              <wp:posOffset>170180</wp:posOffset>
            </wp:positionV>
            <wp:extent cx="4572000" cy="2639695"/>
            <wp:effectExtent l="4445" t="4445" r="14605" b="22860"/>
            <wp:wrapTight wrapText="bothSides">
              <wp:wrapPolygon>
                <wp:start x="-21" y="-36"/>
                <wp:lineTo x="-21" y="21475"/>
                <wp:lineTo x="21579" y="21475"/>
                <wp:lineTo x="21579" y="-36"/>
                <wp:lineTo x="-21" y="-36"/>
              </wp:wrapPolygon>
            </wp:wrapTight>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outlineLvl w:val="1"/>
        <w:rPr>
          <w:rFonts w:hint="eastAsia" w:ascii="黑体" w:hAnsi="黑体" w:eastAsia="黑体"/>
          <w:color w:val="000000" w:themeColor="text1"/>
          <w:sz w:val="32"/>
          <w:szCs w:val="32"/>
          <w:highlight w:val="none"/>
          <w14:textFill>
            <w14:solidFill>
              <w14:schemeClr w14:val="tx1"/>
            </w14:solidFill>
          </w14:textFill>
        </w:rPr>
      </w:pPr>
    </w:p>
    <w:p>
      <w:pPr>
        <w:spacing w:line="600" w:lineRule="exact"/>
        <w:ind w:firstLine="640" w:firstLineChars="200"/>
        <w:outlineLvl w:val="1"/>
        <w:rPr>
          <w:rFonts w:hint="eastAsia" w:ascii="黑体" w:hAnsi="黑体" w:eastAsia="黑体"/>
          <w:color w:val="000000" w:themeColor="text1"/>
          <w:sz w:val="32"/>
          <w:szCs w:val="32"/>
          <w:highlight w:val="none"/>
          <w14:textFill>
            <w14:solidFill>
              <w14:schemeClr w14:val="tx1"/>
            </w14:solidFill>
          </w14:textFill>
        </w:rPr>
      </w:pPr>
    </w:p>
    <w:p>
      <w:pPr>
        <w:spacing w:line="600" w:lineRule="exact"/>
        <w:ind w:firstLine="640" w:firstLineChars="200"/>
        <w:outlineLvl w:val="1"/>
        <w:rPr>
          <w:rFonts w:hint="eastAsia" w:ascii="黑体" w:hAnsi="黑体" w:eastAsia="黑体"/>
          <w:color w:val="000000" w:themeColor="text1"/>
          <w:sz w:val="32"/>
          <w:szCs w:val="32"/>
          <w:highlight w:val="none"/>
          <w14:textFill>
            <w14:solidFill>
              <w14:schemeClr w14:val="tx1"/>
            </w14:solidFill>
          </w14:textFill>
        </w:rPr>
      </w:pPr>
    </w:p>
    <w:p>
      <w:pPr>
        <w:spacing w:line="600" w:lineRule="exact"/>
        <w:ind w:firstLine="640" w:firstLineChars="200"/>
        <w:outlineLvl w:val="1"/>
        <w:rPr>
          <w:rFonts w:hint="eastAsia" w:ascii="黑体" w:hAnsi="黑体" w:eastAsia="黑体"/>
          <w:color w:val="000000" w:themeColor="text1"/>
          <w:sz w:val="32"/>
          <w:szCs w:val="32"/>
          <w:highlight w:val="none"/>
          <w14:textFill>
            <w14:solidFill>
              <w14:schemeClr w14:val="tx1"/>
            </w14:solidFill>
          </w14:textFill>
        </w:rPr>
      </w:pPr>
    </w:p>
    <w:p>
      <w:pPr>
        <w:spacing w:line="600" w:lineRule="exact"/>
        <w:ind w:firstLine="640" w:firstLineChars="200"/>
        <w:outlineLvl w:val="1"/>
        <w:rPr>
          <w:rFonts w:hint="eastAsia" w:ascii="黑体" w:hAnsi="黑体" w:eastAsia="黑体"/>
          <w:color w:val="000000" w:themeColor="text1"/>
          <w:sz w:val="32"/>
          <w:szCs w:val="32"/>
          <w:highlight w:val="none"/>
          <w14:textFill>
            <w14:solidFill>
              <w14:schemeClr w14:val="tx1"/>
            </w14:solidFill>
          </w14:textFill>
        </w:rPr>
      </w:pPr>
    </w:p>
    <w:p>
      <w:pPr>
        <w:spacing w:line="600" w:lineRule="exact"/>
        <w:ind w:firstLine="640" w:firstLineChars="200"/>
        <w:outlineLvl w:val="1"/>
        <w:rPr>
          <w:rFonts w:hint="eastAsia" w:ascii="黑体" w:hAnsi="黑体" w:eastAsia="黑体"/>
          <w:color w:val="000000" w:themeColor="text1"/>
          <w:sz w:val="32"/>
          <w:szCs w:val="32"/>
          <w:highlight w:val="none"/>
          <w14:textFill>
            <w14:solidFill>
              <w14:schemeClr w14:val="tx1"/>
            </w14:solidFill>
          </w14:textFill>
        </w:rPr>
      </w:pPr>
    </w:p>
    <w:p>
      <w:pPr>
        <w:spacing w:line="600" w:lineRule="exact"/>
        <w:ind w:firstLine="640" w:firstLineChars="200"/>
        <w:outlineLvl w:val="1"/>
        <w:rPr>
          <w:rFonts w:hint="eastAsia" w:ascii="黑体" w:hAnsi="黑体" w:eastAsia="黑体"/>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Style w:val="27"/>
          <w:rFonts w:hint="eastAsia" w:ascii="黑体" w:hAnsi="黑体" w:eastAsia="黑体" w:cs="黑体"/>
          <w:b w:val="0"/>
          <w:color w:val="000000" w:themeColor="text1"/>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四、财</w:t>
      </w:r>
      <w:r>
        <w:rPr>
          <w:rStyle w:val="27"/>
          <w:rFonts w:hint="eastAsia" w:ascii="黑体" w:hAnsi="黑体" w:eastAsia="黑体" w:cs="黑体"/>
          <w:b w:val="0"/>
          <w:color w:val="000000" w:themeColor="text1"/>
          <w:highlight w:val="none"/>
          <w14:textFill>
            <w14:solidFill>
              <w14:schemeClr w14:val="tx1"/>
            </w14:solidFill>
          </w14:textFill>
        </w:rPr>
        <w:t>政拨款收入支出决算总体情况说明</w:t>
      </w:r>
      <w:bookmarkEnd w:id="34"/>
      <w:bookmarkEnd w:id="3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highlight w:val="none"/>
          <w14:textFill>
            <w14:solidFill>
              <w14:schemeClr w14:val="tx1"/>
            </w14:solidFill>
          </w14:textFill>
        </w:rPr>
        <w:t>年财政拨款收、支总计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27328.74</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万元。与20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21263.03</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highlight w:val="none"/>
          <w14:textFill>
            <w14:solidFill>
              <w14:schemeClr w14:val="tx1"/>
            </w14:solidFill>
          </w14:textFill>
        </w:rPr>
        <w:t>相比，财政拨款收、支总计各增加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6065.71</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28.53</w:t>
      </w:r>
      <w:r>
        <w:rPr>
          <w:rFonts w:hint="eastAsia" w:ascii="仿宋_GB2312" w:hAnsi="仿宋_GB2312" w:eastAsia="仿宋_GB2312" w:cs="仿宋_GB2312"/>
          <w:color w:val="000000" w:themeColor="text1"/>
          <w:sz w:val="32"/>
          <w:szCs w:val="32"/>
          <w:highlight w:val="none"/>
          <w14:textFill>
            <w14:solidFill>
              <w14:schemeClr w14:val="tx1"/>
            </w14:solidFill>
          </w14:textFill>
        </w:rPr>
        <w:t>%。主要变动原因</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一是本年度因新增工作任务量，相应新增了</w:t>
      </w:r>
      <w:r>
        <w:rPr>
          <w:rFonts w:hint="eastAsia" w:ascii="仿宋_GB2312" w:hAnsi="仿宋_GB2312" w:eastAsia="仿宋_GB2312" w:cs="仿宋_GB2312"/>
          <w:color w:val="000000" w:themeColor="text1"/>
          <w:sz w:val="32"/>
          <w:szCs w:val="32"/>
          <w:lang w:eastAsia="zh-CN"/>
          <w14:textFill>
            <w14:solidFill>
              <w14:schemeClr w14:val="tx1"/>
            </w14:solidFill>
          </w14:textFill>
        </w:rPr>
        <w:t>政法教育整顿、习近平法治思想宣传等项目经费支出</w:t>
      </w:r>
      <w:r>
        <w:rPr>
          <w:rFonts w:hint="eastAsia" w:ascii="仿宋_GB2312" w:hAnsi="仿宋_GB2312" w:eastAsia="仿宋_GB2312" w:cs="仿宋_GB2312"/>
          <w:color w:val="000000" w:themeColor="text1"/>
          <w:sz w:val="32"/>
          <w:szCs w:val="32"/>
          <w14:textFill>
            <w14:solidFill>
              <w14:schemeClr w14:val="tx1"/>
            </w14:solidFill>
          </w14:textFill>
        </w:rPr>
        <w:t>；二是本年度因新增职工住房补贴和退休人员一次性补贴，相应新增了人员经费</w:t>
      </w:r>
      <w:r>
        <w:rPr>
          <w:rFonts w:hint="eastAsia" w:ascii="仿宋_GB2312" w:hAnsi="仿宋_GB2312" w:eastAsia="仿宋_GB2312" w:cs="仿宋_GB2312"/>
          <w:color w:val="000000" w:themeColor="text1"/>
          <w:sz w:val="32"/>
          <w:szCs w:val="32"/>
          <w:lang w:eastAsia="zh-CN"/>
          <w14:textFill>
            <w14:solidFill>
              <w14:schemeClr w14:val="tx1"/>
            </w14:solidFill>
          </w14:textFill>
        </w:rPr>
        <w:t>支出</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（图4：财政拨款收、支决算总计变动情况）（柱状图）</w:t>
      </w:r>
    </w:p>
    <w:p>
      <w:pPr>
        <w:bidi w:val="0"/>
      </w:pPr>
      <w:r>
        <w:drawing>
          <wp:inline distT="0" distB="0" distL="114300" distR="114300">
            <wp:extent cx="5256530" cy="2532380"/>
            <wp:effectExtent l="4445" t="4445" r="15875" b="1587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Style w:val="27"/>
          <w:rFonts w:hint="eastAsia" w:ascii="黑体" w:hAnsi="黑体" w:eastAsia="黑体" w:cs="黑体"/>
          <w:b w:val="0"/>
          <w:color w:val="000000" w:themeColor="text1"/>
          <w:highlight w:val="none"/>
          <w14:textFill>
            <w14:solidFill>
              <w14:schemeClr w14:val="tx1"/>
            </w14:solidFill>
          </w14:textFill>
        </w:rPr>
      </w:pPr>
      <w:bookmarkStart w:id="36" w:name="_Toc15377209"/>
      <w:bookmarkStart w:id="37" w:name="_Toc15396607"/>
      <w:r>
        <w:rPr>
          <w:rFonts w:hint="eastAsia" w:ascii="黑体" w:hAnsi="黑体" w:eastAsia="黑体" w:cs="黑体"/>
          <w:color w:val="000000" w:themeColor="text1"/>
          <w:sz w:val="32"/>
          <w:szCs w:val="32"/>
          <w:highlight w:val="none"/>
          <w14:textFill>
            <w14:solidFill>
              <w14:schemeClr w14:val="tx1"/>
            </w14:solidFill>
          </w14:textFill>
        </w:rPr>
        <w:t>五、</w:t>
      </w:r>
      <w:r>
        <w:rPr>
          <w:rFonts w:hint="eastAsia" w:ascii="黑体" w:hAnsi="黑体" w:eastAsia="黑体" w:cs="黑体"/>
          <w:b/>
          <w:color w:val="000000" w:themeColor="text1"/>
          <w:sz w:val="32"/>
          <w:szCs w:val="32"/>
          <w:highlight w:val="none"/>
          <w14:textFill>
            <w14:solidFill>
              <w14:schemeClr w14:val="tx1"/>
            </w14:solidFill>
          </w14:textFill>
        </w:rPr>
        <w:t>一</w:t>
      </w:r>
      <w:r>
        <w:rPr>
          <w:rStyle w:val="27"/>
          <w:rFonts w:hint="eastAsia" w:ascii="黑体" w:hAnsi="黑体" w:eastAsia="黑体" w:cs="黑体"/>
          <w:b w:val="0"/>
          <w:color w:val="000000" w:themeColor="text1"/>
          <w:highlight w:val="none"/>
          <w14:textFill>
            <w14:solidFill>
              <w14:schemeClr w14:val="tx1"/>
            </w14:solidFill>
          </w14:textFill>
        </w:rPr>
        <w:t>般公共预算财政拨款支出决算情况说明</w:t>
      </w:r>
      <w:bookmarkEnd w:id="36"/>
      <w:bookmarkEnd w:id="37"/>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eastAsia" w:ascii="楷体_GB2312" w:hAnsi="楷体_GB2312" w:eastAsia="楷体_GB2312" w:cs="楷体_GB2312"/>
          <w:b/>
          <w:color w:val="000000" w:themeColor="text1"/>
          <w:sz w:val="32"/>
          <w:szCs w:val="32"/>
          <w:highlight w:val="none"/>
          <w14:textFill>
            <w14:solidFill>
              <w14:schemeClr w14:val="tx1"/>
            </w14:solidFill>
          </w14:textFill>
        </w:rPr>
      </w:pPr>
      <w:bookmarkStart w:id="38" w:name="_Toc15377210"/>
      <w:r>
        <w:rPr>
          <w:rFonts w:hint="eastAsia" w:ascii="楷体_GB2312" w:hAnsi="楷体_GB2312" w:eastAsia="楷体_GB2312" w:cs="楷体_GB2312"/>
          <w:b/>
          <w:color w:val="000000" w:themeColor="text1"/>
          <w:sz w:val="32"/>
          <w:szCs w:val="32"/>
          <w:highlight w:val="none"/>
          <w14:textFill>
            <w14:solidFill>
              <w14:schemeClr w14:val="tx1"/>
            </w14:solidFill>
          </w14:textFill>
        </w:rPr>
        <w:t>（一）一般公共预算财政拨款支出决算总体情况</w:t>
      </w:r>
      <w:bookmarkEnd w:id="3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highlight w:val="none"/>
          <w14:textFill>
            <w14:solidFill>
              <w14:schemeClr w14:val="tx1"/>
            </w14:solidFill>
          </w14:textFill>
        </w:rPr>
        <w:t>年一般公共预算财政拨款支出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24240.10</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万元，占本年支出合计的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88.70</w:t>
      </w:r>
      <w:r>
        <w:rPr>
          <w:rFonts w:hint="eastAsia" w:ascii="仿宋_GB2312" w:hAnsi="仿宋_GB2312" w:eastAsia="仿宋_GB2312" w:cs="仿宋_GB2312"/>
          <w:color w:val="000000" w:themeColor="text1"/>
          <w:sz w:val="32"/>
          <w:szCs w:val="32"/>
          <w:highlight w:val="none"/>
          <w14:textFill>
            <w14:solidFill>
              <w14:schemeClr w14:val="tx1"/>
            </w14:solidFill>
          </w14:textFill>
        </w:rPr>
        <w:t>%。与20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20020.10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highlight w:val="none"/>
          <w14:textFill>
            <w14:solidFill>
              <w14:schemeClr w14:val="tx1"/>
            </w14:solidFill>
          </w14:textFill>
        </w:rPr>
        <w:t>相比，一般公共预算财政拨款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支出</w:t>
      </w:r>
      <w:r>
        <w:rPr>
          <w:rFonts w:hint="eastAsia" w:ascii="仿宋_GB2312" w:hAnsi="仿宋_GB2312" w:eastAsia="仿宋_GB2312" w:cs="仿宋_GB2312"/>
          <w:color w:val="000000" w:themeColor="text1"/>
          <w:sz w:val="32"/>
          <w:szCs w:val="32"/>
          <w:highlight w:val="none"/>
          <w14:textFill>
            <w14:solidFill>
              <w14:schemeClr w14:val="tx1"/>
            </w14:solidFill>
          </w14:textFill>
        </w:rPr>
        <w:t>增加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4220</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万元，增长</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21.08</w:t>
      </w:r>
      <w:r>
        <w:rPr>
          <w:rFonts w:hint="eastAsia" w:ascii="仿宋_GB2312" w:hAnsi="仿宋_GB2312" w:eastAsia="仿宋_GB2312" w:cs="仿宋_GB2312"/>
          <w:color w:val="000000" w:themeColor="text1"/>
          <w:sz w:val="32"/>
          <w:szCs w:val="32"/>
          <w:highlight w:val="none"/>
          <w14:textFill>
            <w14:solidFill>
              <w14:schemeClr w14:val="tx1"/>
            </w14:solidFill>
          </w14:textFill>
        </w:rPr>
        <w:t>%。主要变动原因</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一是本年度因新增工作任务量，相应新增了</w:t>
      </w:r>
      <w:r>
        <w:rPr>
          <w:rFonts w:hint="eastAsia" w:ascii="仿宋_GB2312" w:hAnsi="仿宋_GB2312" w:eastAsia="仿宋_GB2312" w:cs="仿宋_GB2312"/>
          <w:color w:val="000000" w:themeColor="text1"/>
          <w:sz w:val="32"/>
          <w:szCs w:val="32"/>
          <w:lang w:eastAsia="zh-CN"/>
          <w14:textFill>
            <w14:solidFill>
              <w14:schemeClr w14:val="tx1"/>
            </w14:solidFill>
          </w14:textFill>
        </w:rPr>
        <w:t>政法教育整顿、习近平法治思想宣传等项目经费支出</w:t>
      </w:r>
      <w:r>
        <w:rPr>
          <w:rFonts w:hint="eastAsia" w:ascii="仿宋_GB2312" w:hAnsi="仿宋_GB2312" w:eastAsia="仿宋_GB2312" w:cs="仿宋_GB2312"/>
          <w:color w:val="000000" w:themeColor="text1"/>
          <w:sz w:val="32"/>
          <w:szCs w:val="32"/>
          <w14:textFill>
            <w14:solidFill>
              <w14:schemeClr w14:val="tx1"/>
            </w14:solidFill>
          </w14:textFill>
        </w:rPr>
        <w:t>；二是本年度因新增职工住房补贴和退休人员一次性补贴，相应新增了人员经费</w:t>
      </w:r>
      <w:r>
        <w:rPr>
          <w:rFonts w:hint="eastAsia" w:ascii="仿宋_GB2312" w:hAnsi="仿宋_GB2312" w:eastAsia="仿宋_GB2312" w:cs="仿宋_GB2312"/>
          <w:color w:val="000000" w:themeColor="text1"/>
          <w:sz w:val="32"/>
          <w:szCs w:val="32"/>
          <w:lang w:eastAsia="zh-CN"/>
          <w14:textFill>
            <w14:solidFill>
              <w14:schemeClr w14:val="tx1"/>
            </w14:solidFill>
          </w14:textFill>
        </w:rPr>
        <w:t>支出</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（图5：一般公共预算财政拨款支出决算变动情况）（柱状图）</w:t>
      </w:r>
    </w:p>
    <w:p>
      <w:pPr>
        <w:bidi w:val="0"/>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935" distR="114935" simplePos="0" relativeHeight="251662336" behindDoc="1" locked="0" layoutInCell="1" allowOverlap="1">
            <wp:simplePos x="0" y="0"/>
            <wp:positionH relativeFrom="column">
              <wp:posOffset>499745</wp:posOffset>
            </wp:positionH>
            <wp:positionV relativeFrom="paragraph">
              <wp:posOffset>84455</wp:posOffset>
            </wp:positionV>
            <wp:extent cx="4629150" cy="2000250"/>
            <wp:effectExtent l="4445" t="4445" r="14605" b="14605"/>
            <wp:wrapTight wrapText="bothSides">
              <wp:wrapPolygon>
                <wp:start x="-24" y="-55"/>
                <wp:lineTo x="-24" y="21545"/>
                <wp:lineTo x="21576" y="21545"/>
                <wp:lineTo x="21576" y="-55"/>
                <wp:lineTo x="-24" y="-55"/>
              </wp:wrapPolygon>
            </wp:wrapTight>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bookmarkStart w:id="39" w:name="_Toc15377211"/>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（二）一般公共预算财政拨款支出决算结构情况</w:t>
      </w:r>
      <w:bookmarkEnd w:id="39"/>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年一般公共预算财政拨款支出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240240.10</w:t>
      </w:r>
      <w:r>
        <w:rPr>
          <w:rFonts w:hint="eastAsia" w:ascii="仿宋_GB2312" w:hAnsi="仿宋_GB2312" w:eastAsia="仿宋_GB2312" w:cs="仿宋_GB2312"/>
          <w:color w:val="000000" w:themeColor="text1"/>
          <w:sz w:val="32"/>
          <w:szCs w:val="32"/>
          <w14:textFill>
            <w14:solidFill>
              <w14:schemeClr w14:val="tx1"/>
            </w14:solidFill>
          </w14:textFill>
        </w:rPr>
        <w:t>万元，主要用</w:t>
      </w:r>
      <w:r>
        <w:rPr>
          <w:rFonts w:hint="eastAsia" w:ascii="仿宋_GB2312" w:hAnsi="仿宋_GB2312" w:eastAsia="仿宋_GB2312" w:cs="仿宋_GB2312"/>
          <w:color w:val="000000" w:themeColor="text1"/>
          <w:sz w:val="32"/>
          <w:szCs w:val="32"/>
          <w:highlight w:val="none"/>
          <w14:textFill>
            <w14:solidFill>
              <w14:schemeClr w14:val="tx1"/>
            </w14:solidFill>
          </w14:textFill>
        </w:rPr>
        <w:t>于以下方面:</w:t>
      </w:r>
      <w:r>
        <w:rPr>
          <w:rFonts w:hint="eastAsia" w:ascii="仿宋_GB2312" w:hAnsi="仿宋_GB2312" w:eastAsia="仿宋_GB2312" w:cs="仿宋_GB2312"/>
          <w:b/>
          <w:color w:val="000000" w:themeColor="text1"/>
          <w:sz w:val="32"/>
          <w:szCs w:val="32"/>
          <w:highlight w:val="none"/>
          <w14:textFill>
            <w14:solidFill>
              <w14:schemeClr w14:val="tx1"/>
            </w14:solidFill>
          </w14:textFill>
        </w:rPr>
        <w:t>一般公共服务（类）</w:t>
      </w:r>
      <w:r>
        <w:rPr>
          <w:rFonts w:hint="eastAsia" w:ascii="仿宋_GB2312" w:hAnsi="仿宋_GB2312" w:eastAsia="仿宋_GB2312" w:cs="仿宋_GB2312"/>
          <w:color w:val="000000" w:themeColor="text1"/>
          <w:sz w:val="32"/>
          <w:szCs w:val="32"/>
          <w:highlight w:val="none"/>
          <w14:textFill>
            <w14:solidFill>
              <w14:schemeClr w14:val="tx1"/>
            </w14:solidFill>
          </w14:textFill>
        </w:rPr>
        <w:t>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526.57</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2.17</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公共安全支出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13121.56</w:t>
      </w:r>
      <w:r>
        <w:rPr>
          <w:rFonts w:hint="eastAsia" w:ascii="仿宋_GB2312" w:hAnsi="仿宋_GB2312" w:eastAsia="仿宋_GB2312" w:cs="仿宋_GB2312"/>
          <w:color w:val="000000" w:themeColor="text1"/>
          <w:sz w:val="32"/>
          <w:szCs w:val="32"/>
          <w:highlight w:val="none"/>
          <w14:textFill>
            <w14:solidFill>
              <w14:schemeClr w14:val="tx1"/>
            </w14:solidFill>
          </w14:textFill>
        </w:rPr>
        <w:t>，占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54.13</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；教育支出7442.31万元</w:t>
      </w:r>
      <w:r>
        <w:rPr>
          <w:rFonts w:hint="eastAsia" w:ascii="仿宋_GB2312" w:hAnsi="仿宋_GB2312" w:eastAsia="仿宋_GB2312" w:cs="仿宋_GB2312"/>
          <w:color w:val="000000" w:themeColor="text1"/>
          <w:sz w:val="32"/>
          <w:szCs w:val="32"/>
          <w:highlight w:val="none"/>
          <w14:textFill>
            <w14:solidFill>
              <w14:schemeClr w14:val="tx1"/>
            </w14:solidFill>
          </w14:textFill>
        </w:rPr>
        <w:t>，占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30.7</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社会保障和就业支出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1443.08</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highlight w:val="none"/>
          <w14:textFill>
            <w14:solidFill>
              <w14:schemeClr w14:val="tx1"/>
            </w14:solidFill>
          </w14:textFill>
        </w:rPr>
        <w:t>，占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5.95</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；卫生健康支出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403.99</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highlight w:val="none"/>
          <w14:textFill>
            <w14:solidFill>
              <w14:schemeClr w14:val="tx1"/>
            </w14:solidFill>
          </w14:textFill>
        </w:rPr>
        <w:t>，占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1.67</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；住房保障支出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1297.59</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highlight w:val="none"/>
          <w14:textFill>
            <w14:solidFill>
              <w14:schemeClr w14:val="tx1"/>
            </w14:solidFill>
          </w14:textFill>
        </w:rPr>
        <w:t>，占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5.35</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灾害防治及应急管理支出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highlight w:val="none"/>
          <w14:textFill>
            <w14:solidFill>
              <w14:schemeClr w14:val="tx1"/>
            </w14:solidFill>
          </w14:textFill>
        </w:rPr>
        <w:t>，占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0.02</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（图6：一般公共预算财政拨款支出决算结构）（饼状图）</w:t>
      </w:r>
    </w:p>
    <w:p>
      <w:pPr>
        <w:bidi w:val="0"/>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4572000" cy="4038600"/>
            <wp:effectExtent l="4445" t="4445" r="14605" b="14605"/>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eastAsia" w:ascii="楷体_GB2312" w:hAnsi="楷体_GB2312" w:eastAsia="楷体_GB2312" w:cs="楷体_GB2312"/>
          <w:b/>
          <w:color w:val="000000" w:themeColor="text1"/>
          <w:sz w:val="32"/>
          <w:szCs w:val="32"/>
          <w:highlight w:val="none"/>
          <w14:textFill>
            <w14:solidFill>
              <w14:schemeClr w14:val="tx1"/>
            </w14:solidFill>
          </w14:textFill>
        </w:rPr>
      </w:pPr>
      <w:bookmarkStart w:id="40" w:name="_Toc15377212"/>
      <w:r>
        <w:rPr>
          <w:rFonts w:hint="eastAsia" w:ascii="楷体_GB2312" w:hAnsi="楷体_GB2312" w:eastAsia="楷体_GB2312" w:cs="楷体_GB2312"/>
          <w:b/>
          <w:color w:val="000000" w:themeColor="text1"/>
          <w:sz w:val="32"/>
          <w:szCs w:val="32"/>
          <w:highlight w:val="none"/>
          <w14:textFill>
            <w14:solidFill>
              <w14:schemeClr w14:val="tx1"/>
            </w14:solidFill>
          </w14:textFill>
        </w:rPr>
        <w:t>（三）一般公共预算财政拨款支出决算具体情况</w:t>
      </w:r>
      <w:bookmarkEnd w:id="40"/>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color w:val="000000" w:themeColor="text1"/>
          <w:sz w:val="32"/>
          <w:szCs w:val="32"/>
          <w:highlight w:val="none"/>
          <w14:textFill>
            <w14:solidFill>
              <w14:schemeClr w14:val="tx1"/>
            </w14:solidFill>
          </w14:textFill>
        </w:rPr>
      </w:pPr>
      <w:bookmarkStart w:id="41" w:name="_Toc15377213"/>
      <w:bookmarkStart w:id="42" w:name="_Toc15378460"/>
      <w:bookmarkStart w:id="43" w:name="_Toc15377444"/>
      <w:r>
        <w:rPr>
          <w:rFonts w:hint="eastAsia" w:ascii="仿宋_GB2312" w:hAnsi="仿宋_GB2312" w:eastAsia="仿宋_GB2312" w:cs="仿宋_GB2312"/>
          <w:b/>
          <w:color w:val="000000" w:themeColor="text1"/>
          <w:sz w:val="32"/>
          <w:szCs w:val="32"/>
          <w:highlight w:val="none"/>
          <w14:textFill>
            <w14:solidFill>
              <w14:schemeClr w14:val="tx1"/>
            </w14:solidFill>
          </w14:textFill>
        </w:rPr>
        <w:t>20</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21</w:t>
      </w:r>
      <w:r>
        <w:rPr>
          <w:rFonts w:hint="eastAsia" w:ascii="仿宋_GB2312" w:hAnsi="仿宋_GB2312" w:eastAsia="仿宋_GB2312" w:cs="仿宋_GB2312"/>
          <w:b/>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一</w:t>
      </w:r>
      <w:r>
        <w:rPr>
          <w:rFonts w:hint="eastAsia" w:ascii="仿宋_GB2312" w:hAnsi="仿宋_GB2312" w:eastAsia="仿宋_GB2312" w:cs="仿宋_GB2312"/>
          <w:b/>
          <w:color w:val="000000" w:themeColor="text1"/>
          <w:sz w:val="32"/>
          <w:szCs w:val="32"/>
          <w:highlight w:val="none"/>
          <w14:textFill>
            <w14:solidFill>
              <w14:schemeClr w14:val="tx1"/>
            </w14:solidFill>
          </w14:textFill>
        </w:rPr>
        <w:t>般公共预算支出决算数为</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24240.10万元</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Style w:val="16"/>
          <w:rFonts w:hint="eastAsia" w:ascii="仿宋_GB2312" w:hAnsi="仿宋_GB2312" w:eastAsia="仿宋_GB2312" w:cs="仿宋_GB2312"/>
          <w:bCs/>
          <w:color w:val="000000" w:themeColor="text1"/>
          <w:sz w:val="32"/>
          <w:szCs w:val="32"/>
          <w:highlight w:val="none"/>
          <w14:textFill>
            <w14:solidFill>
              <w14:schemeClr w14:val="tx1"/>
            </w14:solidFill>
          </w14:textFill>
        </w:rPr>
        <w:t>完成预算</w:t>
      </w:r>
      <w:r>
        <w:rPr>
          <w:rStyle w:val="16"/>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90.97</w:t>
      </w:r>
      <w:r>
        <w:rPr>
          <w:rStyle w:val="16"/>
          <w:rFonts w:hint="eastAsia" w:ascii="仿宋_GB2312" w:hAnsi="仿宋_GB2312" w:eastAsia="仿宋_GB2312" w:cs="仿宋_GB2312"/>
          <w:bCs/>
          <w:color w:val="000000" w:themeColor="text1"/>
          <w:sz w:val="32"/>
          <w:szCs w:val="32"/>
          <w:highlight w:val="none"/>
          <w14:textFill>
            <w14:solidFill>
              <w14:schemeClr w14:val="tx1"/>
            </w14:solidFill>
          </w14:textFill>
        </w:rPr>
        <w:t>%。其中：</w:t>
      </w:r>
      <w:bookmarkEnd w:id="41"/>
      <w:bookmarkEnd w:id="42"/>
      <w:bookmarkEnd w:id="43"/>
    </w:p>
    <w:p>
      <w:pPr>
        <w:pStyle w:val="3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1.一般公共服务（类）</w:t>
      </w:r>
      <w:r>
        <w:rPr>
          <w:rFonts w:hint="eastAsia" w:ascii="仿宋_GB2312" w:hAnsi="仿宋_GB2312" w:eastAsia="仿宋_GB2312" w:cs="仿宋_GB2312"/>
          <w:color w:val="000000" w:themeColor="text1"/>
          <w:sz w:val="32"/>
          <w:szCs w:val="32"/>
          <w:lang w:eastAsia="zh-CN"/>
          <w14:textFill>
            <w14:solidFill>
              <w14:schemeClr w14:val="tx1"/>
            </w14:solidFill>
          </w14:textFill>
        </w:rPr>
        <w:t>政府办公厅（室）及相关机构事务</w:t>
      </w:r>
      <w:r>
        <w:rPr>
          <w:rFonts w:hint="eastAsia" w:ascii="仿宋_GB2312" w:hAnsi="仿宋_GB2312" w:eastAsia="仿宋_GB2312" w:cs="仿宋_GB2312"/>
          <w:color w:val="000000" w:themeColor="text1"/>
          <w:sz w:val="32"/>
          <w:szCs w:val="32"/>
          <w14:textFill>
            <w14:solidFill>
              <w14:schemeClr w14:val="tx1"/>
            </w14:solidFill>
          </w14:textFill>
        </w:rPr>
        <w:t>（款）</w:t>
      </w:r>
      <w:r>
        <w:rPr>
          <w:rFonts w:hint="eastAsia" w:ascii="仿宋_GB2312" w:hAnsi="仿宋_GB2312" w:eastAsia="仿宋_GB2312" w:cs="仿宋_GB2312"/>
          <w:color w:val="000000" w:themeColor="text1"/>
          <w:sz w:val="32"/>
          <w:szCs w:val="32"/>
          <w:lang w:eastAsia="zh-CN"/>
          <w14:textFill>
            <w14:solidFill>
              <w14:schemeClr w14:val="tx1"/>
            </w14:solidFill>
          </w14:textFill>
        </w:rPr>
        <w:t>其他政府办公厅（室）及相关机构事务支出</w:t>
      </w:r>
      <w:r>
        <w:rPr>
          <w:rFonts w:hint="eastAsia" w:ascii="仿宋_GB2312" w:hAnsi="仿宋_GB2312" w:eastAsia="仿宋_GB2312" w:cs="仿宋_GB2312"/>
          <w:color w:val="000000" w:themeColor="text1"/>
          <w:sz w:val="32"/>
          <w:szCs w:val="32"/>
          <w14:textFill>
            <w14:solidFill>
              <w14:schemeClr w14:val="tx1"/>
            </w14:solidFill>
          </w14:textFill>
        </w:rPr>
        <w:t>（项）:支出决算为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300.58</w:t>
      </w:r>
      <w:r>
        <w:rPr>
          <w:rFonts w:hint="eastAsia" w:ascii="仿宋_GB2312" w:hAnsi="仿宋_GB2312" w:eastAsia="仿宋_GB2312" w:cs="仿宋_GB2312"/>
          <w:color w:val="000000" w:themeColor="text1"/>
          <w:sz w:val="32"/>
          <w:szCs w:val="32"/>
          <w14:textFill>
            <w14:solidFill>
              <w14:schemeClr w14:val="tx1"/>
            </w14:solidFill>
          </w14:textFill>
        </w:rPr>
        <w:t>万元，完成预算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40.02</w:t>
      </w:r>
      <w:r>
        <w:rPr>
          <w:rFonts w:hint="eastAsia" w:ascii="仿宋_GB2312" w:hAnsi="仿宋_GB2312" w:eastAsia="仿宋_GB2312" w:cs="仿宋_GB2312"/>
          <w:color w:val="000000" w:themeColor="text1"/>
          <w:sz w:val="32"/>
          <w:szCs w:val="32"/>
          <w14:textFill>
            <w14:solidFill>
              <w14:schemeClr w14:val="tx1"/>
            </w14:solidFill>
          </w14:textFill>
        </w:rPr>
        <w:t>%。决算数小于预算数的主要原因</w:t>
      </w: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是</w:t>
      </w:r>
      <w:r>
        <w:rPr>
          <w:rFonts w:hint="eastAsia" w:ascii="仿宋_GB2312" w:hAnsi="仿宋_GB2312" w:eastAsia="仿宋_GB2312" w:cs="仿宋_GB2312"/>
          <w:color w:val="000000" w:themeColor="text1"/>
          <w:sz w:val="32"/>
          <w:szCs w:val="32"/>
          <w:lang w:eastAsia="zh-CN"/>
          <w14:textFill>
            <w14:solidFill>
              <w14:schemeClr w14:val="tx1"/>
            </w14:solidFill>
          </w14:textFill>
        </w:rPr>
        <w:t>驻地实施街道风貌整治，为实现风貌统一，与之同步实施。二是根据项目进度进行资金支付，而施工进度时常受到疫情影响</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3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一般公共服务（类）纪检监察事务（款）大案要案查处（项）:支出决算为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209.99</w:t>
      </w:r>
      <w:r>
        <w:rPr>
          <w:rFonts w:hint="eastAsia" w:ascii="仿宋_GB2312" w:hAnsi="仿宋_GB2312" w:eastAsia="仿宋_GB2312" w:cs="仿宋_GB2312"/>
          <w:color w:val="000000" w:themeColor="text1"/>
          <w:sz w:val="32"/>
          <w:szCs w:val="32"/>
          <w14:textFill>
            <w14:solidFill>
              <w14:schemeClr w14:val="tx1"/>
            </w14:solidFill>
          </w14:textFill>
        </w:rPr>
        <w:t>万元，完成预算100%。</w:t>
      </w:r>
    </w:p>
    <w:p>
      <w:pPr>
        <w:pStyle w:val="3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.一般公共服务（类）市场监督管理事务（款）其他市场监督管理事务（项）:支出决算为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color w:val="000000" w:themeColor="text1"/>
          <w:sz w:val="32"/>
          <w:szCs w:val="32"/>
          <w14:textFill>
            <w14:solidFill>
              <w14:schemeClr w14:val="tx1"/>
            </w14:solidFill>
          </w14:textFill>
        </w:rPr>
        <w:t>万元，完成预算100%。</w:t>
      </w:r>
    </w:p>
    <w:p>
      <w:pPr>
        <w:pStyle w:val="3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.公共安全支出（类）司法（款）行政运行（项）:支出决算为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6405.84</w:t>
      </w:r>
      <w:r>
        <w:rPr>
          <w:rFonts w:hint="eastAsia" w:ascii="仿宋_GB2312" w:hAnsi="仿宋_GB2312" w:eastAsia="仿宋_GB2312" w:cs="仿宋_GB2312"/>
          <w:color w:val="000000" w:themeColor="text1"/>
          <w:sz w:val="32"/>
          <w:szCs w:val="32"/>
          <w14:textFill>
            <w14:solidFill>
              <w14:schemeClr w14:val="tx1"/>
            </w14:solidFill>
          </w14:textFill>
        </w:rPr>
        <w:t>万元，完成预算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91.43</w:t>
      </w:r>
      <w:r>
        <w:rPr>
          <w:rFonts w:hint="eastAsia" w:ascii="仿宋_GB2312" w:hAnsi="仿宋_GB2312" w:eastAsia="仿宋_GB2312" w:cs="仿宋_GB2312"/>
          <w:color w:val="000000" w:themeColor="text1"/>
          <w:sz w:val="32"/>
          <w:szCs w:val="32"/>
          <w14:textFill>
            <w14:solidFill>
              <w14:schemeClr w14:val="tx1"/>
            </w14:solidFill>
          </w14:textFill>
        </w:rPr>
        <w:t>%,</w:t>
      </w:r>
      <w:r>
        <w:rPr>
          <w:rStyle w:val="34"/>
          <w:rFonts w:hint="eastAsia" w:ascii="仿宋_GB2312" w:hAnsi="仿宋_GB2312" w:eastAsia="仿宋_GB2312" w:cs="仿宋_GB2312"/>
          <w:b w:val="0"/>
          <w:bCs/>
          <w:color w:val="000000" w:themeColor="text1"/>
          <w:sz w:val="32"/>
          <w:szCs w:val="32"/>
          <w14:textFill>
            <w14:solidFill>
              <w14:schemeClr w14:val="tx1"/>
            </w14:solidFill>
          </w14:textFill>
        </w:rPr>
        <w:t>决算数小于预算数的主要原因是</w:t>
      </w:r>
      <w:r>
        <w:rPr>
          <w:rFonts w:hint="eastAsia" w:ascii="仿宋_GB2312" w:hAnsi="仿宋_GB2312" w:eastAsia="仿宋_GB2312" w:cs="仿宋_GB2312"/>
          <w:color w:val="000000" w:themeColor="text1"/>
          <w:sz w:val="32"/>
          <w:szCs w:val="32"/>
          <w14:textFill>
            <w14:solidFill>
              <w14:schemeClr w14:val="tx1"/>
            </w14:solidFill>
          </w14:textFill>
        </w:rPr>
        <w:t>单位厉行节约,落实过紧日子的要求。</w:t>
      </w:r>
    </w:p>
    <w:p>
      <w:pPr>
        <w:pStyle w:val="3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.公共安全支出（类）司法（款）一般行政管理事务（项）:支出决算为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4504.30</w:t>
      </w:r>
      <w:r>
        <w:rPr>
          <w:rFonts w:hint="eastAsia" w:ascii="仿宋_GB2312" w:hAnsi="仿宋_GB2312" w:eastAsia="仿宋_GB2312" w:cs="仿宋_GB2312"/>
          <w:color w:val="000000" w:themeColor="text1"/>
          <w:sz w:val="32"/>
          <w:szCs w:val="32"/>
          <w14:textFill>
            <w14:solidFill>
              <w14:schemeClr w14:val="tx1"/>
            </w14:solidFill>
          </w14:textFill>
        </w:rPr>
        <w:t>万元，完成预算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91.30</w:t>
      </w:r>
      <w:r>
        <w:rPr>
          <w:rFonts w:hint="eastAsia" w:ascii="仿宋_GB2312" w:hAnsi="仿宋_GB2312" w:eastAsia="仿宋_GB2312" w:cs="仿宋_GB2312"/>
          <w:color w:val="000000" w:themeColor="text1"/>
          <w:sz w:val="32"/>
          <w:szCs w:val="32"/>
          <w14:textFill>
            <w14:solidFill>
              <w14:schemeClr w14:val="tx1"/>
            </w14:solidFill>
          </w14:textFill>
        </w:rPr>
        <w:t>%,</w:t>
      </w:r>
      <w:r>
        <w:rPr>
          <w:rStyle w:val="34"/>
          <w:rFonts w:hint="eastAsia" w:ascii="仿宋_GB2312" w:hAnsi="仿宋_GB2312" w:eastAsia="仿宋_GB2312" w:cs="仿宋_GB2312"/>
          <w:b w:val="0"/>
          <w:bCs/>
          <w:color w:val="000000" w:themeColor="text1"/>
          <w:sz w:val="32"/>
          <w:szCs w:val="32"/>
          <w14:textFill>
            <w14:solidFill>
              <w14:schemeClr w14:val="tx1"/>
            </w14:solidFill>
          </w14:textFill>
        </w:rPr>
        <w:t>决算数小于预算数的主要原因是通过政府采购节约了预算。</w:t>
      </w:r>
    </w:p>
    <w:p>
      <w:pPr>
        <w:pStyle w:val="3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kern w:val="2"/>
          <w:sz w:val="32"/>
          <w:szCs w:val="32"/>
          <w:lang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6</w:t>
      </w:r>
      <w:r>
        <w:rPr>
          <w:rFonts w:hint="eastAsia" w:ascii="仿宋_GB2312" w:hAnsi="仿宋_GB2312" w:eastAsia="仿宋_GB2312" w:cs="仿宋_GB2312"/>
          <w:color w:val="000000" w:themeColor="text1"/>
          <w:kern w:val="2"/>
          <w:sz w:val="32"/>
          <w:szCs w:val="32"/>
          <w:lang w:bidi="ar-SA"/>
          <w14:textFill>
            <w14:solidFill>
              <w14:schemeClr w14:val="tx1"/>
            </w14:solidFill>
          </w14:textFill>
        </w:rPr>
        <w:t>.公共安全支出（类）司法（款）机关服务（项）:支出决算为</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149.02</w:t>
      </w:r>
      <w:r>
        <w:rPr>
          <w:rFonts w:hint="eastAsia" w:ascii="仿宋_GB2312" w:hAnsi="仿宋_GB2312" w:eastAsia="仿宋_GB2312" w:cs="仿宋_GB2312"/>
          <w:color w:val="000000" w:themeColor="text1"/>
          <w:kern w:val="2"/>
          <w:sz w:val="32"/>
          <w:szCs w:val="32"/>
          <w:lang w:bidi="ar-SA"/>
          <w14:textFill>
            <w14:solidFill>
              <w14:schemeClr w14:val="tx1"/>
            </w14:solidFill>
          </w14:textFill>
        </w:rPr>
        <w:t>万元，完成预算</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98.64</w:t>
      </w:r>
      <w:r>
        <w:rPr>
          <w:rFonts w:hint="eastAsia" w:ascii="仿宋_GB2312" w:hAnsi="仿宋_GB2312" w:eastAsia="仿宋_GB2312" w:cs="仿宋_GB2312"/>
          <w:color w:val="000000" w:themeColor="text1"/>
          <w:kern w:val="2"/>
          <w:sz w:val="32"/>
          <w:szCs w:val="32"/>
          <w:lang w:bidi="ar-SA"/>
          <w14:textFill>
            <w14:solidFill>
              <w14:schemeClr w14:val="tx1"/>
            </w14:solidFill>
          </w14:textFill>
        </w:rPr>
        <w:t>%。</w:t>
      </w:r>
      <w:r>
        <w:rPr>
          <w:rStyle w:val="34"/>
          <w:rFonts w:hint="eastAsia" w:ascii="仿宋_GB2312" w:hAnsi="仿宋_GB2312" w:eastAsia="仿宋_GB2312" w:cs="仿宋_GB2312"/>
          <w:b w:val="0"/>
          <w:bCs/>
          <w:color w:val="000000" w:themeColor="text1"/>
          <w:sz w:val="32"/>
          <w:szCs w:val="32"/>
          <w14:textFill>
            <w14:solidFill>
              <w14:schemeClr w14:val="tx1"/>
            </w14:solidFill>
          </w14:textFill>
        </w:rPr>
        <w:t>决算数小于预算数的主要原因是</w:t>
      </w:r>
      <w:r>
        <w:rPr>
          <w:rFonts w:hint="eastAsia" w:ascii="仿宋_GB2312" w:hAnsi="仿宋_GB2312" w:eastAsia="仿宋_GB2312" w:cs="仿宋_GB2312"/>
          <w:color w:val="000000" w:themeColor="text1"/>
          <w:sz w:val="32"/>
          <w:szCs w:val="32"/>
          <w:lang w:eastAsia="zh-CN"/>
          <w14:textFill>
            <w14:solidFill>
              <w14:schemeClr w14:val="tx1"/>
            </w14:solidFill>
          </w14:textFill>
        </w:rPr>
        <w:t>人员变动，人员支出减少</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3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.公共安全支出（类）司法（款）基层司法业务（项）:支出决算为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494.2</w:t>
      </w:r>
      <w:r>
        <w:rPr>
          <w:rFonts w:hint="eastAsia" w:ascii="仿宋_GB2312" w:hAnsi="仿宋_GB2312" w:eastAsia="仿宋_GB2312" w:cs="仿宋_GB2312"/>
          <w:color w:val="000000" w:themeColor="text1"/>
          <w:sz w:val="32"/>
          <w:szCs w:val="32"/>
          <w14:textFill>
            <w14:solidFill>
              <w14:schemeClr w14:val="tx1"/>
            </w14:solidFill>
          </w14:textFill>
        </w:rPr>
        <w:t>万元，完成预算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3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8</w:t>
      </w:r>
      <w:r>
        <w:rPr>
          <w:rFonts w:hint="eastAsia" w:ascii="仿宋_GB2312" w:hAnsi="仿宋_GB2312" w:eastAsia="仿宋_GB2312" w:cs="仿宋_GB2312"/>
          <w:color w:val="000000" w:themeColor="text1"/>
          <w:kern w:val="2"/>
          <w:sz w:val="32"/>
          <w:szCs w:val="32"/>
          <w:lang w:bidi="ar-SA"/>
          <w14:textFill>
            <w14:solidFill>
              <w14:schemeClr w14:val="tx1"/>
            </w14:solidFill>
          </w14:textFill>
        </w:rPr>
        <w:t>.公共安全支出（类）司法（款）普法宣传（项）:支出决算为</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w:t>
      </w:r>
      <w:r>
        <w:rPr>
          <w:rFonts w:hint="eastAsia" w:ascii="仿宋_GB2312" w:hAnsi="仿宋_GB2312" w:eastAsia="仿宋_GB2312" w:cs="仿宋_GB2312"/>
          <w:color w:val="000000" w:themeColor="text1"/>
          <w:kern w:val="2"/>
          <w:sz w:val="32"/>
          <w:szCs w:val="32"/>
          <w:lang w:bidi="ar-SA"/>
          <w14:textFill>
            <w14:solidFill>
              <w14:schemeClr w14:val="tx1"/>
            </w14:solidFill>
          </w14:textFill>
        </w:rPr>
        <w:t>70万元，完成预算100%。</w:t>
      </w:r>
    </w:p>
    <w:p>
      <w:pPr>
        <w:pStyle w:val="3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.公共安全支出（类）司法（款）法律援助（项）:支出决算为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649.65</w:t>
      </w:r>
      <w:r>
        <w:rPr>
          <w:rFonts w:hint="eastAsia" w:ascii="仿宋_GB2312" w:hAnsi="仿宋_GB2312" w:eastAsia="仿宋_GB2312" w:cs="仿宋_GB2312"/>
          <w:color w:val="000000" w:themeColor="text1"/>
          <w:sz w:val="32"/>
          <w:szCs w:val="32"/>
          <w14:textFill>
            <w14:solidFill>
              <w14:schemeClr w14:val="tx1"/>
            </w14:solidFill>
          </w14:textFill>
        </w:rPr>
        <w:t>万元，完成预算100%。</w:t>
      </w:r>
    </w:p>
    <w:p>
      <w:pPr>
        <w:pStyle w:val="3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.公共安全支出（类）司法（款）国家统一法律职业资格考试（项）:支出决算为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46.54</w:t>
      </w:r>
      <w:r>
        <w:rPr>
          <w:rFonts w:hint="eastAsia" w:ascii="仿宋_GB2312" w:hAnsi="仿宋_GB2312" w:eastAsia="仿宋_GB2312" w:cs="仿宋_GB2312"/>
          <w:color w:val="000000" w:themeColor="text1"/>
          <w:sz w:val="32"/>
          <w:szCs w:val="32"/>
          <w14:textFill>
            <w14:solidFill>
              <w14:schemeClr w14:val="tx1"/>
            </w14:solidFill>
          </w14:textFill>
        </w:rPr>
        <w:t>万元，完成预算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77.57</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3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34"/>
          <w:rFonts w:hint="eastAsia" w:ascii="仿宋_GB2312" w:hAnsi="仿宋_GB2312" w:eastAsia="仿宋_GB2312" w:cs="仿宋_GB2312"/>
          <w:b w:val="0"/>
          <w:bCs/>
          <w:color w:val="000000" w:themeColor="text1"/>
          <w:sz w:val="32"/>
          <w:szCs w:val="32"/>
          <w14:textFill>
            <w14:solidFill>
              <w14:schemeClr w14:val="tx1"/>
            </w14:solidFill>
          </w14:textFill>
        </w:rPr>
        <w:t>决算数小于预算数的主要原因是优化支出结构，按照项目执行情况开支。</w:t>
      </w:r>
    </w:p>
    <w:p>
      <w:pPr>
        <w:pStyle w:val="3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.公共安全支出（类）司法（款）法制建设（项）:支出决算为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390</w:t>
      </w:r>
      <w:r>
        <w:rPr>
          <w:rFonts w:hint="eastAsia" w:ascii="仿宋_GB2312" w:hAnsi="仿宋_GB2312" w:eastAsia="仿宋_GB2312" w:cs="仿宋_GB2312"/>
          <w:color w:val="000000" w:themeColor="text1"/>
          <w:sz w:val="32"/>
          <w:szCs w:val="32"/>
          <w14:textFill>
            <w14:solidFill>
              <w14:schemeClr w14:val="tx1"/>
            </w14:solidFill>
          </w14:textFill>
        </w:rPr>
        <w:t>万元，完成预算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84.78</w:t>
      </w:r>
      <w:r>
        <w:rPr>
          <w:rFonts w:hint="eastAsia" w:ascii="仿宋_GB2312" w:hAnsi="仿宋_GB2312" w:eastAsia="仿宋_GB2312" w:cs="仿宋_GB2312"/>
          <w:color w:val="000000" w:themeColor="text1"/>
          <w:sz w:val="32"/>
          <w:szCs w:val="32"/>
          <w14:textFill>
            <w14:solidFill>
              <w14:schemeClr w14:val="tx1"/>
            </w14:solidFill>
          </w14:textFill>
        </w:rPr>
        <w:t>%。</w:t>
      </w:r>
      <w:r>
        <w:rPr>
          <w:rStyle w:val="34"/>
          <w:rFonts w:hint="eastAsia" w:ascii="仿宋_GB2312" w:hAnsi="仿宋_GB2312" w:eastAsia="仿宋_GB2312" w:cs="仿宋_GB2312"/>
          <w:b w:val="0"/>
          <w:bCs/>
          <w:color w:val="000000" w:themeColor="text1"/>
          <w:sz w:val="32"/>
          <w:szCs w:val="32"/>
          <w14:textFill>
            <w14:solidFill>
              <w14:schemeClr w14:val="tx1"/>
            </w14:solidFill>
          </w14:textFill>
        </w:rPr>
        <w:t>决算数小于预算数的主要原因是优化支出结构，按照项目执行情况开支。</w:t>
      </w:r>
    </w:p>
    <w:p>
      <w:pPr>
        <w:pStyle w:val="3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.公共安全支出（类）其他公共安全（款）</w:t>
      </w:r>
      <w:r>
        <w:rPr>
          <w:rStyle w:val="34"/>
          <w:rFonts w:hint="eastAsia" w:ascii="仿宋_GB2312" w:hAnsi="仿宋_GB2312" w:eastAsia="仿宋_GB2312" w:cs="仿宋_GB2312"/>
          <w:b w:val="0"/>
          <w:bCs/>
          <w:color w:val="000000" w:themeColor="text1"/>
          <w:sz w:val="32"/>
          <w:szCs w:val="32"/>
          <w:lang w:eastAsia="zh-CN"/>
          <w14:textFill>
            <w14:solidFill>
              <w14:schemeClr w14:val="tx1"/>
            </w14:solidFill>
          </w14:textFill>
        </w:rPr>
        <w:t>国家司法救助支出</w:t>
      </w:r>
      <w:r>
        <w:rPr>
          <w:rFonts w:hint="eastAsia" w:ascii="仿宋_GB2312" w:hAnsi="仿宋_GB2312" w:eastAsia="仿宋_GB2312" w:cs="仿宋_GB2312"/>
          <w:color w:val="000000" w:themeColor="text1"/>
          <w:sz w:val="32"/>
          <w:szCs w:val="32"/>
          <w14:textFill>
            <w14:solidFill>
              <w14:schemeClr w14:val="tx1"/>
            </w14:solidFill>
          </w14:textFill>
        </w:rPr>
        <w:t>（项）:</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支出决算为</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12</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万元，完成预算</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%。决算数小于预算数的主要原因</w:t>
      </w:r>
      <w:r>
        <w:rPr>
          <w:rStyle w:val="34"/>
          <w:rFonts w:hint="eastAsia" w:ascii="仿宋_GB2312" w:hAnsi="仿宋_GB2312" w:eastAsia="仿宋_GB2312" w:cs="仿宋_GB2312"/>
          <w:b w:val="0"/>
          <w:bCs/>
          <w:color w:val="000000" w:themeColor="text1"/>
          <w:sz w:val="32"/>
          <w:szCs w:val="32"/>
          <w14:textFill>
            <w14:solidFill>
              <w14:schemeClr w14:val="tx1"/>
            </w14:solidFill>
          </w14:textFill>
        </w:rPr>
        <w:t>是按照实际情况开支</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3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.教育（类）职业教育（款）高等职业教育（项）:支出决算为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7440.61</w:t>
      </w:r>
      <w:r>
        <w:rPr>
          <w:rFonts w:hint="eastAsia" w:ascii="仿宋_GB2312" w:hAnsi="仿宋_GB2312" w:eastAsia="仿宋_GB2312" w:cs="仿宋_GB2312"/>
          <w:color w:val="000000" w:themeColor="text1"/>
          <w:sz w:val="32"/>
          <w:szCs w:val="32"/>
          <w14:textFill>
            <w14:solidFill>
              <w14:schemeClr w14:val="tx1"/>
            </w14:solidFill>
          </w14:textFill>
        </w:rPr>
        <w:t>万元，完成预算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90.71</w:t>
      </w:r>
      <w:r>
        <w:rPr>
          <w:rFonts w:hint="eastAsia" w:ascii="仿宋_GB2312" w:hAnsi="仿宋_GB2312" w:eastAsia="仿宋_GB2312" w:cs="仿宋_GB2312"/>
          <w:color w:val="000000" w:themeColor="text1"/>
          <w:sz w:val="32"/>
          <w:szCs w:val="32"/>
          <w14:textFill>
            <w14:solidFill>
              <w14:schemeClr w14:val="tx1"/>
            </w14:solidFill>
          </w14:textFill>
        </w:rPr>
        <w:t>%。决算数小于预算数的主要原因是根据教育厅下达的实际学生人数</w:t>
      </w:r>
      <w:r>
        <w:rPr>
          <w:rFonts w:hint="eastAsia" w:ascii="仿宋_GB2312" w:hAnsi="仿宋_GB2312" w:eastAsia="仿宋_GB2312" w:cs="仿宋_GB2312"/>
          <w:color w:val="000000" w:themeColor="text1"/>
          <w:sz w:val="32"/>
          <w:szCs w:val="32"/>
          <w:lang w:eastAsia="zh-CN"/>
          <w14:textFill>
            <w14:solidFill>
              <w14:schemeClr w14:val="tx1"/>
            </w14:solidFill>
          </w14:textFill>
        </w:rPr>
        <w:t>支出</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3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.教育（类）</w:t>
      </w:r>
      <w:r>
        <w:rPr>
          <w:rFonts w:hint="eastAsia" w:ascii="仿宋_GB2312" w:hAnsi="仿宋_GB2312" w:eastAsia="仿宋_GB2312" w:cs="仿宋_GB2312"/>
          <w:color w:val="000000" w:themeColor="text1"/>
          <w:sz w:val="32"/>
          <w:szCs w:val="32"/>
          <w:lang w:eastAsia="zh-CN"/>
          <w14:textFill>
            <w14:solidFill>
              <w14:schemeClr w14:val="tx1"/>
            </w14:solidFill>
          </w14:textFill>
        </w:rPr>
        <w:t>进修及培训</w:t>
      </w:r>
      <w:r>
        <w:rPr>
          <w:rFonts w:hint="eastAsia" w:ascii="仿宋_GB2312" w:hAnsi="仿宋_GB2312" w:eastAsia="仿宋_GB2312" w:cs="仿宋_GB2312"/>
          <w:color w:val="000000" w:themeColor="text1"/>
          <w:sz w:val="32"/>
          <w:szCs w:val="32"/>
          <w14:textFill>
            <w14:solidFill>
              <w14:schemeClr w14:val="tx1"/>
            </w14:solidFill>
          </w14:textFill>
        </w:rPr>
        <w:t>（款）</w:t>
      </w:r>
      <w:r>
        <w:rPr>
          <w:rFonts w:hint="eastAsia" w:ascii="仿宋_GB2312" w:hAnsi="仿宋_GB2312" w:eastAsia="仿宋_GB2312" w:cs="仿宋_GB2312"/>
          <w:color w:val="000000" w:themeColor="text1"/>
          <w:sz w:val="32"/>
          <w:szCs w:val="32"/>
          <w:lang w:eastAsia="zh-CN"/>
          <w14:textFill>
            <w14:solidFill>
              <w14:schemeClr w14:val="tx1"/>
            </w14:solidFill>
          </w14:textFill>
        </w:rPr>
        <w:t>其他进修及培训</w:t>
      </w:r>
      <w:r>
        <w:rPr>
          <w:rFonts w:hint="eastAsia" w:ascii="仿宋_GB2312" w:hAnsi="仿宋_GB2312" w:eastAsia="仿宋_GB2312" w:cs="仿宋_GB2312"/>
          <w:color w:val="000000" w:themeColor="text1"/>
          <w:sz w:val="32"/>
          <w:szCs w:val="32"/>
          <w14:textFill>
            <w14:solidFill>
              <w14:schemeClr w14:val="tx1"/>
            </w14:solidFill>
          </w14:textFill>
        </w:rPr>
        <w:t>（项）:支出决算为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1.70</w:t>
      </w:r>
      <w:r>
        <w:rPr>
          <w:rFonts w:hint="eastAsia" w:ascii="仿宋_GB2312" w:hAnsi="仿宋_GB2312" w:eastAsia="仿宋_GB2312" w:cs="仿宋_GB2312"/>
          <w:color w:val="000000" w:themeColor="text1"/>
          <w:sz w:val="32"/>
          <w:szCs w:val="32"/>
          <w14:textFill>
            <w14:solidFill>
              <w14:schemeClr w14:val="tx1"/>
            </w14:solidFill>
          </w14:textFill>
        </w:rPr>
        <w:t>万元，完成预算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3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.社会保障和就业（类）行政事业单位养老支出（款）行政单位离退休（项）:支出决算为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802.13</w:t>
      </w:r>
      <w:r>
        <w:rPr>
          <w:rFonts w:hint="eastAsia" w:ascii="仿宋_GB2312" w:hAnsi="仿宋_GB2312" w:eastAsia="仿宋_GB2312" w:cs="仿宋_GB2312"/>
          <w:color w:val="000000" w:themeColor="text1"/>
          <w:sz w:val="32"/>
          <w:szCs w:val="32"/>
          <w14:textFill>
            <w14:solidFill>
              <w14:schemeClr w14:val="tx1"/>
            </w14:solidFill>
          </w14:textFill>
        </w:rPr>
        <w:t>万元，完成预算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3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16.社会保障和就业（类）行政事业单位养老支出（款）机关事业单位养老保险缴费支出（项）: 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386.89</w:t>
      </w:r>
      <w:r>
        <w:rPr>
          <w:rFonts w:hint="eastAsia" w:ascii="仿宋_GB2312" w:hAnsi="仿宋_GB2312" w:eastAsia="仿宋_GB2312" w:cs="仿宋_GB2312"/>
          <w:color w:val="000000" w:themeColor="text1"/>
          <w:sz w:val="32"/>
          <w:szCs w:val="32"/>
          <w14:textFill>
            <w14:solidFill>
              <w14:schemeClr w14:val="tx1"/>
            </w14:solidFill>
          </w14:textFill>
        </w:rPr>
        <w:t>万元，完成预算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89.10</w:t>
      </w:r>
      <w:r>
        <w:rPr>
          <w:rFonts w:hint="eastAsia" w:ascii="仿宋_GB2312" w:hAnsi="仿宋_GB2312" w:eastAsia="仿宋_GB2312" w:cs="仿宋_GB2312"/>
          <w:color w:val="000000" w:themeColor="text1"/>
          <w:sz w:val="32"/>
          <w:szCs w:val="32"/>
          <w14:textFill>
            <w14:solidFill>
              <w14:schemeClr w14:val="tx1"/>
            </w14:solidFill>
          </w14:textFill>
        </w:rPr>
        <w:t>%，决算数小于预算数的主要原因</w:t>
      </w:r>
      <w:r>
        <w:rPr>
          <w:rStyle w:val="34"/>
          <w:rFonts w:hint="eastAsia" w:ascii="仿宋_GB2312" w:hAnsi="仿宋_GB2312" w:eastAsia="仿宋_GB2312" w:cs="仿宋_GB2312"/>
          <w:b w:val="0"/>
          <w:bCs/>
          <w:color w:val="000000" w:themeColor="text1"/>
          <w:sz w:val="32"/>
          <w:szCs w:val="32"/>
          <w14:textFill>
            <w14:solidFill>
              <w14:schemeClr w14:val="tx1"/>
            </w14:solidFill>
          </w14:textFill>
        </w:rPr>
        <w:t>是按照实际情况开支</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3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17.社会保障和就业（类）行政事业单位养老支出（款）机关事业单位职业年金缴费支出（项）:支出决算为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122.56</w:t>
      </w:r>
      <w:r>
        <w:rPr>
          <w:rFonts w:hint="eastAsia" w:ascii="仿宋_GB2312" w:hAnsi="仿宋_GB2312" w:eastAsia="仿宋_GB2312" w:cs="仿宋_GB2312"/>
          <w:color w:val="000000" w:themeColor="text1"/>
          <w:sz w:val="32"/>
          <w:szCs w:val="32"/>
          <w14:textFill>
            <w14:solidFill>
              <w14:schemeClr w14:val="tx1"/>
            </w14:solidFill>
          </w14:textFill>
        </w:rPr>
        <w:t>万元，完成预算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87.81</w:t>
      </w:r>
      <w:r>
        <w:rPr>
          <w:rFonts w:hint="eastAsia" w:ascii="仿宋_GB2312" w:hAnsi="仿宋_GB2312" w:eastAsia="仿宋_GB2312" w:cs="仿宋_GB2312"/>
          <w:color w:val="000000" w:themeColor="text1"/>
          <w:sz w:val="32"/>
          <w:szCs w:val="32"/>
          <w14:textFill>
            <w14:solidFill>
              <w14:schemeClr w14:val="tx1"/>
            </w14:solidFill>
          </w14:textFill>
        </w:rPr>
        <w:t>%，决算数小于预算数的主要原因</w:t>
      </w:r>
      <w:r>
        <w:rPr>
          <w:rStyle w:val="34"/>
          <w:rFonts w:hint="eastAsia" w:ascii="仿宋_GB2312" w:hAnsi="仿宋_GB2312" w:eastAsia="仿宋_GB2312" w:cs="仿宋_GB2312"/>
          <w:b w:val="0"/>
          <w:bCs/>
          <w:color w:val="000000" w:themeColor="text1"/>
          <w:sz w:val="32"/>
          <w:szCs w:val="32"/>
          <w14:textFill>
            <w14:solidFill>
              <w14:schemeClr w14:val="tx1"/>
            </w14:solidFill>
          </w14:textFill>
        </w:rPr>
        <w:t>是按照实际情况开支</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3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18.社会保障和就业（类）抚恤（款）死亡抚恤（项）: 支出决算为13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51</w:t>
      </w:r>
      <w:r>
        <w:rPr>
          <w:rFonts w:hint="eastAsia" w:ascii="仿宋_GB2312" w:hAnsi="仿宋_GB2312" w:eastAsia="仿宋_GB2312" w:cs="仿宋_GB2312"/>
          <w:color w:val="000000" w:themeColor="text1"/>
          <w:sz w:val="32"/>
          <w:szCs w:val="32"/>
          <w14:textFill>
            <w14:solidFill>
              <w14:schemeClr w14:val="tx1"/>
            </w14:solidFill>
          </w14:textFill>
        </w:rPr>
        <w:t>万元，完成预算100%。</w:t>
      </w:r>
    </w:p>
    <w:p>
      <w:pPr>
        <w:pStyle w:val="3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19.卫生健康（类）行政事业单位医疗（款）行政单位医疗（项）:支出决算为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324.21</w:t>
      </w:r>
      <w:r>
        <w:rPr>
          <w:rFonts w:hint="eastAsia" w:ascii="仿宋_GB2312" w:hAnsi="仿宋_GB2312" w:eastAsia="仿宋_GB2312" w:cs="仿宋_GB2312"/>
          <w:color w:val="000000" w:themeColor="text1"/>
          <w:sz w:val="32"/>
          <w:szCs w:val="32"/>
          <w14:textFill>
            <w14:solidFill>
              <w14:schemeClr w14:val="tx1"/>
            </w14:solidFill>
          </w14:textFill>
        </w:rPr>
        <w:t>万元，完成预算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3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20.卫生健康（类）行政事业单位医疗（款）事业单位医疗（项）:支出决算为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9.60</w:t>
      </w:r>
      <w:r>
        <w:rPr>
          <w:rFonts w:hint="eastAsia" w:ascii="仿宋_GB2312" w:hAnsi="仿宋_GB2312" w:eastAsia="仿宋_GB2312" w:cs="仿宋_GB2312"/>
          <w:color w:val="000000" w:themeColor="text1"/>
          <w:sz w:val="32"/>
          <w:szCs w:val="32"/>
          <w14:textFill>
            <w14:solidFill>
              <w14:schemeClr w14:val="tx1"/>
            </w14:solidFill>
          </w14:textFill>
        </w:rPr>
        <w:t>万元，完成预算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3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21.卫生健康（类）行政事业单位医疗（款）公务员医疗补助（项）:支出决算为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68.18</w:t>
      </w:r>
      <w:r>
        <w:rPr>
          <w:rFonts w:hint="eastAsia" w:ascii="仿宋_GB2312" w:hAnsi="仿宋_GB2312" w:eastAsia="仿宋_GB2312" w:cs="仿宋_GB2312"/>
          <w:color w:val="000000" w:themeColor="text1"/>
          <w:sz w:val="32"/>
          <w:szCs w:val="32"/>
          <w14:textFill>
            <w14:solidFill>
              <w14:schemeClr w14:val="tx1"/>
            </w14:solidFill>
          </w14:textFill>
        </w:rPr>
        <w:t>万元，完成预算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3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.卫生健康（类）</w:t>
      </w:r>
      <w:r>
        <w:rPr>
          <w:rFonts w:hint="eastAsia" w:ascii="仿宋_GB2312" w:hAnsi="仿宋_GB2312" w:eastAsia="仿宋_GB2312" w:cs="仿宋_GB2312"/>
          <w:color w:val="000000" w:themeColor="text1"/>
          <w:sz w:val="32"/>
          <w:szCs w:val="32"/>
          <w:lang w:eastAsia="zh-CN"/>
          <w14:textFill>
            <w14:solidFill>
              <w14:schemeClr w14:val="tx1"/>
            </w14:solidFill>
          </w14:textFill>
        </w:rPr>
        <w:t>其他卫生健康支出</w:t>
      </w:r>
      <w:r>
        <w:rPr>
          <w:rFonts w:hint="eastAsia" w:ascii="仿宋_GB2312" w:hAnsi="仿宋_GB2312" w:eastAsia="仿宋_GB2312" w:cs="仿宋_GB2312"/>
          <w:color w:val="000000" w:themeColor="text1"/>
          <w:sz w:val="32"/>
          <w:szCs w:val="32"/>
          <w14:textFill>
            <w14:solidFill>
              <w14:schemeClr w14:val="tx1"/>
            </w14:solidFill>
          </w14:textFill>
        </w:rPr>
        <w:t>（款）</w:t>
      </w:r>
      <w:r>
        <w:rPr>
          <w:rFonts w:hint="eastAsia" w:ascii="仿宋_GB2312" w:hAnsi="仿宋_GB2312" w:eastAsia="仿宋_GB2312" w:cs="仿宋_GB2312"/>
          <w:color w:val="000000" w:themeColor="text1"/>
          <w:sz w:val="32"/>
          <w:szCs w:val="32"/>
          <w:lang w:eastAsia="zh-CN"/>
          <w14:textFill>
            <w14:solidFill>
              <w14:schemeClr w14:val="tx1"/>
            </w14:solidFill>
          </w14:textFill>
        </w:rPr>
        <w:t>其他卫生健康支出</w:t>
      </w:r>
      <w:r>
        <w:rPr>
          <w:rFonts w:hint="eastAsia" w:ascii="仿宋_GB2312" w:hAnsi="仿宋_GB2312" w:eastAsia="仿宋_GB2312" w:cs="仿宋_GB2312"/>
          <w:color w:val="000000" w:themeColor="text1"/>
          <w:sz w:val="32"/>
          <w:szCs w:val="32"/>
          <w14:textFill>
            <w14:solidFill>
              <w14:schemeClr w14:val="tx1"/>
            </w14:solidFill>
          </w14:textFill>
        </w:rPr>
        <w:t>（项）:支出决算为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2.00</w:t>
      </w:r>
      <w:r>
        <w:rPr>
          <w:rFonts w:hint="eastAsia" w:ascii="仿宋_GB2312" w:hAnsi="仿宋_GB2312" w:eastAsia="仿宋_GB2312" w:cs="仿宋_GB2312"/>
          <w:color w:val="000000" w:themeColor="text1"/>
          <w:sz w:val="32"/>
          <w:szCs w:val="32"/>
          <w14:textFill>
            <w14:solidFill>
              <w14:schemeClr w14:val="tx1"/>
            </w14:solidFill>
          </w14:textFill>
        </w:rPr>
        <w:t>万元，完成预算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3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.住房保障（类）住房改革支出（款）住房公积金（项）:支出决算为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409.18</w:t>
      </w:r>
      <w:r>
        <w:rPr>
          <w:rFonts w:hint="eastAsia" w:ascii="仿宋_GB2312" w:hAnsi="仿宋_GB2312" w:eastAsia="仿宋_GB2312" w:cs="仿宋_GB2312"/>
          <w:color w:val="000000" w:themeColor="text1"/>
          <w:sz w:val="32"/>
          <w:szCs w:val="32"/>
          <w14:textFill>
            <w14:solidFill>
              <w14:schemeClr w14:val="tx1"/>
            </w14:solidFill>
          </w14:textFill>
        </w:rPr>
        <w:t>万元，完成预算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99.20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决算数小于预算数的主要原因</w:t>
      </w:r>
      <w:r>
        <w:rPr>
          <w:rStyle w:val="34"/>
          <w:rFonts w:hint="eastAsia" w:ascii="仿宋_GB2312" w:hAnsi="仿宋_GB2312" w:eastAsia="仿宋_GB2312" w:cs="仿宋_GB2312"/>
          <w:b w:val="0"/>
          <w:bCs/>
          <w:color w:val="000000" w:themeColor="text1"/>
          <w:sz w:val="32"/>
          <w:szCs w:val="32"/>
          <w14:textFill>
            <w14:solidFill>
              <w14:schemeClr w14:val="tx1"/>
            </w14:solidFill>
          </w14:textFill>
        </w:rPr>
        <w:t>是按照实际情况开支</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3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.住房保障（类）住房改革支出（款）购房补贴（项）:支出决算为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891.65</w:t>
      </w:r>
      <w:r>
        <w:rPr>
          <w:rFonts w:hint="eastAsia" w:ascii="仿宋_GB2312" w:hAnsi="仿宋_GB2312" w:eastAsia="仿宋_GB2312" w:cs="仿宋_GB2312"/>
          <w:color w:val="000000" w:themeColor="text1"/>
          <w:sz w:val="32"/>
          <w:szCs w:val="32"/>
          <w14:textFill>
            <w14:solidFill>
              <w14:schemeClr w14:val="tx1"/>
            </w14:solidFill>
          </w14:textFill>
        </w:rPr>
        <w:t>万元，完成预算100%。</w:t>
      </w:r>
    </w:p>
    <w:p>
      <w:pPr>
        <w:pStyle w:val="3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.灾害防治（类）应急管理事务（款）应急管理支出（项）:支出决算为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万元，完成预算100%。</w:t>
      </w:r>
    </w:p>
    <w:p>
      <w:pPr>
        <w:keepNext w:val="0"/>
        <w:keepLines w:val="0"/>
        <w:pageBreakBefore w:val="0"/>
        <w:widowControl w:val="0"/>
        <w:tabs>
          <w:tab w:val="right" w:pos="8306"/>
        </w:tabs>
        <w:kinsoku/>
        <w:wordWrap/>
        <w:overflowPunct/>
        <w:topLinePunct w:val="0"/>
        <w:autoSpaceDE/>
        <w:autoSpaceDN/>
        <w:bidi w:val="0"/>
        <w:adjustRightInd/>
        <w:snapToGrid/>
        <w:spacing w:line="600" w:lineRule="exact"/>
        <w:ind w:firstLine="640"/>
        <w:textAlignment w:val="auto"/>
        <w:outlineLvl w:val="1"/>
        <w:rPr>
          <w:rStyle w:val="27"/>
          <w:rFonts w:hint="eastAsia" w:ascii="黑体" w:hAnsi="黑体" w:eastAsia="黑体" w:cs="黑体"/>
          <w:color w:val="000000" w:themeColor="text1"/>
          <w:sz w:val="32"/>
          <w:szCs w:val="32"/>
          <w:highlight w:val="none"/>
          <w14:textFill>
            <w14:solidFill>
              <w14:schemeClr w14:val="tx1"/>
            </w14:solidFill>
          </w14:textFill>
        </w:rPr>
      </w:pPr>
      <w:bookmarkStart w:id="44" w:name="_Toc15396608"/>
      <w:bookmarkStart w:id="45" w:name="_Toc15377214"/>
      <w:r>
        <w:rPr>
          <w:rFonts w:hint="eastAsia" w:ascii="黑体" w:hAnsi="黑体" w:eastAsia="黑体" w:cs="黑体"/>
          <w:color w:val="000000" w:themeColor="text1"/>
          <w:sz w:val="32"/>
          <w:szCs w:val="32"/>
          <w:highlight w:val="none"/>
          <w14:textFill>
            <w14:solidFill>
              <w14:schemeClr w14:val="tx1"/>
            </w14:solidFill>
          </w14:textFill>
        </w:rPr>
        <w:t>六</w:t>
      </w:r>
      <w:r>
        <w:rPr>
          <w:rFonts w:hint="eastAsia" w:ascii="黑体" w:hAnsi="黑体" w:eastAsia="黑体" w:cs="黑体"/>
          <w:b/>
          <w:color w:val="000000" w:themeColor="text1"/>
          <w:sz w:val="32"/>
          <w:szCs w:val="32"/>
          <w:highlight w:val="none"/>
          <w14:textFill>
            <w14:solidFill>
              <w14:schemeClr w14:val="tx1"/>
            </w14:solidFill>
          </w14:textFill>
        </w:rPr>
        <w:t>、一</w:t>
      </w:r>
      <w:r>
        <w:rPr>
          <w:rStyle w:val="27"/>
          <w:rFonts w:hint="eastAsia" w:ascii="黑体" w:hAnsi="黑体" w:eastAsia="黑体" w:cs="黑体"/>
          <w:b w:val="0"/>
          <w:color w:val="000000" w:themeColor="text1"/>
          <w:sz w:val="32"/>
          <w:szCs w:val="32"/>
          <w:highlight w:val="none"/>
          <w14:textFill>
            <w14:solidFill>
              <w14:schemeClr w14:val="tx1"/>
            </w14:solidFill>
          </w14:textFill>
        </w:rPr>
        <w:t>般公共预算财政拨款基本支出决算情况说明</w:t>
      </w:r>
      <w:bookmarkEnd w:id="44"/>
      <w:bookmarkEnd w:id="4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highlight w:val="none"/>
          <w14:textFill>
            <w14:solidFill>
              <w14:schemeClr w14:val="tx1"/>
            </w14:solidFill>
          </w14:textFill>
        </w:rPr>
        <w:t>年一般公共预算财政拨款基本支出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14323.03</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万元，其中：</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人员经费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12107.10</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万元，主要包括：基本工资2198.75万元、津贴补贴31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85.79</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万元、奖金169.86万元、伙食补助费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万元、绩效工资32.52万元、机关事业单位基本养老保险缴费680.99万元、职业年金缴费146.63万元、</w:t>
      </w:r>
      <w:r>
        <w:rPr>
          <w:rFonts w:hint="eastAsia" w:ascii="仿宋_GB2312" w:hAnsi="仿宋_GB2312" w:eastAsia="仿宋_GB2312" w:cs="仿宋_GB2312"/>
          <w:color w:val="000000" w:themeColor="text1"/>
          <w:sz w:val="32"/>
          <w:szCs w:val="32"/>
          <w14:textFill>
            <w14:solidFill>
              <w14:schemeClr w14:val="tx1"/>
            </w14:solidFill>
          </w14:textFill>
        </w:rPr>
        <w:t>职工基本医疗保险缴费474.93</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万元、其他工资福利支出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3079.90</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万元、离休费177.18万元、抚恤金131.51万元、奖励金0.19万元、住房公积金734.36万元、其他对个人和家庭的补助支出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1026.31</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万元等。</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公用经费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2215.93</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万元，主要包括：办公费251.97万元、印刷费27.96万元、手续费1万元、水费99.87万元、电费210万元、邮电费46.99万元、物业管理费298.53万元、差旅费84万元、因公出国（境）费用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万元、维修（护）费30万元、租赁费63万元、会议费4.96万元、培训费10.99万元、公务接待费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万元、劳务费107.85万元、委托业务费12万元、工会经费117.14万元、福利费85.52万元、公务用车运行维护费16万元、其他交通费446.85万元、其他商品和服务支出301.32万元等。</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1"/>
        <w:rPr>
          <w:rStyle w:val="27"/>
          <w:rFonts w:hint="eastAsia" w:ascii="黑体" w:hAnsi="黑体" w:eastAsia="黑体" w:cs="黑体"/>
          <w:b w:val="0"/>
          <w:color w:val="000000" w:themeColor="text1"/>
          <w:sz w:val="32"/>
          <w:szCs w:val="32"/>
          <w:highlight w:val="none"/>
          <w14:textFill>
            <w14:solidFill>
              <w14:schemeClr w14:val="tx1"/>
            </w14:solidFill>
          </w14:textFill>
        </w:rPr>
      </w:pPr>
      <w:bookmarkStart w:id="46" w:name="_Toc15396609"/>
      <w:bookmarkStart w:id="47" w:name="_Toc15377215"/>
      <w:r>
        <w:rPr>
          <w:rFonts w:hint="eastAsia" w:ascii="黑体" w:hAnsi="黑体" w:eastAsia="黑体" w:cs="黑体"/>
          <w:color w:val="000000" w:themeColor="text1"/>
          <w:sz w:val="32"/>
          <w:szCs w:val="32"/>
          <w:highlight w:val="none"/>
          <w14:textFill>
            <w14:solidFill>
              <w14:schemeClr w14:val="tx1"/>
            </w14:solidFill>
          </w14:textFill>
        </w:rPr>
        <w:t>七、</w:t>
      </w:r>
      <w:r>
        <w:rPr>
          <w:rStyle w:val="27"/>
          <w:rFonts w:hint="eastAsia" w:ascii="黑体" w:hAnsi="黑体" w:eastAsia="黑体" w:cs="黑体"/>
          <w:color w:val="000000" w:themeColor="text1"/>
          <w:sz w:val="32"/>
          <w:szCs w:val="32"/>
          <w:highlight w:val="none"/>
          <w14:textFill>
            <w14:solidFill>
              <w14:schemeClr w14:val="tx1"/>
            </w14:solidFill>
          </w14:textFill>
        </w:rPr>
        <w:t>“</w:t>
      </w:r>
      <w:r>
        <w:rPr>
          <w:rStyle w:val="27"/>
          <w:rFonts w:hint="eastAsia" w:ascii="黑体" w:hAnsi="黑体" w:eastAsia="黑体" w:cs="黑体"/>
          <w:b w:val="0"/>
          <w:color w:val="000000" w:themeColor="text1"/>
          <w:sz w:val="32"/>
          <w:szCs w:val="32"/>
          <w:highlight w:val="none"/>
          <w14:textFill>
            <w14:solidFill>
              <w14:schemeClr w14:val="tx1"/>
            </w14:solidFill>
          </w14:textFill>
        </w:rPr>
        <w:t>三公”经费财政拨款支出决算情况说明</w:t>
      </w:r>
      <w:bookmarkEnd w:id="46"/>
      <w:bookmarkEnd w:id="47"/>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2"/>
        <w:rPr>
          <w:rFonts w:hint="eastAsia" w:ascii="楷体_GB2312" w:hAnsi="楷体_GB2312" w:eastAsia="楷体_GB2312" w:cs="楷体_GB2312"/>
          <w:b/>
          <w:color w:val="000000" w:themeColor="text1"/>
          <w:sz w:val="32"/>
          <w:szCs w:val="32"/>
          <w:highlight w:val="none"/>
          <w14:textFill>
            <w14:solidFill>
              <w14:schemeClr w14:val="tx1"/>
            </w14:solidFill>
          </w14:textFill>
        </w:rPr>
      </w:pPr>
      <w:bookmarkStart w:id="48" w:name="_Toc15377216"/>
      <w:r>
        <w:rPr>
          <w:rFonts w:hint="eastAsia" w:ascii="楷体_GB2312" w:hAnsi="楷体_GB2312" w:eastAsia="楷体_GB2312" w:cs="楷体_GB2312"/>
          <w:b/>
          <w:color w:val="000000" w:themeColor="text1"/>
          <w:sz w:val="32"/>
          <w:szCs w:val="32"/>
          <w:highlight w:val="none"/>
          <w14:textFill>
            <w14:solidFill>
              <w14:schemeClr w14:val="tx1"/>
            </w14:solidFill>
          </w14:textFill>
        </w:rPr>
        <w:t>（一）“三公”经费财政拨款支出决算总体情况说明</w:t>
      </w:r>
      <w:bookmarkEnd w:id="48"/>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“三公”经费财政拨款支出决算为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50.31</w:t>
      </w:r>
      <w:r>
        <w:rPr>
          <w:rFonts w:hint="eastAsia" w:ascii="仿宋_GB2312" w:hAnsi="仿宋_GB2312" w:eastAsia="仿宋_GB2312" w:cs="仿宋_GB2312"/>
          <w:color w:val="000000" w:themeColor="text1"/>
          <w:sz w:val="32"/>
          <w:szCs w:val="32"/>
          <w14:textFill>
            <w14:solidFill>
              <w14:schemeClr w14:val="tx1"/>
            </w14:solidFill>
          </w14:textFill>
        </w:rPr>
        <w:t>万元，完成预算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54.68</w:t>
      </w:r>
      <w:r>
        <w:rPr>
          <w:rFonts w:hint="eastAsia" w:ascii="仿宋_GB2312" w:hAnsi="仿宋_GB2312" w:eastAsia="仿宋_GB2312" w:cs="仿宋_GB2312"/>
          <w:color w:val="000000" w:themeColor="text1"/>
          <w:sz w:val="32"/>
          <w:szCs w:val="32"/>
          <w14:textFill>
            <w14:solidFill>
              <w14:schemeClr w14:val="tx1"/>
            </w14:solidFill>
          </w14:textFill>
        </w:rPr>
        <w:t>%，决算数小于预算数的主要原因是单位厉行节约，压减“三公”经费支出。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2"/>
        <w:rPr>
          <w:rFonts w:hint="eastAsia" w:ascii="楷体_GB2312" w:hAnsi="楷体_GB2312" w:eastAsia="楷体_GB2312" w:cs="楷体_GB2312"/>
          <w:b/>
          <w:color w:val="000000" w:themeColor="text1"/>
          <w:sz w:val="32"/>
          <w:szCs w:val="32"/>
          <w:highlight w:val="none"/>
          <w14:textFill>
            <w14:solidFill>
              <w14:schemeClr w14:val="tx1"/>
            </w14:solidFill>
          </w14:textFill>
        </w:rPr>
      </w:pPr>
      <w:bookmarkStart w:id="49" w:name="_Toc15377217"/>
      <w:r>
        <w:rPr>
          <w:rFonts w:hint="eastAsia" w:ascii="楷体_GB2312" w:hAnsi="楷体_GB2312" w:eastAsia="楷体_GB2312" w:cs="楷体_GB2312"/>
          <w:b/>
          <w:color w:val="000000" w:themeColor="text1"/>
          <w:sz w:val="32"/>
          <w:szCs w:val="32"/>
          <w:highlight w:val="none"/>
          <w14:textFill>
            <w14:solidFill>
              <w14:schemeClr w14:val="tx1"/>
            </w14:solidFill>
          </w14:textFill>
        </w:rPr>
        <w:t>（二）“三公”经费财政拨款支出决算具体情况说明</w:t>
      </w:r>
      <w:bookmarkEnd w:id="49"/>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highlight w:val="none"/>
          <w14:textFill>
            <w14:solidFill>
              <w14:schemeClr w14:val="tx1"/>
            </w14:solidFill>
          </w14:textFill>
        </w:rPr>
        <w:t>年“三公”经费财政拨款支出决算中，因公出国（境）费支出决算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%；公务用车购置及运行维护费支出决算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47.51</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94.44</w:t>
      </w:r>
      <w:r>
        <w:rPr>
          <w:rFonts w:hint="eastAsia" w:ascii="仿宋_GB2312" w:hAnsi="仿宋_GB2312" w:eastAsia="仿宋_GB2312" w:cs="仿宋_GB2312"/>
          <w:color w:val="000000" w:themeColor="text1"/>
          <w:sz w:val="32"/>
          <w:szCs w:val="32"/>
          <w:highlight w:val="none"/>
          <w14:textFill>
            <w14:solidFill>
              <w14:schemeClr w14:val="tx1"/>
            </w14:solidFill>
          </w14:textFill>
        </w:rPr>
        <w:t>%；公务接待费支出决算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2.80</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5.56</w:t>
      </w:r>
      <w:r>
        <w:rPr>
          <w:rFonts w:hint="eastAsia" w:ascii="仿宋_GB2312" w:hAnsi="仿宋_GB2312" w:eastAsia="仿宋_GB2312" w:cs="仿宋_GB2312"/>
          <w:color w:val="000000" w:themeColor="text1"/>
          <w:sz w:val="32"/>
          <w:szCs w:val="32"/>
          <w:highlight w:val="none"/>
          <w14:textFill>
            <w14:solidFill>
              <w14:schemeClr w14:val="tx1"/>
            </w14:solidFill>
          </w14:textFill>
        </w:rPr>
        <w:t>%。具体情况如下：</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（图7：“三公”经费财政拨款支出结构）（饼状图）</w:t>
      </w:r>
    </w:p>
    <w:p>
      <w:pPr>
        <w:pStyle w:val="5"/>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935" distR="114935" simplePos="0" relativeHeight="251663360" behindDoc="1" locked="0" layoutInCell="1" allowOverlap="1">
            <wp:simplePos x="0" y="0"/>
            <wp:positionH relativeFrom="column">
              <wp:posOffset>499745</wp:posOffset>
            </wp:positionH>
            <wp:positionV relativeFrom="paragraph">
              <wp:posOffset>79375</wp:posOffset>
            </wp:positionV>
            <wp:extent cx="4572000" cy="1743075"/>
            <wp:effectExtent l="4445" t="4445" r="14605" b="5080"/>
            <wp:wrapTight wrapText="bothSides">
              <wp:wrapPolygon>
                <wp:start x="-21" y="-55"/>
                <wp:lineTo x="-21" y="21427"/>
                <wp:lineTo x="21579" y="21427"/>
                <wp:lineTo x="21579" y="-55"/>
                <wp:lineTo x="-21" y="-55"/>
              </wp:wrapPolygon>
            </wp:wrapTight>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0"/>
        <w:rPr>
          <w:rFonts w:ascii="仿宋_GB2312" w:eastAsia="仿宋_GB2312"/>
          <w:b/>
          <w:color w:val="000000" w:themeColor="text1"/>
          <w:sz w:val="32"/>
          <w:szCs w:val="32"/>
          <w:highlight w:val="none"/>
          <w14:textFill>
            <w14:solidFill>
              <w14:schemeClr w14:val="tx1"/>
            </w14:solidFill>
          </w14:textFill>
        </w:rPr>
      </w:pPr>
    </w:p>
    <w:p>
      <w:pPr>
        <w:spacing w:line="600" w:lineRule="exact"/>
        <w:ind w:firstLine="640"/>
        <w:rPr>
          <w:rFonts w:ascii="仿宋_GB2312" w:eastAsia="仿宋_GB2312"/>
          <w:b/>
          <w:color w:val="000000" w:themeColor="text1"/>
          <w:sz w:val="32"/>
          <w:szCs w:val="32"/>
          <w:highlight w:val="none"/>
          <w14:textFill>
            <w14:solidFill>
              <w14:schemeClr w14:val="tx1"/>
            </w14:solidFill>
          </w14:textFill>
        </w:rPr>
      </w:pPr>
    </w:p>
    <w:p>
      <w:pPr>
        <w:spacing w:line="600" w:lineRule="exact"/>
        <w:ind w:firstLine="640"/>
        <w:rPr>
          <w:rFonts w:ascii="仿宋_GB2312" w:eastAsia="仿宋_GB2312"/>
          <w:b/>
          <w:color w:val="000000" w:themeColor="text1"/>
          <w:sz w:val="32"/>
          <w:szCs w:val="32"/>
          <w:highlight w:val="none"/>
          <w14:textFill>
            <w14:solidFill>
              <w14:schemeClr w14:val="tx1"/>
            </w14:solidFill>
          </w14:textFill>
        </w:rPr>
      </w:pPr>
    </w:p>
    <w:p>
      <w:pPr>
        <w:spacing w:line="600" w:lineRule="exact"/>
        <w:ind w:firstLine="640"/>
        <w:rPr>
          <w:rFonts w:ascii="仿宋_GB2312" w:eastAsia="仿宋_GB2312"/>
          <w:b/>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bidi w:val="0"/>
        <w:snapToGrid/>
        <w:spacing w:line="600" w:lineRule="exact"/>
        <w:ind w:firstLine="640"/>
        <w:jc w:val="both"/>
        <w:textAlignment w:val="auto"/>
        <w:rPr>
          <w:rFonts w:hint="eastAsia" w:ascii="仿宋_GB2312" w:hAnsi="仿宋_GB2312" w:eastAsia="仿宋_GB2312" w:cs="仿宋_GB2312"/>
          <w:b/>
          <w:i w:val="0"/>
          <w:iCs w:val="0"/>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i w:val="0"/>
          <w:iCs w:val="0"/>
          <w:color w:val="000000" w:themeColor="text1"/>
          <w:sz w:val="32"/>
          <w:szCs w:val="32"/>
          <w:highlight w:val="none"/>
          <w:u w:val="none"/>
          <w14:textFill>
            <w14:solidFill>
              <w14:schemeClr w14:val="tx1"/>
            </w14:solidFill>
          </w14:textFill>
        </w:rPr>
        <w:t>1.因公出国（境）经费支出</w:t>
      </w: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0</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万元，</w:t>
      </w:r>
      <w:r>
        <w:rPr>
          <w:rStyle w:val="16"/>
          <w:rFonts w:hint="eastAsia" w:ascii="仿宋_GB2312" w:hAnsi="仿宋_GB2312" w:eastAsia="仿宋_GB2312" w:cs="仿宋_GB2312"/>
          <w:b w:val="0"/>
          <w:bCs/>
          <w:i w:val="0"/>
          <w:iCs w:val="0"/>
          <w:color w:val="000000" w:themeColor="text1"/>
          <w:sz w:val="32"/>
          <w:szCs w:val="32"/>
          <w:highlight w:val="none"/>
          <w:u w:val="none"/>
          <w14:textFill>
            <w14:solidFill>
              <w14:schemeClr w14:val="tx1"/>
            </w14:solidFill>
          </w14:textFill>
        </w:rPr>
        <w:t>完成预算</w:t>
      </w:r>
      <w:r>
        <w:rPr>
          <w:rStyle w:val="16"/>
          <w:rFonts w:hint="eastAsia" w:ascii="仿宋_GB2312" w:hAnsi="仿宋_GB2312" w:eastAsia="仿宋_GB2312" w:cs="仿宋_GB2312"/>
          <w:b w:val="0"/>
          <w:bCs/>
          <w:i w:val="0"/>
          <w:iCs w:val="0"/>
          <w:color w:val="000000" w:themeColor="text1"/>
          <w:sz w:val="32"/>
          <w:szCs w:val="32"/>
          <w:highlight w:val="none"/>
          <w:u w:val="none"/>
          <w:lang w:val="en-US" w:eastAsia="zh-CN"/>
          <w14:textFill>
            <w14:solidFill>
              <w14:schemeClr w14:val="tx1"/>
            </w14:solidFill>
          </w14:textFill>
        </w:rPr>
        <w:t>0</w:t>
      </w:r>
      <w:r>
        <w:rPr>
          <w:rStyle w:val="16"/>
          <w:rFonts w:hint="eastAsia" w:ascii="仿宋_GB2312" w:hAnsi="仿宋_GB2312" w:eastAsia="仿宋_GB2312" w:cs="仿宋_GB2312"/>
          <w:b w:val="0"/>
          <w:bCs/>
          <w:i w:val="0"/>
          <w:iCs w:val="0"/>
          <w:color w:val="000000" w:themeColor="text1"/>
          <w:sz w:val="32"/>
          <w:szCs w:val="32"/>
          <w:highlight w:val="none"/>
          <w:u w:val="none"/>
          <w14:textFill>
            <w14:solidFill>
              <w14:schemeClr w14:val="tx1"/>
            </w14:solidFill>
          </w14:textFill>
        </w:rPr>
        <w:t>%。</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全年安排因公出国（境）团组</w:t>
      </w: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0</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次，出国（境）</w:t>
      </w: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0</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人。因公出国（境）支出决算</w:t>
      </w:r>
      <w:r>
        <w:rPr>
          <w:rFonts w:hint="eastAsia" w:ascii="仿宋_GB2312" w:hAnsi="仿宋_GB2312" w:eastAsia="仿宋_GB2312" w:cs="仿宋_GB2312"/>
          <w:i w:val="0"/>
          <w:iCs w:val="0"/>
          <w:color w:val="000000" w:themeColor="text1"/>
          <w:sz w:val="32"/>
          <w:szCs w:val="32"/>
          <w:highlight w:val="none"/>
          <w:u w:val="none"/>
          <w:lang w:eastAsia="zh-CN"/>
          <w14:textFill>
            <w14:solidFill>
              <w14:schemeClr w14:val="tx1"/>
            </w14:solidFill>
          </w14:textFill>
        </w:rPr>
        <w:t>与</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20</w:t>
      </w: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20</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年</w:t>
      </w:r>
      <w:r>
        <w:rPr>
          <w:rFonts w:hint="eastAsia" w:ascii="仿宋_GB2312" w:hAnsi="仿宋_GB2312" w:eastAsia="仿宋_GB2312" w:cs="仿宋_GB2312"/>
          <w:i w:val="0"/>
          <w:iCs w:val="0"/>
          <w:color w:val="000000" w:themeColor="text1"/>
          <w:sz w:val="32"/>
          <w:szCs w:val="32"/>
          <w:highlight w:val="none"/>
          <w:u w:val="none"/>
          <w:lang w:eastAsia="zh-CN"/>
          <w14:textFill>
            <w14:solidFill>
              <w14:schemeClr w14:val="tx1"/>
            </w14:solidFill>
          </w14:textFill>
        </w:rPr>
        <w:t>持平</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w:t>
      </w:r>
    </w:p>
    <w:p>
      <w:pPr>
        <w:keepNext w:val="0"/>
        <w:keepLines w:val="0"/>
        <w:pageBreakBefore w:val="0"/>
        <w:kinsoku/>
        <w:wordWrap/>
        <w:overflowPunct/>
        <w:topLinePunct w:val="0"/>
        <w:bidi w:val="0"/>
        <w:snapToGrid/>
        <w:spacing w:line="600" w:lineRule="exact"/>
        <w:ind w:firstLine="640"/>
        <w:jc w:val="both"/>
        <w:textAlignment w:val="auto"/>
        <w:rPr>
          <w:rFonts w:hint="eastAsia" w:ascii="仿宋_GB2312" w:hAnsi="仿宋_GB2312" w:eastAsia="仿宋_GB2312" w:cs="仿宋_GB2312"/>
          <w:b/>
          <w:i w:val="0"/>
          <w:iCs w:val="0"/>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i w:val="0"/>
          <w:iCs w:val="0"/>
          <w:color w:val="000000" w:themeColor="text1"/>
          <w:sz w:val="32"/>
          <w:szCs w:val="32"/>
          <w:highlight w:val="none"/>
          <w:u w:val="none"/>
          <w14:textFill>
            <w14:solidFill>
              <w14:schemeClr w14:val="tx1"/>
            </w14:solidFill>
          </w14:textFill>
        </w:rPr>
        <w:t>2.公务用车购置及运行维护费支出</w:t>
      </w: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47.51</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万元,</w:t>
      </w:r>
      <w:r>
        <w:rPr>
          <w:rStyle w:val="16"/>
          <w:rFonts w:hint="eastAsia" w:ascii="仿宋_GB2312" w:hAnsi="仿宋_GB2312" w:eastAsia="仿宋_GB2312" w:cs="仿宋_GB2312"/>
          <w:b w:val="0"/>
          <w:bCs/>
          <w:i w:val="0"/>
          <w:iCs w:val="0"/>
          <w:color w:val="000000" w:themeColor="text1"/>
          <w:sz w:val="32"/>
          <w:szCs w:val="32"/>
          <w:highlight w:val="none"/>
          <w:u w:val="none"/>
          <w14:textFill>
            <w14:solidFill>
              <w14:schemeClr w14:val="tx1"/>
            </w14:solidFill>
          </w14:textFill>
        </w:rPr>
        <w:t>完成预算</w:t>
      </w:r>
      <w:r>
        <w:rPr>
          <w:rStyle w:val="16"/>
          <w:rFonts w:hint="eastAsia" w:ascii="仿宋_GB2312" w:hAnsi="仿宋_GB2312" w:eastAsia="仿宋_GB2312" w:cs="仿宋_GB2312"/>
          <w:b w:val="0"/>
          <w:bCs/>
          <w:i w:val="0"/>
          <w:iCs w:val="0"/>
          <w:color w:val="000000" w:themeColor="text1"/>
          <w:sz w:val="32"/>
          <w:szCs w:val="32"/>
          <w:highlight w:val="none"/>
          <w:u w:val="none"/>
          <w:lang w:val="en-US" w:eastAsia="zh-CN"/>
          <w14:textFill>
            <w14:solidFill>
              <w14:schemeClr w14:val="tx1"/>
            </w14:solidFill>
          </w14:textFill>
        </w:rPr>
        <w:t>57.94</w:t>
      </w:r>
      <w:r>
        <w:rPr>
          <w:rStyle w:val="16"/>
          <w:rFonts w:hint="eastAsia" w:ascii="仿宋_GB2312" w:hAnsi="仿宋_GB2312" w:eastAsia="仿宋_GB2312" w:cs="仿宋_GB2312"/>
          <w:b w:val="0"/>
          <w:bCs/>
          <w:i w:val="0"/>
          <w:iCs w:val="0"/>
          <w:color w:val="000000" w:themeColor="text1"/>
          <w:sz w:val="32"/>
          <w:szCs w:val="32"/>
          <w:highlight w:val="none"/>
          <w:u w:val="none"/>
          <w14:textFill>
            <w14:solidFill>
              <w14:schemeClr w14:val="tx1"/>
            </w14:solidFill>
          </w14:textFill>
        </w:rPr>
        <w:t>%。</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公务用车购置及运行维护费支出决算比20</w:t>
      </w: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20</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年</w:t>
      </w:r>
      <w:r>
        <w:rPr>
          <w:rFonts w:hint="eastAsia" w:ascii="仿宋_GB2312" w:hAnsi="仿宋_GB2312" w:eastAsia="仿宋_GB2312" w:cs="仿宋_GB2312"/>
          <w:i w:val="0"/>
          <w:iCs w:val="0"/>
          <w:color w:val="000000" w:themeColor="text1"/>
          <w:sz w:val="32"/>
          <w:szCs w:val="32"/>
          <w:u w:val="none"/>
          <w14:textFill>
            <w14:solidFill>
              <w14:schemeClr w14:val="tx1"/>
            </w14:solidFill>
          </w14:textFill>
        </w:rPr>
        <w:t>下降了</w:t>
      </w:r>
      <w:r>
        <w:rPr>
          <w:rFonts w:hint="eastAsia" w:ascii="仿宋_GB2312" w:hAnsi="仿宋_GB2312" w:eastAsia="仿宋_GB2312" w:cs="仿宋_GB2312"/>
          <w:i w:val="0"/>
          <w:iCs w:val="0"/>
          <w:color w:val="000000" w:themeColor="text1"/>
          <w:sz w:val="32"/>
          <w:szCs w:val="32"/>
          <w:u w:val="none"/>
          <w:lang w:val="en-US" w:eastAsia="zh-CN"/>
          <w14:textFill>
            <w14:solidFill>
              <w14:schemeClr w14:val="tx1"/>
            </w14:solidFill>
          </w14:textFill>
        </w:rPr>
        <w:t>37.61</w:t>
      </w:r>
      <w:r>
        <w:rPr>
          <w:rFonts w:hint="eastAsia" w:ascii="仿宋_GB2312" w:hAnsi="仿宋_GB2312" w:eastAsia="仿宋_GB2312" w:cs="仿宋_GB2312"/>
          <w:i w:val="0"/>
          <w:iCs w:val="0"/>
          <w:color w:val="000000" w:themeColor="text1"/>
          <w:sz w:val="32"/>
          <w:szCs w:val="32"/>
          <w:u w:val="none"/>
          <w14:textFill>
            <w14:solidFill>
              <w14:schemeClr w14:val="tx1"/>
            </w14:solidFill>
          </w14:textFill>
        </w:rPr>
        <w:t>万元，下降比率为</w:t>
      </w:r>
      <w:r>
        <w:rPr>
          <w:rFonts w:hint="eastAsia" w:ascii="仿宋_GB2312" w:hAnsi="仿宋_GB2312" w:eastAsia="仿宋_GB2312" w:cs="仿宋_GB2312"/>
          <w:i w:val="0"/>
          <w:iCs w:val="0"/>
          <w:color w:val="000000" w:themeColor="text1"/>
          <w:sz w:val="32"/>
          <w:szCs w:val="32"/>
          <w:u w:val="none"/>
          <w:lang w:val="en-US" w:eastAsia="zh-CN"/>
          <w14:textFill>
            <w14:solidFill>
              <w14:schemeClr w14:val="tx1"/>
            </w14:solidFill>
          </w14:textFill>
        </w:rPr>
        <w:t>44.18</w:t>
      </w:r>
      <w:r>
        <w:rPr>
          <w:rFonts w:hint="eastAsia" w:ascii="仿宋_GB2312" w:hAnsi="仿宋_GB2312" w:eastAsia="仿宋_GB2312" w:cs="仿宋_GB2312"/>
          <w:i w:val="0"/>
          <w:iCs w:val="0"/>
          <w:color w:val="000000" w:themeColor="text1"/>
          <w:sz w:val="32"/>
          <w:szCs w:val="32"/>
          <w:u w:val="none"/>
          <w14:textFill>
            <w14:solidFill>
              <w14:schemeClr w14:val="tx1"/>
            </w14:solidFill>
          </w14:textFill>
        </w:rPr>
        <w:t>%。</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主要原因是</w:t>
      </w: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2020年购置了一台新车，2021年</w:t>
      </w:r>
      <w:r>
        <w:rPr>
          <w:rFonts w:hint="eastAsia" w:ascii="仿宋_GB2312" w:hAnsi="仿宋_GB2312" w:eastAsia="仿宋_GB2312" w:cs="仿宋_GB2312"/>
          <w:i w:val="0"/>
          <w:iCs w:val="0"/>
          <w:color w:val="000000" w:themeColor="text1"/>
          <w:sz w:val="32"/>
          <w:szCs w:val="32"/>
          <w:u w:val="none"/>
          <w14:textFill>
            <w14:solidFill>
              <w14:schemeClr w14:val="tx1"/>
            </w14:solidFill>
          </w14:textFill>
        </w:rPr>
        <w:t>单位</w:t>
      </w:r>
      <w:r>
        <w:rPr>
          <w:rFonts w:hint="eastAsia" w:ascii="仿宋_GB2312" w:hAnsi="仿宋_GB2312" w:eastAsia="仿宋_GB2312" w:cs="仿宋_GB2312"/>
          <w:i w:val="0"/>
          <w:iCs w:val="0"/>
          <w:color w:val="000000" w:themeColor="text1"/>
          <w:sz w:val="32"/>
          <w:szCs w:val="32"/>
          <w:u w:val="none"/>
          <w:lang w:eastAsia="zh-CN"/>
          <w14:textFill>
            <w14:solidFill>
              <w14:schemeClr w14:val="tx1"/>
            </w14:solidFill>
          </w14:textFill>
        </w:rPr>
        <w:t>未购置车辆同时</w:t>
      </w:r>
      <w:r>
        <w:rPr>
          <w:rFonts w:hint="eastAsia" w:ascii="仿宋_GB2312" w:hAnsi="仿宋_GB2312" w:eastAsia="仿宋_GB2312" w:cs="仿宋_GB2312"/>
          <w:i w:val="0"/>
          <w:iCs w:val="0"/>
          <w:color w:val="000000" w:themeColor="text1"/>
          <w:sz w:val="32"/>
          <w:szCs w:val="32"/>
          <w:u w:val="none"/>
          <w14:textFill>
            <w14:solidFill>
              <w14:schemeClr w14:val="tx1"/>
            </w14:solidFill>
          </w14:textFill>
        </w:rPr>
        <w:t>厉行节约,落实过紧日子的要求</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w:t>
      </w:r>
    </w:p>
    <w:p>
      <w:pPr>
        <w:keepNext w:val="0"/>
        <w:keepLines w:val="0"/>
        <w:pageBreakBefore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b/>
          <w:i w:val="0"/>
          <w:iCs w:val="0"/>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其中：</w:t>
      </w:r>
      <w:r>
        <w:rPr>
          <w:rFonts w:hint="eastAsia" w:ascii="仿宋_GB2312" w:hAnsi="仿宋_GB2312" w:eastAsia="仿宋_GB2312" w:cs="仿宋_GB2312"/>
          <w:b/>
          <w:i w:val="0"/>
          <w:iCs w:val="0"/>
          <w:color w:val="000000" w:themeColor="text1"/>
          <w:sz w:val="32"/>
          <w:szCs w:val="32"/>
          <w:highlight w:val="none"/>
          <w:u w:val="none"/>
          <w14:textFill>
            <w14:solidFill>
              <w14:schemeClr w14:val="tx1"/>
            </w14:solidFill>
          </w14:textFill>
        </w:rPr>
        <w:t>公务用车购置支出</w:t>
      </w: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0</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万元。全年按规定更新购置公务用车</w:t>
      </w: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0</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辆。截至20</w:t>
      </w: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21</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年12月底，单位共有公务用车</w:t>
      </w: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29</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辆，其中：轿车</w:t>
      </w: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23</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辆、越野车</w:t>
      </w: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3</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辆、载客汽车</w:t>
      </w: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3</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辆。</w:t>
      </w:r>
    </w:p>
    <w:p>
      <w:pPr>
        <w:pStyle w:val="32"/>
        <w:keepNext w:val="0"/>
        <w:keepLines w:val="0"/>
        <w:pageBreakBefore w:val="0"/>
        <w:kinsoku/>
        <w:wordWrap/>
        <w:overflowPunct/>
        <w:topLinePunct w:val="0"/>
        <w:bidi w:val="0"/>
        <w:snapToGrid/>
        <w:spacing w:line="600" w:lineRule="exact"/>
        <w:ind w:firstLine="643" w:firstLineChars="200"/>
        <w:jc w:val="both"/>
        <w:textAlignment w:val="auto"/>
        <w:rPr>
          <w:rFonts w:hint="eastAsia" w:ascii="仿宋_GB2312" w:hAnsi="仿宋_GB2312" w:eastAsia="仿宋_GB2312" w:cs="仿宋_GB2312"/>
          <w:i w:val="0"/>
          <w:iCs w:val="0"/>
          <w:color w:val="000000" w:themeColor="text1"/>
          <w:sz w:val="32"/>
          <w:szCs w:val="32"/>
          <w:u w:val="none"/>
          <w14:textFill>
            <w14:solidFill>
              <w14:schemeClr w14:val="tx1"/>
            </w14:solidFill>
          </w14:textFill>
        </w:rPr>
      </w:pPr>
      <w:r>
        <w:rPr>
          <w:rFonts w:hint="eastAsia" w:ascii="仿宋_GB2312" w:hAnsi="仿宋_GB2312" w:eastAsia="仿宋_GB2312" w:cs="仿宋_GB2312"/>
          <w:b/>
          <w:i w:val="0"/>
          <w:iCs w:val="0"/>
          <w:color w:val="000000" w:themeColor="text1"/>
          <w:sz w:val="32"/>
          <w:szCs w:val="32"/>
          <w:highlight w:val="none"/>
          <w:u w:val="none"/>
          <w14:textFill>
            <w14:solidFill>
              <w14:schemeClr w14:val="tx1"/>
            </w14:solidFill>
          </w14:textFill>
        </w:rPr>
        <w:t>公务用车运行维护费支出</w:t>
      </w: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47.51</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万元。</w:t>
      </w:r>
      <w:r>
        <w:rPr>
          <w:rFonts w:hint="eastAsia" w:ascii="仿宋_GB2312" w:hAnsi="仿宋_GB2312" w:eastAsia="仿宋_GB2312" w:cs="仿宋_GB2312"/>
          <w:i w:val="0"/>
          <w:iCs w:val="0"/>
          <w:color w:val="000000" w:themeColor="text1"/>
          <w:sz w:val="32"/>
          <w:szCs w:val="32"/>
          <w:u w:val="none"/>
          <w14:textFill>
            <w14:solidFill>
              <w14:schemeClr w14:val="tx1"/>
            </w14:solidFill>
          </w14:textFill>
        </w:rPr>
        <w:t>要用于法律援助、普法宣传、基层司法、法制建设等工作所需的公务用车燃料费、维修费、过路过桥费、保险费等支出。</w:t>
      </w:r>
    </w:p>
    <w:p>
      <w:pPr>
        <w:keepNext w:val="0"/>
        <w:keepLines w:val="0"/>
        <w:pageBreakBefore w:val="0"/>
        <w:kinsoku/>
        <w:wordWrap/>
        <w:overflowPunct/>
        <w:topLinePunct w:val="0"/>
        <w:bidi w:val="0"/>
        <w:snapToGrid/>
        <w:spacing w:line="600" w:lineRule="exact"/>
        <w:ind w:firstLine="640"/>
        <w:jc w:val="both"/>
        <w:textAlignment w:val="auto"/>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i w:val="0"/>
          <w:iCs w:val="0"/>
          <w:color w:val="000000" w:themeColor="text1"/>
          <w:sz w:val="32"/>
          <w:szCs w:val="32"/>
          <w:highlight w:val="none"/>
          <w:u w:val="none"/>
          <w14:textFill>
            <w14:solidFill>
              <w14:schemeClr w14:val="tx1"/>
            </w14:solidFill>
          </w14:textFill>
        </w:rPr>
        <w:t>3.公务接待费支出</w:t>
      </w: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2.80</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万元，</w:t>
      </w:r>
      <w:r>
        <w:rPr>
          <w:rStyle w:val="16"/>
          <w:rFonts w:hint="eastAsia" w:ascii="仿宋_GB2312" w:hAnsi="仿宋_GB2312" w:eastAsia="仿宋_GB2312" w:cs="仿宋_GB2312"/>
          <w:b w:val="0"/>
          <w:bCs/>
          <w:i w:val="0"/>
          <w:iCs w:val="0"/>
          <w:color w:val="000000" w:themeColor="text1"/>
          <w:sz w:val="32"/>
          <w:szCs w:val="32"/>
          <w:highlight w:val="none"/>
          <w:u w:val="none"/>
          <w14:textFill>
            <w14:solidFill>
              <w14:schemeClr w14:val="tx1"/>
            </w14:solidFill>
          </w14:textFill>
        </w:rPr>
        <w:t>完成预算</w:t>
      </w:r>
      <w:r>
        <w:rPr>
          <w:rStyle w:val="16"/>
          <w:rFonts w:hint="eastAsia" w:ascii="仿宋_GB2312" w:hAnsi="仿宋_GB2312" w:eastAsia="仿宋_GB2312" w:cs="仿宋_GB2312"/>
          <w:b w:val="0"/>
          <w:bCs/>
          <w:i w:val="0"/>
          <w:iCs w:val="0"/>
          <w:color w:val="000000" w:themeColor="text1"/>
          <w:sz w:val="32"/>
          <w:szCs w:val="32"/>
          <w:highlight w:val="none"/>
          <w:u w:val="none"/>
          <w:lang w:val="en-US" w:eastAsia="zh-CN"/>
          <w14:textFill>
            <w14:solidFill>
              <w14:schemeClr w14:val="tx1"/>
            </w14:solidFill>
          </w14:textFill>
        </w:rPr>
        <w:t>27.96</w:t>
      </w:r>
      <w:r>
        <w:rPr>
          <w:rStyle w:val="16"/>
          <w:rFonts w:hint="eastAsia" w:ascii="仿宋_GB2312" w:hAnsi="仿宋_GB2312" w:eastAsia="仿宋_GB2312" w:cs="仿宋_GB2312"/>
          <w:b w:val="0"/>
          <w:bCs/>
          <w:i w:val="0"/>
          <w:iCs w:val="0"/>
          <w:color w:val="000000" w:themeColor="text1"/>
          <w:sz w:val="32"/>
          <w:szCs w:val="32"/>
          <w:highlight w:val="none"/>
          <w:u w:val="none"/>
          <w14:textFill>
            <w14:solidFill>
              <w14:schemeClr w14:val="tx1"/>
            </w14:solidFill>
          </w14:textFill>
        </w:rPr>
        <w:t>%。</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公务接待费支出决算比20</w:t>
      </w: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20</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年</w:t>
      </w:r>
      <w:r>
        <w:rPr>
          <w:rFonts w:hint="eastAsia" w:ascii="仿宋_GB2312" w:hAnsi="仿宋_GB2312" w:eastAsia="仿宋_GB2312" w:cs="仿宋_GB2312"/>
          <w:i w:val="0"/>
          <w:iCs w:val="0"/>
          <w:color w:val="000000" w:themeColor="text1"/>
          <w:sz w:val="32"/>
          <w:szCs w:val="32"/>
          <w:u w:val="none"/>
          <w14:textFill>
            <w14:solidFill>
              <w14:schemeClr w14:val="tx1"/>
            </w14:solidFill>
          </w14:textFill>
        </w:rPr>
        <w:t>增长</w:t>
      </w:r>
      <w:r>
        <w:rPr>
          <w:rFonts w:hint="eastAsia" w:ascii="仿宋_GB2312" w:hAnsi="仿宋_GB2312" w:eastAsia="仿宋_GB2312" w:cs="仿宋_GB2312"/>
          <w:i w:val="0"/>
          <w:iCs w:val="0"/>
          <w:color w:val="000000" w:themeColor="text1"/>
          <w:sz w:val="32"/>
          <w:szCs w:val="32"/>
          <w:u w:val="none"/>
          <w:lang w:eastAsia="zh-CN"/>
          <w14:textFill>
            <w14:solidFill>
              <w14:schemeClr w14:val="tx1"/>
            </w14:solidFill>
          </w14:textFill>
        </w:rPr>
        <w:t>了</w:t>
      </w:r>
      <w:r>
        <w:rPr>
          <w:rFonts w:hint="eastAsia" w:ascii="仿宋_GB2312" w:hAnsi="仿宋_GB2312" w:eastAsia="仿宋_GB2312" w:cs="仿宋_GB2312"/>
          <w:i w:val="0"/>
          <w:iCs w:val="0"/>
          <w:color w:val="000000" w:themeColor="text1"/>
          <w:sz w:val="32"/>
          <w:szCs w:val="32"/>
          <w:u w:val="none"/>
          <w:lang w:val="en-US" w:eastAsia="zh-CN"/>
          <w14:textFill>
            <w14:solidFill>
              <w14:schemeClr w14:val="tx1"/>
            </w14:solidFill>
          </w14:textFill>
        </w:rPr>
        <w:t>0.1万元，</w:t>
      </w:r>
      <w:r>
        <w:rPr>
          <w:rFonts w:hint="eastAsia" w:ascii="仿宋_GB2312" w:hAnsi="仿宋_GB2312" w:eastAsia="仿宋_GB2312" w:cs="仿宋_GB2312"/>
          <w:i w:val="0"/>
          <w:iCs w:val="0"/>
          <w:color w:val="000000" w:themeColor="text1"/>
          <w:sz w:val="32"/>
          <w:szCs w:val="32"/>
          <w:u w:val="none"/>
          <w:lang w:eastAsia="zh-CN"/>
          <w14:textFill>
            <w14:solidFill>
              <w14:schemeClr w14:val="tx1"/>
            </w14:solidFill>
          </w14:textFill>
        </w:rPr>
        <w:t>增长</w:t>
      </w:r>
      <w:r>
        <w:rPr>
          <w:rFonts w:hint="eastAsia" w:ascii="仿宋_GB2312" w:hAnsi="仿宋_GB2312" w:eastAsia="仿宋_GB2312" w:cs="仿宋_GB2312"/>
          <w:i w:val="0"/>
          <w:iCs w:val="0"/>
          <w:color w:val="000000" w:themeColor="text1"/>
          <w:sz w:val="32"/>
          <w:szCs w:val="32"/>
          <w:u w:val="none"/>
          <w14:textFill>
            <w14:solidFill>
              <w14:schemeClr w14:val="tx1"/>
            </w14:solidFill>
          </w14:textFill>
        </w:rPr>
        <w:t>比率为</w:t>
      </w:r>
      <w:r>
        <w:rPr>
          <w:rFonts w:hint="eastAsia" w:ascii="仿宋_GB2312" w:hAnsi="仿宋_GB2312" w:eastAsia="仿宋_GB2312" w:cs="仿宋_GB2312"/>
          <w:i w:val="0"/>
          <w:iCs w:val="0"/>
          <w:color w:val="000000" w:themeColor="text1"/>
          <w:sz w:val="32"/>
          <w:szCs w:val="32"/>
          <w:u w:val="none"/>
          <w:lang w:val="en-US" w:eastAsia="zh-CN"/>
          <w14:textFill>
            <w14:solidFill>
              <w14:schemeClr w14:val="tx1"/>
            </w14:solidFill>
          </w14:textFill>
        </w:rPr>
        <w:t>3.7</w:t>
      </w:r>
      <w:r>
        <w:rPr>
          <w:rFonts w:hint="eastAsia" w:ascii="仿宋_GB2312" w:hAnsi="仿宋_GB2312" w:eastAsia="仿宋_GB2312" w:cs="仿宋_GB2312"/>
          <w:i w:val="0"/>
          <w:iCs w:val="0"/>
          <w:color w:val="000000" w:themeColor="text1"/>
          <w:sz w:val="32"/>
          <w:szCs w:val="32"/>
          <w:u w:val="none"/>
          <w14:textFill>
            <w14:solidFill>
              <w14:schemeClr w14:val="tx1"/>
            </w14:solidFill>
          </w14:textFill>
        </w:rPr>
        <w:t>%</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。主要原因是</w:t>
      </w: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2020年受新冠疫情影响，接待费开支大幅减少</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。其中：</w:t>
      </w:r>
    </w:p>
    <w:p>
      <w:pPr>
        <w:pStyle w:val="32"/>
        <w:keepNext w:val="0"/>
        <w:keepLines w:val="0"/>
        <w:pageBreakBefore w:val="0"/>
        <w:kinsoku/>
        <w:wordWrap/>
        <w:overflowPunct/>
        <w:topLinePunct w:val="0"/>
        <w:bidi w:val="0"/>
        <w:snapToGrid/>
        <w:spacing w:line="600" w:lineRule="exact"/>
        <w:ind w:firstLine="643" w:firstLineChars="200"/>
        <w:jc w:val="both"/>
        <w:textAlignment w:val="auto"/>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i w:val="0"/>
          <w:iCs w:val="0"/>
          <w:color w:val="000000" w:themeColor="text1"/>
          <w:sz w:val="32"/>
          <w:szCs w:val="32"/>
          <w:highlight w:val="none"/>
          <w:u w:val="none"/>
          <w14:textFill>
            <w14:solidFill>
              <w14:schemeClr w14:val="tx1"/>
            </w14:solidFill>
          </w14:textFill>
        </w:rPr>
        <w:t>国内公务接待支出</w:t>
      </w: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2.80</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万元，</w:t>
      </w:r>
      <w:r>
        <w:rPr>
          <w:rFonts w:hint="eastAsia" w:ascii="仿宋_GB2312" w:hAnsi="仿宋_GB2312" w:eastAsia="仿宋_GB2312" w:cs="仿宋_GB2312"/>
          <w:i w:val="0"/>
          <w:iCs w:val="0"/>
          <w:color w:val="000000" w:themeColor="text1"/>
          <w:sz w:val="32"/>
          <w:szCs w:val="32"/>
          <w:u w:val="none"/>
          <w14:textFill>
            <w14:solidFill>
              <w14:schemeClr w14:val="tx1"/>
            </w14:solidFill>
          </w14:textFill>
        </w:rPr>
        <w:t>主要用于法律援助、普法宣传、基层司法、法制建设(执行公务、开展业务活动开支的交通费、住宿费、用餐费等)。国内公务接待2</w:t>
      </w:r>
      <w:r>
        <w:rPr>
          <w:rFonts w:hint="eastAsia" w:ascii="仿宋_GB2312" w:hAnsi="仿宋_GB2312" w:eastAsia="仿宋_GB2312" w:cs="仿宋_GB2312"/>
          <w:i w:val="0"/>
          <w:iCs w:val="0"/>
          <w:color w:val="000000" w:themeColor="text1"/>
          <w:sz w:val="32"/>
          <w:szCs w:val="32"/>
          <w:u w:val="none"/>
          <w:lang w:val="en-US" w:eastAsia="zh-CN"/>
          <w14:textFill>
            <w14:solidFill>
              <w14:schemeClr w14:val="tx1"/>
            </w14:solidFill>
          </w14:textFill>
        </w:rPr>
        <w:t>0</w:t>
      </w:r>
      <w:r>
        <w:rPr>
          <w:rFonts w:hint="eastAsia" w:ascii="仿宋_GB2312" w:hAnsi="仿宋_GB2312" w:eastAsia="仿宋_GB2312" w:cs="仿宋_GB2312"/>
          <w:i w:val="0"/>
          <w:iCs w:val="0"/>
          <w:color w:val="000000" w:themeColor="text1"/>
          <w:sz w:val="32"/>
          <w:szCs w:val="32"/>
          <w:u w:val="none"/>
          <w14:textFill>
            <w14:solidFill>
              <w14:schemeClr w14:val="tx1"/>
            </w14:solidFill>
          </w14:textFill>
        </w:rPr>
        <w:t>批次，2</w:t>
      </w:r>
      <w:r>
        <w:rPr>
          <w:rFonts w:hint="eastAsia" w:ascii="仿宋_GB2312" w:hAnsi="仿宋_GB2312" w:eastAsia="仿宋_GB2312" w:cs="仿宋_GB2312"/>
          <w:i w:val="0"/>
          <w:iCs w:val="0"/>
          <w:color w:val="000000" w:themeColor="text1"/>
          <w:sz w:val="32"/>
          <w:szCs w:val="32"/>
          <w:u w:val="none"/>
          <w:lang w:val="en-US" w:eastAsia="zh-CN"/>
          <w14:textFill>
            <w14:solidFill>
              <w14:schemeClr w14:val="tx1"/>
            </w14:solidFill>
          </w14:textFill>
        </w:rPr>
        <w:t>02</w:t>
      </w:r>
      <w:r>
        <w:rPr>
          <w:rFonts w:hint="eastAsia" w:ascii="仿宋_GB2312" w:hAnsi="仿宋_GB2312" w:eastAsia="仿宋_GB2312" w:cs="仿宋_GB2312"/>
          <w:i w:val="0"/>
          <w:iCs w:val="0"/>
          <w:color w:val="000000" w:themeColor="text1"/>
          <w:sz w:val="32"/>
          <w:szCs w:val="32"/>
          <w:u w:val="none"/>
          <w14:textFill>
            <w14:solidFill>
              <w14:schemeClr w14:val="tx1"/>
            </w14:solidFill>
          </w14:textFill>
        </w:rPr>
        <w:t>人次（不包括陪同人员），共计支出</w:t>
      </w:r>
      <w:r>
        <w:rPr>
          <w:rFonts w:hint="eastAsia" w:ascii="仿宋_GB2312" w:hAnsi="仿宋_GB2312" w:eastAsia="仿宋_GB2312" w:cs="仿宋_GB2312"/>
          <w:i w:val="0"/>
          <w:iCs w:val="0"/>
          <w:color w:val="000000" w:themeColor="text1"/>
          <w:sz w:val="32"/>
          <w:szCs w:val="32"/>
          <w:u w:val="none"/>
          <w:lang w:val="en-US" w:eastAsia="zh-CN"/>
          <w14:textFill>
            <w14:solidFill>
              <w14:schemeClr w14:val="tx1"/>
            </w14:solidFill>
          </w14:textFill>
        </w:rPr>
        <w:t>2.80</w:t>
      </w:r>
      <w:r>
        <w:rPr>
          <w:rFonts w:hint="eastAsia" w:ascii="仿宋_GB2312" w:hAnsi="仿宋_GB2312" w:eastAsia="仿宋_GB2312" w:cs="仿宋_GB2312"/>
          <w:i w:val="0"/>
          <w:iCs w:val="0"/>
          <w:color w:val="000000" w:themeColor="text1"/>
          <w:sz w:val="32"/>
          <w:szCs w:val="32"/>
          <w:u w:val="none"/>
          <w14:textFill>
            <w14:solidFill>
              <w14:schemeClr w14:val="tx1"/>
            </w14:solidFill>
          </w14:textFill>
        </w:rPr>
        <w:t>万元。</w:t>
      </w:r>
    </w:p>
    <w:p>
      <w:pPr>
        <w:pStyle w:val="32"/>
        <w:keepNext w:val="0"/>
        <w:keepLines w:val="0"/>
        <w:pageBreakBefore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i w:val="0"/>
          <w:iCs w:val="0"/>
          <w:color w:val="000000" w:themeColor="text1"/>
          <w:sz w:val="32"/>
          <w:szCs w:val="32"/>
          <w:u w:val="none"/>
          <w14:textFill>
            <w14:solidFill>
              <w14:schemeClr w14:val="tx1"/>
            </w14:solidFill>
          </w14:textFill>
        </w:rPr>
      </w:pPr>
      <w:bookmarkStart w:id="50" w:name="_Toc15396610"/>
      <w:bookmarkStart w:id="51" w:name="_Toc15377218"/>
      <w:r>
        <w:rPr>
          <w:rFonts w:hint="eastAsia" w:ascii="仿宋_GB2312" w:hAnsi="仿宋_GB2312" w:eastAsia="仿宋_GB2312" w:cs="仿宋_GB2312"/>
          <w:i w:val="0"/>
          <w:iCs w:val="0"/>
          <w:color w:val="000000" w:themeColor="text1"/>
          <w:sz w:val="32"/>
          <w:szCs w:val="32"/>
          <w:u w:val="none"/>
          <w14:textFill>
            <w14:solidFill>
              <w14:schemeClr w14:val="tx1"/>
            </w14:solidFill>
          </w14:textFill>
        </w:rPr>
        <w:t>无外事接待支出。</w:t>
      </w:r>
    </w:p>
    <w:p>
      <w:pPr>
        <w:keepNext w:val="0"/>
        <w:keepLines w:val="0"/>
        <w:pageBreakBefore w:val="0"/>
        <w:kinsoku/>
        <w:wordWrap/>
        <w:overflowPunct/>
        <w:topLinePunct w:val="0"/>
        <w:bidi w:val="0"/>
        <w:snapToGrid/>
        <w:spacing w:line="600" w:lineRule="exact"/>
        <w:ind w:firstLine="640"/>
        <w:jc w:val="both"/>
        <w:textAlignment w:val="auto"/>
        <w:outlineLvl w:val="1"/>
        <w:rPr>
          <w:rStyle w:val="27"/>
          <w:rFonts w:hint="eastAsia" w:ascii="黑体" w:hAnsi="黑体" w:eastAsia="黑体" w:cs="黑体"/>
          <w:i w:val="0"/>
          <w:iCs w:val="0"/>
          <w:color w:val="000000" w:themeColor="text1"/>
          <w:sz w:val="32"/>
          <w:szCs w:val="32"/>
          <w:highlight w:val="none"/>
          <w:u w:val="none"/>
          <w14:textFill>
            <w14:solidFill>
              <w14:schemeClr w14:val="tx1"/>
            </w14:solidFill>
          </w14:textFill>
        </w:rPr>
      </w:pPr>
      <w:r>
        <w:rPr>
          <w:rFonts w:hint="eastAsia" w:ascii="黑体" w:hAnsi="黑体" w:eastAsia="黑体" w:cs="黑体"/>
          <w:i w:val="0"/>
          <w:iCs w:val="0"/>
          <w:color w:val="000000" w:themeColor="text1"/>
          <w:sz w:val="32"/>
          <w:szCs w:val="32"/>
          <w:highlight w:val="none"/>
          <w:u w:val="none"/>
          <w14:textFill>
            <w14:solidFill>
              <w14:schemeClr w14:val="tx1"/>
            </w14:solidFill>
          </w14:textFill>
        </w:rPr>
        <w:t>八、</w:t>
      </w:r>
      <w:r>
        <w:rPr>
          <w:rStyle w:val="27"/>
          <w:rFonts w:hint="eastAsia" w:ascii="黑体" w:hAnsi="黑体" w:eastAsia="黑体" w:cs="黑体"/>
          <w:b w:val="0"/>
          <w:i w:val="0"/>
          <w:iCs w:val="0"/>
          <w:color w:val="000000" w:themeColor="text1"/>
          <w:sz w:val="32"/>
          <w:szCs w:val="32"/>
          <w:highlight w:val="none"/>
          <w:u w:val="none"/>
          <w14:textFill>
            <w14:solidFill>
              <w14:schemeClr w14:val="tx1"/>
            </w14:solidFill>
          </w14:textFill>
        </w:rPr>
        <w:t>政府性基金预算支出决算情况说明</w:t>
      </w:r>
      <w:bookmarkEnd w:id="50"/>
      <w:bookmarkEnd w:id="51"/>
    </w:p>
    <w:p>
      <w:pPr>
        <w:keepNext w:val="0"/>
        <w:keepLines w:val="0"/>
        <w:pageBreakBefore w:val="0"/>
        <w:kinsoku/>
        <w:wordWrap/>
        <w:overflowPunct/>
        <w:topLinePunct w:val="0"/>
        <w:bidi w:val="0"/>
        <w:snapToGrid/>
        <w:spacing w:line="600" w:lineRule="exact"/>
        <w:ind w:firstLine="640"/>
        <w:jc w:val="both"/>
        <w:textAlignment w:val="auto"/>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20</w:t>
      </w: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21</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年政府性基金预算</w:t>
      </w:r>
      <w:r>
        <w:rPr>
          <w:rFonts w:hint="eastAsia" w:ascii="仿宋_GB2312" w:hAnsi="仿宋_GB2312" w:eastAsia="仿宋_GB2312" w:cs="仿宋_GB2312"/>
          <w:i w:val="0"/>
          <w:iCs w:val="0"/>
          <w:color w:val="000000" w:themeColor="text1"/>
          <w:sz w:val="32"/>
          <w:szCs w:val="32"/>
          <w:highlight w:val="none"/>
          <w:u w:val="none"/>
          <w:lang w:eastAsia="zh-CN"/>
          <w14:textFill>
            <w14:solidFill>
              <w14:schemeClr w14:val="tx1"/>
            </w14:solidFill>
          </w14:textFill>
        </w:rPr>
        <w:t>财政</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拨款支出</w:t>
      </w: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0</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万元。</w:t>
      </w:r>
    </w:p>
    <w:p>
      <w:pPr>
        <w:keepNext w:val="0"/>
        <w:keepLines w:val="0"/>
        <w:pageBreakBefore w:val="0"/>
        <w:numPr>
          <w:ilvl w:val="0"/>
          <w:numId w:val="0"/>
        </w:numPr>
        <w:kinsoku/>
        <w:wordWrap/>
        <w:overflowPunct/>
        <w:topLinePunct w:val="0"/>
        <w:bidi w:val="0"/>
        <w:snapToGrid/>
        <w:spacing w:line="240" w:lineRule="auto"/>
        <w:ind w:firstLine="640" w:firstLineChars="200"/>
        <w:jc w:val="both"/>
        <w:textAlignment w:val="auto"/>
        <w:outlineLvl w:val="1"/>
        <w:rPr>
          <w:rStyle w:val="27"/>
          <w:rFonts w:hint="eastAsia" w:ascii="黑体" w:hAnsi="黑体" w:eastAsia="黑体" w:cs="黑体"/>
          <w:b w:val="0"/>
          <w:i w:val="0"/>
          <w:iCs w:val="0"/>
          <w:color w:val="000000" w:themeColor="text1"/>
          <w:sz w:val="32"/>
          <w:szCs w:val="32"/>
          <w:highlight w:val="none"/>
          <w:u w:val="none"/>
          <w14:textFill>
            <w14:solidFill>
              <w14:schemeClr w14:val="tx1"/>
            </w14:solidFill>
          </w14:textFill>
        </w:rPr>
      </w:pPr>
      <w:bookmarkStart w:id="52" w:name="_Toc15377219"/>
      <w:bookmarkStart w:id="53" w:name="_Toc15396611"/>
      <w:r>
        <w:rPr>
          <w:rStyle w:val="27"/>
          <w:rFonts w:hint="eastAsia" w:ascii="黑体" w:hAnsi="黑体" w:eastAsia="黑体" w:cs="黑体"/>
          <w:b w:val="0"/>
          <w:i w:val="0"/>
          <w:iCs w:val="0"/>
          <w:color w:val="000000" w:themeColor="text1"/>
          <w:sz w:val="32"/>
          <w:szCs w:val="32"/>
          <w:highlight w:val="none"/>
          <w:u w:val="none"/>
          <w:lang w:eastAsia="zh-CN"/>
          <w14:textFill>
            <w14:solidFill>
              <w14:schemeClr w14:val="tx1"/>
            </w14:solidFill>
          </w14:textFill>
        </w:rPr>
        <w:t>九、</w:t>
      </w:r>
      <w:r>
        <w:rPr>
          <w:rStyle w:val="27"/>
          <w:rFonts w:hint="eastAsia" w:ascii="黑体" w:hAnsi="黑体" w:eastAsia="黑体" w:cs="黑体"/>
          <w:b w:val="0"/>
          <w:i w:val="0"/>
          <w:iCs w:val="0"/>
          <w:color w:val="000000" w:themeColor="text1"/>
          <w:sz w:val="32"/>
          <w:szCs w:val="32"/>
          <w:highlight w:val="none"/>
          <w:u w:val="none"/>
          <w14:textFill>
            <w14:solidFill>
              <w14:schemeClr w14:val="tx1"/>
            </w14:solidFill>
          </w14:textFill>
        </w:rPr>
        <w:t>国有资本经营预算支出决算情况说明</w:t>
      </w:r>
      <w:bookmarkEnd w:id="52"/>
      <w:bookmarkEnd w:id="53"/>
    </w:p>
    <w:p>
      <w:pPr>
        <w:keepNext w:val="0"/>
        <w:keepLines w:val="0"/>
        <w:pageBreakBefore w:val="0"/>
        <w:kinsoku/>
        <w:wordWrap/>
        <w:overflowPunct/>
        <w:topLinePunct w:val="0"/>
        <w:bidi w:val="0"/>
        <w:snapToGrid/>
        <w:spacing w:line="600" w:lineRule="exact"/>
        <w:ind w:firstLine="640"/>
        <w:jc w:val="both"/>
        <w:textAlignment w:val="auto"/>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20</w:t>
      </w: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21</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年国有资本经营预算</w:t>
      </w:r>
      <w:r>
        <w:rPr>
          <w:rFonts w:hint="eastAsia" w:ascii="仿宋_GB2312" w:hAnsi="仿宋_GB2312" w:eastAsia="仿宋_GB2312" w:cs="仿宋_GB2312"/>
          <w:i w:val="0"/>
          <w:iCs w:val="0"/>
          <w:color w:val="000000" w:themeColor="text1"/>
          <w:sz w:val="32"/>
          <w:szCs w:val="32"/>
          <w:highlight w:val="none"/>
          <w:u w:val="none"/>
          <w:lang w:eastAsia="zh-CN"/>
          <w14:textFill>
            <w14:solidFill>
              <w14:schemeClr w14:val="tx1"/>
            </w14:solidFill>
          </w14:textFill>
        </w:rPr>
        <w:t>财政</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拨款支出</w:t>
      </w: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0</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万元。</w:t>
      </w:r>
    </w:p>
    <w:p>
      <w:pPr>
        <w:keepNext w:val="0"/>
        <w:keepLines w:val="0"/>
        <w:pageBreakBefore w:val="0"/>
        <w:numPr>
          <w:ilvl w:val="0"/>
          <w:numId w:val="0"/>
        </w:numPr>
        <w:kinsoku/>
        <w:wordWrap/>
        <w:overflowPunct/>
        <w:topLinePunct w:val="0"/>
        <w:bidi w:val="0"/>
        <w:snapToGrid/>
        <w:spacing w:line="240" w:lineRule="auto"/>
        <w:ind w:firstLine="640" w:firstLineChars="200"/>
        <w:jc w:val="both"/>
        <w:textAlignment w:val="auto"/>
        <w:outlineLvl w:val="1"/>
        <w:rPr>
          <w:rStyle w:val="27"/>
          <w:rFonts w:hint="eastAsia" w:ascii="黑体" w:hAnsi="黑体" w:eastAsia="黑体" w:cs="黑体"/>
          <w:b w:val="0"/>
          <w:i w:val="0"/>
          <w:iCs w:val="0"/>
          <w:color w:val="000000" w:themeColor="text1"/>
          <w:sz w:val="32"/>
          <w:szCs w:val="32"/>
          <w:highlight w:val="none"/>
          <w:u w:val="none"/>
          <w:lang w:eastAsia="zh-CN"/>
          <w14:textFill>
            <w14:solidFill>
              <w14:schemeClr w14:val="tx1"/>
            </w14:solidFill>
          </w14:textFill>
        </w:rPr>
      </w:pPr>
      <w:bookmarkStart w:id="54" w:name="_Toc15377221"/>
      <w:bookmarkStart w:id="55" w:name="_Toc15396612"/>
      <w:r>
        <w:rPr>
          <w:rStyle w:val="27"/>
          <w:rFonts w:hint="eastAsia" w:ascii="黑体" w:hAnsi="黑体" w:eastAsia="黑体" w:cs="黑体"/>
          <w:b w:val="0"/>
          <w:i w:val="0"/>
          <w:iCs w:val="0"/>
          <w:color w:val="000000" w:themeColor="text1"/>
          <w:sz w:val="32"/>
          <w:szCs w:val="32"/>
          <w:highlight w:val="none"/>
          <w:u w:val="none"/>
          <w:lang w:eastAsia="zh-CN"/>
          <w14:textFill>
            <w14:solidFill>
              <w14:schemeClr w14:val="tx1"/>
            </w14:solidFill>
          </w14:textFill>
        </w:rPr>
        <w:t>十、其他重要事项的情况说明</w:t>
      </w:r>
      <w:bookmarkEnd w:id="54"/>
      <w:bookmarkEnd w:id="55"/>
    </w:p>
    <w:p>
      <w:pPr>
        <w:keepNext w:val="0"/>
        <w:keepLines w:val="0"/>
        <w:pageBreakBefore w:val="0"/>
        <w:kinsoku/>
        <w:wordWrap/>
        <w:overflowPunct/>
        <w:topLinePunct w:val="0"/>
        <w:bidi w:val="0"/>
        <w:snapToGrid/>
        <w:spacing w:line="600" w:lineRule="exact"/>
        <w:ind w:firstLine="643" w:firstLineChars="200"/>
        <w:jc w:val="both"/>
        <w:textAlignment w:val="auto"/>
        <w:outlineLvl w:val="2"/>
        <w:rPr>
          <w:rFonts w:hint="eastAsia" w:ascii="楷体_GB2312" w:hAnsi="楷体_GB2312" w:eastAsia="楷体_GB2312" w:cs="楷体_GB2312"/>
          <w:i w:val="0"/>
          <w:iCs w:val="0"/>
          <w:color w:val="000000" w:themeColor="text1"/>
          <w:sz w:val="32"/>
          <w:szCs w:val="32"/>
          <w:highlight w:val="none"/>
          <w:u w:val="none"/>
          <w14:textFill>
            <w14:solidFill>
              <w14:schemeClr w14:val="tx1"/>
            </w14:solidFill>
          </w14:textFill>
        </w:rPr>
      </w:pPr>
      <w:bookmarkStart w:id="56" w:name="_Toc15377222"/>
      <w:r>
        <w:rPr>
          <w:rFonts w:hint="eastAsia" w:ascii="楷体_GB2312" w:hAnsi="楷体_GB2312" w:eastAsia="楷体_GB2312" w:cs="楷体_GB2312"/>
          <w:b/>
          <w:i w:val="0"/>
          <w:iCs w:val="0"/>
          <w:color w:val="000000" w:themeColor="text1"/>
          <w:sz w:val="32"/>
          <w:szCs w:val="32"/>
          <w:highlight w:val="none"/>
          <w:u w:val="none"/>
          <w14:textFill>
            <w14:solidFill>
              <w14:schemeClr w14:val="tx1"/>
            </w14:solidFill>
          </w14:textFill>
        </w:rPr>
        <w:t>（一）机关运行经费支出情况</w:t>
      </w:r>
      <w:bookmarkEnd w:id="56"/>
    </w:p>
    <w:p>
      <w:pPr>
        <w:pStyle w:val="32"/>
        <w:keepNext w:val="0"/>
        <w:keepLines w:val="0"/>
        <w:pageBreakBefore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i w:val="0"/>
          <w:iCs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20</w:t>
      </w: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21</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年，</w:t>
      </w:r>
      <w:r>
        <w:rPr>
          <w:rFonts w:hint="eastAsia" w:ascii="仿宋_GB2312" w:hAnsi="仿宋_GB2312" w:eastAsia="仿宋_GB2312" w:cs="仿宋_GB2312"/>
          <w:i w:val="0"/>
          <w:iCs w:val="0"/>
          <w:color w:val="000000" w:themeColor="text1"/>
          <w:sz w:val="32"/>
          <w:szCs w:val="32"/>
          <w:u w:val="none"/>
          <w14:textFill>
            <w14:solidFill>
              <w14:schemeClr w14:val="tx1"/>
            </w14:solidFill>
          </w14:textFill>
        </w:rPr>
        <w:t>司法厅</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机关运行经费支出</w:t>
      </w: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2196.57</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万元，比20</w:t>
      </w: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20</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年</w:t>
      </w:r>
      <w:r>
        <w:rPr>
          <w:rFonts w:hint="eastAsia" w:ascii="仿宋_GB2312" w:hAnsi="仿宋_GB2312" w:eastAsia="仿宋_GB2312" w:cs="仿宋_GB2312"/>
          <w:i w:val="0"/>
          <w:iCs w:val="0"/>
          <w:color w:val="000000" w:themeColor="text1"/>
          <w:sz w:val="32"/>
          <w:szCs w:val="32"/>
          <w:u w:val="none"/>
          <w14:textFill>
            <w14:solidFill>
              <w14:schemeClr w14:val="tx1"/>
            </w14:solidFill>
          </w14:textFill>
        </w:rPr>
        <w:t>2418.55</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万元减少</w:t>
      </w: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221.98</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万元，下降</w:t>
      </w: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9.18</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%。主要原因是</w:t>
      </w:r>
      <w:r>
        <w:rPr>
          <w:rFonts w:hint="eastAsia" w:ascii="仿宋_GB2312" w:hAnsi="仿宋_GB2312" w:eastAsia="仿宋_GB2312" w:cs="仿宋_GB2312"/>
          <w:i w:val="0"/>
          <w:iCs w:val="0"/>
          <w:color w:val="000000" w:themeColor="text1"/>
          <w:sz w:val="32"/>
          <w:szCs w:val="32"/>
          <w:u w:val="none"/>
          <w14:textFill>
            <w14:solidFill>
              <w14:schemeClr w14:val="tx1"/>
            </w14:solidFill>
          </w14:textFill>
        </w:rPr>
        <w:t>严格支出管理，将省委省政府过紧日子精神落到实处。</w:t>
      </w:r>
    </w:p>
    <w:p>
      <w:pPr>
        <w:keepNext w:val="0"/>
        <w:keepLines w:val="0"/>
        <w:pageBreakBefore w:val="0"/>
        <w:kinsoku/>
        <w:wordWrap/>
        <w:overflowPunct/>
        <w:topLinePunct w:val="0"/>
        <w:bidi w:val="0"/>
        <w:snapToGrid/>
        <w:spacing w:line="600" w:lineRule="exact"/>
        <w:ind w:firstLine="643" w:firstLineChars="200"/>
        <w:jc w:val="both"/>
        <w:textAlignment w:val="auto"/>
        <w:outlineLvl w:val="2"/>
        <w:rPr>
          <w:rFonts w:hint="eastAsia" w:ascii="楷体_GB2312" w:hAnsi="楷体_GB2312" w:eastAsia="楷体_GB2312" w:cs="楷体_GB2312"/>
          <w:b/>
          <w:i w:val="0"/>
          <w:iCs w:val="0"/>
          <w:color w:val="000000" w:themeColor="text1"/>
          <w:sz w:val="32"/>
          <w:szCs w:val="32"/>
          <w:highlight w:val="none"/>
          <w:u w:val="none"/>
          <w14:textFill>
            <w14:solidFill>
              <w14:schemeClr w14:val="tx1"/>
            </w14:solidFill>
          </w14:textFill>
        </w:rPr>
      </w:pPr>
      <w:bookmarkStart w:id="57" w:name="_Toc15377223"/>
      <w:r>
        <w:rPr>
          <w:rFonts w:hint="eastAsia" w:ascii="楷体_GB2312" w:hAnsi="楷体_GB2312" w:eastAsia="楷体_GB2312" w:cs="楷体_GB2312"/>
          <w:b/>
          <w:i w:val="0"/>
          <w:iCs w:val="0"/>
          <w:color w:val="000000" w:themeColor="text1"/>
          <w:sz w:val="32"/>
          <w:szCs w:val="32"/>
          <w:highlight w:val="none"/>
          <w:u w:val="none"/>
          <w14:textFill>
            <w14:solidFill>
              <w14:schemeClr w14:val="tx1"/>
            </w14:solidFill>
          </w14:textFill>
        </w:rPr>
        <w:t>（二）政府采购支出情况</w:t>
      </w:r>
      <w:bookmarkEnd w:id="57"/>
    </w:p>
    <w:p>
      <w:pPr>
        <w:keepNext w:val="0"/>
        <w:keepLines w:val="0"/>
        <w:pageBreakBefore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20</w:t>
      </w: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21</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年，</w:t>
      </w:r>
      <w:r>
        <w:rPr>
          <w:rFonts w:hint="eastAsia" w:ascii="仿宋_GB2312" w:hAnsi="仿宋_GB2312" w:eastAsia="仿宋_GB2312" w:cs="仿宋_GB2312"/>
          <w:i w:val="0"/>
          <w:iCs w:val="0"/>
          <w:color w:val="000000" w:themeColor="text1"/>
          <w:sz w:val="32"/>
          <w:szCs w:val="32"/>
          <w:u w:val="none"/>
          <w14:textFill>
            <w14:solidFill>
              <w14:schemeClr w14:val="tx1"/>
            </w14:solidFill>
          </w14:textFill>
        </w:rPr>
        <w:t>司法厅</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政府采购支出总额</w:t>
      </w: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3922.74</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万元，其中：政府采购货物支出</w:t>
      </w: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462.73</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万元、政府采购工程支出</w:t>
      </w: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0</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万元、政府采购服务支出</w:t>
      </w: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3460.01</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万元。主要用于</w:t>
      </w:r>
      <w:r>
        <w:rPr>
          <w:rFonts w:hint="eastAsia" w:ascii="仿宋_GB2312" w:hAnsi="仿宋_GB2312" w:eastAsia="仿宋_GB2312" w:cs="仿宋_GB2312"/>
          <w:i w:val="0"/>
          <w:iCs w:val="0"/>
          <w:color w:val="000000" w:themeColor="text1"/>
          <w:sz w:val="32"/>
          <w:szCs w:val="32"/>
          <w:u w:val="none"/>
          <w14:textFill>
            <w14:solidFill>
              <w14:schemeClr w14:val="tx1"/>
            </w14:solidFill>
          </w14:textFill>
        </w:rPr>
        <w:t>主要用于信息化建设及政府购买服务。</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授予中小企业合同金额</w:t>
      </w: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298.23</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万元，占政府采购支出总额的</w:t>
      </w: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7.60</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%，其中：授予小微企业合同金额</w:t>
      </w: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298.23</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万元，占政府采购支出总额的</w:t>
      </w: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7.60</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w:t>
      </w:r>
    </w:p>
    <w:p>
      <w:pPr>
        <w:keepNext w:val="0"/>
        <w:keepLines w:val="0"/>
        <w:pageBreakBefore w:val="0"/>
        <w:kinsoku/>
        <w:wordWrap/>
        <w:overflowPunct/>
        <w:topLinePunct w:val="0"/>
        <w:bidi w:val="0"/>
        <w:snapToGrid/>
        <w:spacing w:line="600" w:lineRule="exact"/>
        <w:ind w:firstLine="643" w:firstLineChars="200"/>
        <w:jc w:val="both"/>
        <w:textAlignment w:val="auto"/>
        <w:outlineLvl w:val="2"/>
        <w:rPr>
          <w:rFonts w:hint="eastAsia" w:ascii="楷体_GB2312" w:hAnsi="楷体_GB2312" w:eastAsia="楷体_GB2312" w:cs="楷体_GB2312"/>
          <w:b/>
          <w:i w:val="0"/>
          <w:iCs w:val="0"/>
          <w:color w:val="000000" w:themeColor="text1"/>
          <w:sz w:val="32"/>
          <w:szCs w:val="32"/>
          <w:highlight w:val="none"/>
          <w:u w:val="none"/>
          <w14:textFill>
            <w14:solidFill>
              <w14:schemeClr w14:val="tx1"/>
            </w14:solidFill>
          </w14:textFill>
        </w:rPr>
      </w:pPr>
      <w:bookmarkStart w:id="58" w:name="_Toc15377224"/>
      <w:r>
        <w:rPr>
          <w:rFonts w:hint="eastAsia" w:ascii="楷体_GB2312" w:hAnsi="楷体_GB2312" w:eastAsia="楷体_GB2312" w:cs="楷体_GB2312"/>
          <w:b/>
          <w:i w:val="0"/>
          <w:iCs w:val="0"/>
          <w:color w:val="000000" w:themeColor="text1"/>
          <w:sz w:val="32"/>
          <w:szCs w:val="32"/>
          <w:highlight w:val="none"/>
          <w:u w:val="none"/>
          <w14:textFill>
            <w14:solidFill>
              <w14:schemeClr w14:val="tx1"/>
            </w14:solidFill>
          </w14:textFill>
        </w:rPr>
        <w:t>（三）国有资产占有使用情况</w:t>
      </w:r>
      <w:bookmarkEnd w:id="58"/>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截至20</w:t>
      </w: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21</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年12月31日，</w:t>
      </w:r>
      <w:r>
        <w:rPr>
          <w:rFonts w:hint="eastAsia" w:ascii="仿宋_GB2312" w:hAnsi="仿宋_GB2312" w:eastAsia="仿宋_GB2312" w:cs="仿宋_GB2312"/>
          <w:i w:val="0"/>
          <w:iCs w:val="0"/>
          <w:color w:val="000000" w:themeColor="text1"/>
          <w:sz w:val="32"/>
          <w:szCs w:val="32"/>
          <w:u w:val="none"/>
          <w14:textFill>
            <w14:solidFill>
              <w14:schemeClr w14:val="tx1"/>
            </w14:solidFill>
          </w14:textFill>
        </w:rPr>
        <w:t>司法厅</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共有车辆</w:t>
      </w: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29</w:t>
      </w:r>
      <w:bookmarkStart w:id="77" w:name="_GoBack"/>
      <w:bookmarkEnd w:id="77"/>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辆，其中：主要领导干部用车</w:t>
      </w: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1</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辆、机要通信用车</w:t>
      </w: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2</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辆、应急保障用车</w:t>
      </w: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3</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辆、</w:t>
      </w:r>
      <w:r>
        <w:rPr>
          <w:rFonts w:hint="eastAsia" w:ascii="仿宋_GB2312" w:hAnsi="仿宋_GB2312" w:eastAsia="仿宋_GB2312" w:cs="仿宋_GB2312"/>
          <w:i w:val="0"/>
          <w:iCs w:val="0"/>
          <w:color w:val="000000" w:themeColor="text1"/>
          <w:sz w:val="32"/>
          <w:szCs w:val="32"/>
          <w:u w:val="none"/>
          <w14:textFill>
            <w14:solidFill>
              <w14:schemeClr w14:val="tx1"/>
            </w14:solidFill>
          </w14:textFill>
        </w:rPr>
        <w:t>执法执勤用车15辆</w:t>
      </w:r>
      <w:r>
        <w:rPr>
          <w:rFonts w:hint="eastAsia" w:ascii="仿宋_GB2312" w:hAnsi="仿宋_GB2312" w:eastAsia="仿宋_GB2312" w:cs="仿宋_GB2312"/>
          <w:i w:val="0"/>
          <w:iCs w:val="0"/>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其他用车</w:t>
      </w: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8</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辆</w:t>
      </w:r>
      <w:r>
        <w:rPr>
          <w:rFonts w:hint="eastAsia" w:ascii="仿宋_GB2312" w:hAnsi="仿宋_GB2312" w:eastAsia="仿宋_GB2312" w:cs="仿宋_GB2312"/>
          <w:i w:val="0"/>
          <w:iCs w:val="0"/>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其他用车主要是用于</w:t>
      </w:r>
      <w:r>
        <w:rPr>
          <w:rFonts w:hint="eastAsia" w:ascii="仿宋_GB2312" w:hAnsi="仿宋_GB2312" w:eastAsia="仿宋_GB2312" w:cs="仿宋_GB2312"/>
          <w:i w:val="0"/>
          <w:iCs w:val="0"/>
          <w:color w:val="000000" w:themeColor="text1"/>
          <w:sz w:val="32"/>
          <w:szCs w:val="32"/>
          <w:u w:val="none"/>
          <w14:textFill>
            <w14:solidFill>
              <w14:schemeClr w14:val="tx1"/>
            </w14:solidFill>
          </w14:textFill>
        </w:rPr>
        <w:t>其他用车主要是用于离退休老干部用车及警校教学用车。单价50万元以上通用设备0台（套），单价100万元以上专用设备0台（套）。</w:t>
      </w:r>
    </w:p>
    <w:p>
      <w:pPr>
        <w:keepNext w:val="0"/>
        <w:keepLines w:val="0"/>
        <w:pageBreakBefore w:val="0"/>
        <w:kinsoku/>
        <w:wordWrap/>
        <w:overflowPunct/>
        <w:topLinePunct w:val="0"/>
        <w:bidi w:val="0"/>
        <w:snapToGrid/>
        <w:spacing w:line="600" w:lineRule="exact"/>
        <w:ind w:firstLine="643" w:firstLineChars="200"/>
        <w:jc w:val="both"/>
        <w:textAlignment w:val="auto"/>
        <w:outlineLvl w:val="2"/>
        <w:rPr>
          <w:rFonts w:hint="eastAsia" w:ascii="楷体_GB2312" w:hAnsi="楷体_GB2312" w:eastAsia="楷体_GB2312" w:cs="楷体_GB2312"/>
          <w:b/>
          <w:i w:val="0"/>
          <w:iCs w:val="0"/>
          <w:color w:val="000000" w:themeColor="text1"/>
          <w:sz w:val="32"/>
          <w:szCs w:val="32"/>
          <w:highlight w:val="none"/>
          <w:u w:val="none"/>
          <w14:textFill>
            <w14:solidFill>
              <w14:schemeClr w14:val="tx1"/>
            </w14:solidFill>
          </w14:textFill>
        </w:rPr>
      </w:pPr>
      <w:r>
        <w:rPr>
          <w:rFonts w:hint="eastAsia" w:ascii="楷体_GB2312" w:hAnsi="楷体_GB2312" w:eastAsia="楷体_GB2312" w:cs="楷体_GB2312"/>
          <w:b/>
          <w:i w:val="0"/>
          <w:iCs w:val="0"/>
          <w:color w:val="000000" w:themeColor="text1"/>
          <w:sz w:val="32"/>
          <w:szCs w:val="32"/>
          <w:highlight w:val="none"/>
          <w:u w:val="none"/>
          <w14:textFill>
            <w14:solidFill>
              <w14:schemeClr w14:val="tx1"/>
            </w14:solidFill>
          </w14:textFill>
        </w:rPr>
        <w:t>（四）预算绩效管理情况</w:t>
      </w:r>
    </w:p>
    <w:p>
      <w:pPr>
        <w:keepNext w:val="0"/>
        <w:keepLines w:val="0"/>
        <w:pageBreakBefore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根据预算绩效管理要求，本部门在</w:t>
      </w: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2021年度</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预算编制阶段，对</w:t>
      </w: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29</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个项目编制了绩效目标，预算执行过程中，选取</w:t>
      </w: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29</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个项目开展绩效监控，年终执行完毕后，对</w:t>
      </w: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29</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个项目开展了绩效自评</w:t>
      </w:r>
      <w:r>
        <w:rPr>
          <w:rFonts w:hint="eastAsia" w:ascii="仿宋_GB2312" w:hAnsi="仿宋_GB2312" w:eastAsia="仿宋_GB2312" w:cs="仿宋_GB2312"/>
          <w:i w:val="0"/>
          <w:iCs w:val="0"/>
          <w:color w:val="000000" w:themeColor="text1"/>
          <w:sz w:val="32"/>
          <w:szCs w:val="32"/>
          <w:highlight w:val="none"/>
          <w:u w:val="none"/>
          <w:lang w:eastAsia="zh-CN"/>
          <w14:textFill>
            <w14:solidFill>
              <w14:schemeClr w14:val="tx1"/>
            </w14:solidFill>
          </w14:textFill>
        </w:rPr>
        <w:t>。同时，</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本部门对20</w:t>
      </w: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21</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年部门整体开展绩效自评，《202</w:t>
      </w: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1</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年</w:t>
      </w:r>
      <w:r>
        <w:rPr>
          <w:rFonts w:hint="eastAsia" w:ascii="仿宋_GB2312" w:hAnsi="仿宋_GB2312" w:eastAsia="仿宋_GB2312" w:cs="仿宋_GB2312"/>
          <w:i w:val="0"/>
          <w:iCs w:val="0"/>
          <w:color w:val="000000" w:themeColor="text1"/>
          <w:sz w:val="32"/>
          <w:szCs w:val="32"/>
          <w:highlight w:val="none"/>
          <w:u w:val="none"/>
          <w:lang w:eastAsia="zh-CN"/>
          <w14:textFill>
            <w14:solidFill>
              <w14:schemeClr w14:val="tx1"/>
            </w14:solidFill>
          </w14:textFill>
        </w:rPr>
        <w:t>四川省司法厅</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整体绩效评价报告》见附件（</w:t>
      </w:r>
      <w:r>
        <w:rPr>
          <w:rFonts w:hint="eastAsia" w:ascii="仿宋_GB2312" w:hAnsi="仿宋_GB2312" w:eastAsia="仿宋_GB2312" w:cs="仿宋_GB2312"/>
          <w:i w:val="0"/>
          <w:iCs w:val="0"/>
          <w:color w:val="000000" w:themeColor="text1"/>
          <w:sz w:val="32"/>
          <w:szCs w:val="32"/>
          <w:highlight w:val="none"/>
          <w:u w:val="none"/>
          <w:lang w:eastAsia="zh-CN"/>
          <w14:textFill>
            <w14:solidFill>
              <w14:schemeClr w14:val="tx1"/>
            </w14:solidFill>
          </w14:textFill>
        </w:rPr>
        <w:t>第四部分</w:t>
      </w:r>
      <w: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t>）。</w:t>
      </w:r>
    </w:p>
    <w:p>
      <w:pPr>
        <w:keepNext w:val="0"/>
        <w:keepLines w:val="0"/>
        <w:pageBreakBefore w:val="0"/>
        <w:widowControl/>
        <w:kinsoku/>
        <w:wordWrap/>
        <w:overflowPunct/>
        <w:topLinePunct w:val="0"/>
        <w:bidi w:val="0"/>
        <w:snapToGrid/>
        <w:spacing w:line="600" w:lineRule="exact"/>
        <w:jc w:val="center"/>
        <w:textAlignment w:val="auto"/>
        <w:rPr>
          <w:rFonts w:hint="eastAsia" w:ascii="宋体" w:hAnsi="宋体" w:eastAsia="宋体" w:cs="宋体"/>
          <w:b/>
          <w:bCs w:val="0"/>
          <w:i w:val="0"/>
          <w:iCs w:val="0"/>
          <w:color w:val="000000" w:themeColor="text1"/>
          <w:sz w:val="44"/>
          <w:szCs w:val="44"/>
          <w:highlight w:val="none"/>
          <w14:textFill>
            <w14:solidFill>
              <w14:schemeClr w14:val="tx1"/>
            </w14:solidFill>
          </w14:textFill>
        </w:rPr>
      </w:pPr>
    </w:p>
    <w:p>
      <w:pPr>
        <w:pStyle w:val="2"/>
        <w:rPr>
          <w:rFonts w:hint="eastAsia"/>
        </w:rPr>
      </w:pPr>
    </w:p>
    <w:p>
      <w:pPr>
        <w:jc w:val="center"/>
        <w:rPr>
          <w:rFonts w:hint="eastAsia" w:ascii="宋体" w:hAnsi="宋体" w:eastAsia="宋体" w:cs="宋体"/>
          <w:b/>
          <w:bCs w:val="0"/>
          <w:i w:val="0"/>
          <w:iCs w:val="0"/>
          <w:color w:val="000000" w:themeColor="text1"/>
          <w:sz w:val="44"/>
          <w:szCs w:val="44"/>
          <w:lang w:eastAsia="zh-CN"/>
          <w14:textFill>
            <w14:solidFill>
              <w14:schemeClr w14:val="tx1"/>
            </w14:solidFill>
          </w14:textFill>
        </w:rPr>
      </w:pPr>
      <w:bookmarkStart w:id="59" w:name="_Toc15396613"/>
      <w:bookmarkStart w:id="60" w:name="_Toc15377225"/>
    </w:p>
    <w:p>
      <w:pPr>
        <w:jc w:val="center"/>
        <w:rPr>
          <w:rFonts w:hint="eastAsia" w:ascii="宋体" w:hAnsi="宋体" w:eastAsia="宋体" w:cs="宋体"/>
          <w:b/>
          <w:bCs w:val="0"/>
          <w:i w:val="0"/>
          <w:iCs w:val="0"/>
          <w:color w:val="000000" w:themeColor="text1"/>
          <w:sz w:val="44"/>
          <w:szCs w:val="44"/>
          <w:lang w:eastAsia="zh-CN"/>
          <w14:textFill>
            <w14:solidFill>
              <w14:schemeClr w14:val="tx1"/>
            </w14:solidFill>
          </w14:textFill>
        </w:rPr>
      </w:pPr>
    </w:p>
    <w:p>
      <w:pPr>
        <w:jc w:val="center"/>
        <w:rPr>
          <w:rFonts w:hint="eastAsia" w:ascii="宋体" w:hAnsi="宋体" w:eastAsia="宋体" w:cs="宋体"/>
          <w:b/>
          <w:bCs w:val="0"/>
          <w:i w:val="0"/>
          <w:iCs w:val="0"/>
          <w:color w:val="000000" w:themeColor="text1"/>
          <w:sz w:val="44"/>
          <w:szCs w:val="44"/>
          <w:lang w:eastAsia="zh-CN"/>
          <w14:textFill>
            <w14:solidFill>
              <w14:schemeClr w14:val="tx1"/>
            </w14:solidFill>
          </w14:textFill>
        </w:rPr>
      </w:pPr>
    </w:p>
    <w:p>
      <w:pPr>
        <w:jc w:val="center"/>
        <w:rPr>
          <w:rFonts w:hint="eastAsia" w:ascii="宋体" w:hAnsi="宋体" w:eastAsia="宋体" w:cs="宋体"/>
          <w:b/>
          <w:bCs w:val="0"/>
          <w:i w:val="0"/>
          <w:iCs w:val="0"/>
          <w:color w:val="000000" w:themeColor="text1"/>
          <w:sz w:val="44"/>
          <w:szCs w:val="44"/>
          <w:lang w:eastAsia="zh-CN"/>
          <w14:textFill>
            <w14:solidFill>
              <w14:schemeClr w14:val="tx1"/>
            </w14:solidFill>
          </w14:textFill>
        </w:rPr>
      </w:pPr>
    </w:p>
    <w:p>
      <w:pPr>
        <w:jc w:val="center"/>
        <w:rPr>
          <w:rFonts w:hint="eastAsia" w:ascii="宋体" w:hAnsi="宋体" w:eastAsia="宋体" w:cs="宋体"/>
          <w:b/>
          <w:bCs w:val="0"/>
          <w:i w:val="0"/>
          <w:iCs w:val="0"/>
          <w:color w:val="000000" w:themeColor="text1"/>
          <w:sz w:val="44"/>
          <w:szCs w:val="44"/>
          <w:lang w:eastAsia="zh-CN"/>
          <w14:textFill>
            <w14:solidFill>
              <w14:schemeClr w14:val="tx1"/>
            </w14:solidFill>
          </w14:textFill>
        </w:rPr>
      </w:pPr>
    </w:p>
    <w:p>
      <w:pPr>
        <w:jc w:val="center"/>
        <w:rPr>
          <w:rFonts w:hint="eastAsia" w:ascii="宋体" w:hAnsi="宋体" w:eastAsia="宋体" w:cs="宋体"/>
          <w:b/>
          <w:bCs w:val="0"/>
          <w:i w:val="0"/>
          <w:iCs w:val="0"/>
          <w:color w:val="000000" w:themeColor="text1"/>
          <w:sz w:val="44"/>
          <w:szCs w:val="44"/>
          <w:lang w:eastAsia="zh-CN"/>
          <w14:textFill>
            <w14:solidFill>
              <w14:schemeClr w14:val="tx1"/>
            </w14:solidFill>
          </w14:textFill>
        </w:rPr>
      </w:pPr>
    </w:p>
    <w:p>
      <w:pPr>
        <w:jc w:val="center"/>
        <w:rPr>
          <w:rFonts w:hint="eastAsia" w:ascii="宋体" w:hAnsi="宋体" w:eastAsia="宋体" w:cs="宋体"/>
          <w:b/>
          <w:bCs w:val="0"/>
          <w:i w:val="0"/>
          <w:iCs w:val="0"/>
          <w:color w:val="000000" w:themeColor="text1"/>
          <w:sz w:val="44"/>
          <w:szCs w:val="44"/>
          <w:lang w:eastAsia="zh-CN"/>
          <w14:textFill>
            <w14:solidFill>
              <w14:schemeClr w14:val="tx1"/>
            </w14:solidFill>
          </w14:textFill>
        </w:rPr>
      </w:pPr>
    </w:p>
    <w:p>
      <w:pPr>
        <w:jc w:val="center"/>
        <w:rPr>
          <w:rFonts w:hint="eastAsia" w:ascii="宋体" w:hAnsi="宋体" w:eastAsia="宋体" w:cs="宋体"/>
          <w:b/>
          <w:bCs w:val="0"/>
          <w:i w:val="0"/>
          <w:iCs w:val="0"/>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color w:val="000000" w:themeColor="text1"/>
          <w:sz w:val="44"/>
          <w:szCs w:val="44"/>
          <w:highlight w:val="none"/>
          <w14:textFill>
            <w14:solidFill>
              <w14:schemeClr w14:val="tx1"/>
            </w14:solidFill>
          </w14:textFill>
        </w:rPr>
      </w:pPr>
      <w:r>
        <w:rPr>
          <w:rFonts w:hint="eastAsia" w:ascii="方正小标宋_GBK" w:hAnsi="方正小标宋_GBK" w:eastAsia="方正小标宋_GBK" w:cs="方正小标宋_GBK"/>
          <w:b w:val="0"/>
          <w:color w:val="000000" w:themeColor="text1"/>
          <w:sz w:val="44"/>
          <w:szCs w:val="44"/>
          <w:highlight w:val="none"/>
          <w:lang w:eastAsia="zh-CN"/>
          <w14:textFill>
            <w14:solidFill>
              <w14:schemeClr w14:val="tx1"/>
            </w14:solidFill>
          </w14:textFill>
        </w:rPr>
        <w:t>第三部分</w:t>
      </w:r>
      <w:r>
        <w:rPr>
          <w:rFonts w:hint="eastAsia" w:ascii="方正小标宋_GBK" w:hAnsi="方正小标宋_GBK" w:eastAsia="方正小标宋_GBK" w:cs="方正小标宋_GBK"/>
          <w:b w:val="0"/>
          <w:color w:val="000000" w:themeColor="text1"/>
          <w:sz w:val="44"/>
          <w:szCs w:val="44"/>
          <w:highlight w:val="none"/>
          <w:lang w:val="en-US" w:eastAsia="zh-CN"/>
          <w14:textFill>
            <w14:solidFill>
              <w14:schemeClr w14:val="tx1"/>
            </w14:solidFill>
          </w14:textFill>
        </w:rPr>
        <w:t xml:space="preserve">  </w:t>
      </w:r>
      <w:r>
        <w:rPr>
          <w:rFonts w:hint="eastAsia" w:ascii="方正小标宋_GBK" w:hAnsi="方正小标宋_GBK" w:eastAsia="方正小标宋_GBK" w:cs="方正小标宋_GBK"/>
          <w:b w:val="0"/>
          <w:color w:val="000000" w:themeColor="text1"/>
          <w:sz w:val="44"/>
          <w:szCs w:val="44"/>
          <w:highlight w:val="none"/>
          <w14:textFill>
            <w14:solidFill>
              <w14:schemeClr w14:val="tx1"/>
            </w14:solidFill>
          </w14:textFill>
        </w:rPr>
        <w:t>名词解释</w:t>
      </w:r>
      <w:bookmarkEnd w:id="59"/>
      <w:bookmarkEnd w:id="60"/>
    </w:p>
    <w:p>
      <w:pPr>
        <w:spacing w:line="600" w:lineRule="exact"/>
        <w:jc w:val="left"/>
        <w:rPr>
          <w:rFonts w:ascii="宋体"/>
          <w:b/>
          <w:color w:val="000000" w:themeColor="text1"/>
          <w:sz w:val="44"/>
          <w:szCs w:val="44"/>
          <w:highlight w:val="none"/>
          <w14:textFill>
            <w14:solidFill>
              <w14:schemeClr w14:val="tx1"/>
            </w14:solidFill>
          </w14:textFill>
        </w:rPr>
      </w:pP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bookmarkStart w:id="61" w:name="_Toc15396614"/>
      <w:bookmarkStart w:id="62" w:name="_Toc15377226"/>
      <w:r>
        <w:rPr>
          <w:rFonts w:ascii="仿宋_GB2312" w:hAnsi="仿宋_GB2312" w:eastAsia="仿宋_GB2312" w:cs="仿宋_GB2312"/>
          <w:color w:val="000000" w:themeColor="text1"/>
          <w:sz w:val="32"/>
          <w:szCs w:val="32"/>
          <w14:textFill>
            <w14:solidFill>
              <w14:schemeClr w14:val="tx1"/>
            </w14:solidFill>
          </w14:textFill>
        </w:rPr>
        <w:t>1.财政拨款收入：指单位从同级财政部门取得的财政预算资金。</w:t>
      </w: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2.事业收入：指事业单位开展专业业务活动及辅助活动取得的收入。</w:t>
      </w: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3.经营收入：指事业单位在专业业务活动及其辅助活动之外开展非独立核算经营活动取得的收入。</w:t>
      </w: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4.其他收入：指单位取得的除上述收入以外的各项收入。</w:t>
      </w: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5.使用非财政拨款结余：指事业单位使用以前年度积累的非财政拨款结余弥补当年收支差额的金额。</w:t>
      </w: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6.年初结转和结余：指以前年度尚未完成、结转到本年按有关规定继续使用的资金。</w:t>
      </w: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7.结余分配：指事业单位按照会计制度规定缴纳的所得税、提取的专用结余以及转入非财政拨款结余的金额等。</w:t>
      </w: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8.年末结转和结余：指单位按有关规定结转到下年或以后年度继续使用的资金。</w:t>
      </w: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9.一般公共服务（类）纪检监察事务（款）大案要案查处（项）:反映查处大要（专）案的支出。</w:t>
      </w:r>
    </w:p>
    <w:p>
      <w:pPr>
        <w:pStyle w:val="24"/>
        <w:keepNext w:val="0"/>
        <w:keepLines w:val="0"/>
        <w:pageBreakBefore w:val="0"/>
        <w:widowControl w:val="0"/>
        <w:kinsoku/>
        <w:wordWrap/>
        <w:overflowPunct/>
        <w:topLinePunct w:val="0"/>
        <w:bidi w:val="0"/>
        <w:snapToGrid/>
        <w:spacing w:line="600" w:lineRule="exact"/>
        <w:ind w:left="5" w:firstLine="635"/>
        <w:jc w:val="both"/>
        <w:textAlignment w:val="auto"/>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10.一般公共服务（类）市场监督管理事务（款）其他市场监督管理事务（项）:反映用于其他市场监督管理事务方面的支出。</w:t>
      </w: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11.公共安全支出（类）司法（款）行政运行（项）:反映</w:t>
      </w:r>
    </w:p>
    <w:p>
      <w:pPr>
        <w:pStyle w:val="24"/>
        <w:keepNext w:val="0"/>
        <w:keepLines w:val="0"/>
        <w:pageBreakBefore w:val="0"/>
        <w:widowControl w:val="0"/>
        <w:kinsoku/>
        <w:wordWrap/>
        <w:overflowPunct/>
        <w:topLinePunct w:val="0"/>
        <w:bidi w:val="0"/>
        <w:snapToGrid/>
        <w:spacing w:line="600" w:lineRule="exact"/>
        <w:jc w:val="both"/>
        <w:textAlignment w:val="auto"/>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行政单位（包括试行公务员管理的事业单位）的基本支出。</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hAnsi="仿宋_GB2312" w:eastAsia="仿宋_GB2312" w:cs="仿宋"/>
          <w:color w:val="000000" w:themeColor="text1"/>
          <w:sz w:val="32"/>
          <w:szCs w:val="32"/>
          <w:lang w:bidi="ar-SA"/>
          <w14:textFill>
            <w14:solidFill>
              <w14:schemeClr w14:val="tx1"/>
            </w14:solidFill>
          </w14:textFill>
        </w:rPr>
      </w:pPr>
      <w:r>
        <w:rPr>
          <w:rFonts w:ascii="仿宋_GB2312" w:hAnsi="仿宋_GB2312" w:eastAsia="仿宋_GB2312" w:cs="仿宋"/>
          <w:color w:val="000000" w:themeColor="text1"/>
          <w:sz w:val="32"/>
          <w:szCs w:val="32"/>
          <w:lang w:bidi="ar-SA"/>
          <w14:textFill>
            <w14:solidFill>
              <w14:schemeClr w14:val="tx1"/>
            </w14:solidFill>
          </w14:textFill>
        </w:rPr>
        <w:t>12.公共安全支出（类）司法（款）一般行政管理事（项）:反映行政单位（包括试行公务员管理的事业单位）为单独设置顶级科目的其他项目支出。</w:t>
      </w: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13.公共安全支出（类）司法（款）机关服务（项）:反映行政单位（包括试行公务员管理的事业单位）提供后勤服务的各类后勤服务中心、医务室等附属事业单位的支出。</w:t>
      </w: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14.公共安全支出（类）司法（款）基层司法业务（项）:指各级司法行政部门用于基层业务的支出。</w:t>
      </w: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15.公共安全支出（类）司法（款）普法宣传（项）:指各级司法行政部门用于组织各种媒体的宣传、普法装备与设施、宣传资料、对外宣传、法制作品的审读评审等方面的支出。</w:t>
      </w: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16.公共安全支出（类）司法（款）法律援助（项）:指各级法律援助机构用于开展法律援助工作的支出。</w:t>
      </w: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17.公共安全支出（类）司法（款）国家统一法律资格考试（项）:指各级司法行政部门用于举办司法统一考试所需支出，包括报名组织费、命题费、试卷印刷费、阅卷费、考场租赁费等。</w:t>
      </w: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18.公共安全支出（类）司法（款）法制建设（项）:反映各级政府用于法制建设方面的支出。</w:t>
      </w: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1</w:t>
      </w:r>
      <w:r>
        <w:rPr>
          <w:rFonts w:hint="eastAsia" w:ascii="仿宋_GB2312" w:hAnsi="仿宋_GB2312" w:eastAsia="仿宋_GB2312"/>
          <w:color w:val="000000" w:themeColor="text1"/>
          <w:sz w:val="32"/>
          <w:szCs w:val="32"/>
          <w14:textFill>
            <w14:solidFill>
              <w14:schemeClr w14:val="tx1"/>
            </w14:solidFill>
          </w14:textFill>
        </w:rPr>
        <w:t>9</w:t>
      </w:r>
      <w:r>
        <w:rPr>
          <w:rFonts w:ascii="仿宋_GB2312" w:hAnsi="仿宋_GB2312" w:eastAsia="仿宋_GB2312"/>
          <w:color w:val="000000" w:themeColor="text1"/>
          <w:sz w:val="32"/>
          <w:szCs w:val="32"/>
          <w14:textFill>
            <w14:solidFill>
              <w14:schemeClr w14:val="tx1"/>
            </w14:solidFill>
          </w14:textFill>
        </w:rPr>
        <w:t>.公共安全支出（类）其他公共安全（款）其他公共安全（项）:反映用于其他方面公共安全支出。</w:t>
      </w: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20.教育支出（类）职业教育（款）高等职业教育（项）:指经国家批准设立的高等职业大学、专科职业教育等方面的支出。</w:t>
      </w: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21.社会保障和就业支出（类）行政事业单位离退休（款）未归口管理的行政事业单位离退休（项）: 指未实行归口管理的行政单位（包括实行公务员管理的事业单位）开支的离退休支出。</w:t>
      </w: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22.社会保障和就业支出（类）行政事业单位离退休（款）机关事业单位基本养老保险缴费支出（项）: 指机关事业单位实施养老保险制度由单位缴纳的基本养老保险支出。</w:t>
      </w: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23.社会保障和就业支出（类）行政事业单位离退休（款）机关事业单位职业年金缴费支出（项）: 反映机关事业单位实施年老保险制度由单位缴纳的职业年金支出。</w:t>
      </w: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24.社会保障和就业支出（类）抚恤（款）死亡抚恤（项）:指按规定用于烈士和牺牲、病故人员家属的一次性和定期抚恤金以及丧葬补助费。</w:t>
      </w: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25.社会保障和就业支出（类）其他社会保障和就业支出（款）其他社会保障和就业支出（项）: 指其他用于社会保障和就业方面的支出。</w:t>
      </w: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26.卫生健康支出（类）行政事业单位医疗（款）行政单位医疗（项）:指财政部门集中安排的行政单位基本医疗保险缴费经费，未参加医疗保险的行政单位的公费医疗经费，按国家规定享受离休人员、红军老战士待遇人员的医疗经费。</w:t>
      </w: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27.卫生健康支出（类）行政事业单位医疗（款）事业单位医疗（项）:指财政部门集中安排的事业单位基本医疗保险缴费经费，未参加医疗保险的事业单位的公费医疗经费，按国家规定享受离休人员待遇的医疗经费。</w:t>
      </w: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28.卫生健康支出（类）行政事业单位医疗（款）公务员医疗补助（项）:指财政部门集中安排的公务员补助经费。</w:t>
      </w: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29.住房保障支付（类）住房改革支出（款）住房公积金（项）:指行政事业单位按人力资源和社会保障部、财政部规定的基本工资和津补贴以及规定比例为职工缴纳的住房公积金。</w:t>
      </w: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30.住房保障支出（类）住房改革支出（款）购房补贴（项）:指按房改政策规定，行政事业单位向符合条件职工（含离退休人员）、军队（含武警）向转役复员离退休人员发放的用于购买住房的补贴。</w:t>
      </w: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31.灾害防治及应急管理支出（类）应急管理事务（款）其他应急管理事务（项）: 用于其他应急管理方面支出。</w:t>
      </w: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32.基本支出：指为保障机构正常运转、完成日常工作任务而发生的人员支出和公用支出。</w:t>
      </w: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 xml:space="preserve">33.项目支出：指在基本支出之外为完成特定行政任务和事业发展目标所发生的支出。 </w:t>
      </w: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34.经营支出：指事业单位在专业业务活动及其辅助活动之外开展非独立核算经营活动发生的支出。</w:t>
      </w: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35.“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36.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4"/>
        <w:spacing w:line="560" w:lineRule="exact"/>
        <w:ind w:firstLine="640" w:firstLineChars="200"/>
        <w:jc w:val="both"/>
        <w:rPr>
          <w:rFonts w:ascii="仿宋_GB2312" w:hAnsi="仿宋_GB2312" w:eastAsia="仿宋_GB2312"/>
          <w:color w:val="000000" w:themeColor="text1"/>
          <w:sz w:val="32"/>
          <w:szCs w:val="32"/>
          <w14:textFill>
            <w14:solidFill>
              <w14:schemeClr w14:val="tx1"/>
            </w14:solidFill>
          </w14:textFill>
        </w:rPr>
      </w:pPr>
    </w:p>
    <w:p>
      <w:pPr>
        <w:pStyle w:val="24"/>
        <w:spacing w:line="560" w:lineRule="exact"/>
        <w:ind w:firstLine="640" w:firstLineChars="200"/>
        <w:jc w:val="both"/>
        <w:rPr>
          <w:rFonts w:ascii="仿宋_GB2312" w:hAnsi="仿宋_GB2312" w:eastAsia="仿宋_GB2312"/>
          <w:color w:val="000000" w:themeColor="text1"/>
          <w:sz w:val="32"/>
          <w:szCs w:val="32"/>
          <w14:textFill>
            <w14:solidFill>
              <w14:schemeClr w14:val="tx1"/>
            </w14:solidFill>
          </w14:textFill>
        </w:rPr>
      </w:pPr>
    </w:p>
    <w:p>
      <w:pPr>
        <w:pStyle w:val="24"/>
        <w:spacing w:line="560" w:lineRule="exact"/>
        <w:ind w:firstLine="640" w:firstLineChars="200"/>
        <w:jc w:val="both"/>
        <w:rPr>
          <w:rFonts w:ascii="仿宋_GB2312" w:hAnsi="仿宋_GB2312" w:eastAsia="仿宋_GB2312"/>
          <w:color w:val="000000" w:themeColor="text1"/>
          <w:sz w:val="32"/>
          <w:szCs w:val="32"/>
          <w14:textFill>
            <w14:solidFill>
              <w14:schemeClr w14:val="tx1"/>
            </w14:solidFill>
          </w14:textFill>
        </w:rPr>
      </w:pPr>
    </w:p>
    <w:p>
      <w:pPr>
        <w:pStyle w:val="24"/>
        <w:spacing w:line="560" w:lineRule="exact"/>
        <w:ind w:firstLine="640" w:firstLineChars="200"/>
        <w:jc w:val="both"/>
        <w:rPr>
          <w:rFonts w:ascii="仿宋_GB2312" w:hAnsi="仿宋_GB2312" w:eastAsia="仿宋_GB2312"/>
          <w:color w:val="000000" w:themeColor="text1"/>
          <w:sz w:val="32"/>
          <w:szCs w:val="32"/>
          <w14:textFill>
            <w14:solidFill>
              <w14:schemeClr w14:val="tx1"/>
            </w14:solidFill>
          </w14:textFill>
        </w:rPr>
      </w:pPr>
    </w:p>
    <w:p>
      <w:pPr>
        <w:pStyle w:val="24"/>
        <w:spacing w:line="560" w:lineRule="exact"/>
        <w:ind w:firstLine="640" w:firstLineChars="200"/>
        <w:jc w:val="both"/>
        <w:rPr>
          <w:rFonts w:ascii="仿宋_GB2312" w:hAnsi="仿宋_GB2312" w:eastAsia="仿宋_GB2312"/>
          <w:color w:val="000000" w:themeColor="text1"/>
          <w:sz w:val="32"/>
          <w:szCs w:val="32"/>
          <w14:textFill>
            <w14:solidFill>
              <w14:schemeClr w14:val="tx1"/>
            </w14:solidFill>
          </w14:textFill>
        </w:rPr>
      </w:pPr>
    </w:p>
    <w:p>
      <w:pPr>
        <w:pStyle w:val="24"/>
        <w:spacing w:line="560" w:lineRule="exact"/>
        <w:ind w:firstLine="640" w:firstLineChars="200"/>
        <w:jc w:val="both"/>
        <w:rPr>
          <w:rFonts w:ascii="仿宋_GB2312" w:hAnsi="仿宋_GB2312" w:eastAsia="仿宋_GB2312"/>
          <w:color w:val="000000" w:themeColor="text1"/>
          <w:sz w:val="32"/>
          <w:szCs w:val="32"/>
          <w14:textFill>
            <w14:solidFill>
              <w14:schemeClr w14:val="tx1"/>
            </w14:solidFill>
          </w14:textFill>
        </w:rPr>
      </w:pPr>
    </w:p>
    <w:p>
      <w:pPr>
        <w:pStyle w:val="24"/>
        <w:spacing w:line="560" w:lineRule="exact"/>
        <w:ind w:firstLine="640" w:firstLineChars="200"/>
        <w:jc w:val="both"/>
        <w:rPr>
          <w:rFonts w:ascii="仿宋_GB2312" w:hAnsi="仿宋_GB2312" w:eastAsia="仿宋_GB2312"/>
          <w:color w:val="000000" w:themeColor="text1"/>
          <w:sz w:val="32"/>
          <w:szCs w:val="32"/>
          <w14:textFill>
            <w14:solidFill>
              <w14:schemeClr w14:val="tx1"/>
            </w14:solidFill>
          </w14:textFill>
        </w:rPr>
      </w:pPr>
    </w:p>
    <w:p>
      <w:pPr>
        <w:pStyle w:val="24"/>
        <w:spacing w:line="560" w:lineRule="exact"/>
        <w:ind w:firstLine="640" w:firstLineChars="200"/>
        <w:jc w:val="both"/>
        <w:rPr>
          <w:rFonts w:ascii="仿宋_GB2312" w:hAnsi="仿宋_GB2312" w:eastAsia="仿宋_GB2312"/>
          <w:color w:val="000000" w:themeColor="text1"/>
          <w:sz w:val="32"/>
          <w:szCs w:val="32"/>
          <w14:textFill>
            <w14:solidFill>
              <w14:schemeClr w14:val="tx1"/>
            </w14:solidFill>
          </w14:textFill>
        </w:rPr>
      </w:pPr>
    </w:p>
    <w:p>
      <w:pPr>
        <w:pStyle w:val="24"/>
        <w:spacing w:line="560" w:lineRule="exact"/>
        <w:ind w:firstLine="640" w:firstLineChars="200"/>
        <w:jc w:val="both"/>
        <w:rPr>
          <w:rFonts w:ascii="仿宋_GB2312" w:hAnsi="仿宋_GB2312" w:eastAsia="仿宋_GB2312"/>
          <w:color w:val="000000" w:themeColor="text1"/>
          <w:sz w:val="32"/>
          <w:szCs w:val="32"/>
          <w14:textFill>
            <w14:solidFill>
              <w14:schemeClr w14:val="tx1"/>
            </w14:solidFill>
          </w14:textFill>
        </w:rPr>
      </w:pPr>
    </w:p>
    <w:p>
      <w:pPr>
        <w:pStyle w:val="24"/>
        <w:spacing w:line="560" w:lineRule="exact"/>
        <w:ind w:left="430"/>
        <w:jc w:val="both"/>
        <w:rPr>
          <w:rFonts w:ascii="仿宋_GB2312" w:hAnsi="仿宋_GB2312" w:eastAsia="仿宋_GB2312"/>
          <w:color w:val="000000" w:themeColor="text1"/>
          <w:sz w:val="32"/>
          <w:szCs w:val="32"/>
          <w14:textFill>
            <w14:solidFill>
              <w14:schemeClr w14:val="tx1"/>
            </w14:solidFill>
          </w14:textFill>
        </w:rPr>
      </w:pPr>
    </w:p>
    <w:bookmarkEnd w:id="61"/>
    <w:p>
      <w:pPr>
        <w:spacing w:line="600" w:lineRule="exact"/>
        <w:jc w:val="center"/>
        <w:outlineLvl w:val="0"/>
        <w:rPr>
          <w:rFonts w:hint="eastAsia" w:ascii="黑体" w:hAnsi="黑体" w:eastAsia="黑体"/>
          <w:b w:val="0"/>
          <w:color w:val="000000" w:themeColor="text1"/>
          <w:sz w:val="44"/>
          <w:szCs w:val="44"/>
          <w:highlight w:val="none"/>
          <w:lang w:eastAsia="zh-CN"/>
          <w14:textFill>
            <w14:solidFill>
              <w14:schemeClr w14:val="tx1"/>
            </w14:solidFill>
          </w14:textFill>
        </w:rPr>
      </w:pPr>
      <w:r>
        <w:rPr>
          <w:rStyle w:val="26"/>
          <w:rFonts w:ascii="黑体" w:hAnsi="黑体" w:eastAsia="黑体"/>
          <w:b w:val="0"/>
          <w:color w:val="000000" w:themeColor="text1"/>
          <w:highlight w:val="none"/>
          <w14:textFill>
            <w14:solidFill>
              <w14:schemeClr w14:val="tx1"/>
            </w14:solidFill>
          </w14:textFill>
        </w:rPr>
        <w:br w:type="page"/>
      </w:r>
      <w:r>
        <w:rPr>
          <w:rFonts w:hint="eastAsia" w:ascii="方正小标宋_GBK" w:hAnsi="方正小标宋_GBK" w:eastAsia="方正小标宋_GBK" w:cs="方正小标宋_GBK"/>
          <w:b w:val="0"/>
          <w:color w:val="000000" w:themeColor="text1"/>
          <w:sz w:val="44"/>
          <w:szCs w:val="44"/>
          <w:highlight w:val="none"/>
          <w14:textFill>
            <w14:solidFill>
              <w14:schemeClr w14:val="tx1"/>
            </w14:solidFill>
          </w14:textFill>
        </w:rPr>
        <w:t xml:space="preserve">第四部分 </w:t>
      </w:r>
      <w:r>
        <w:rPr>
          <w:rFonts w:hint="eastAsia" w:ascii="方正小标宋_GBK" w:hAnsi="方正小标宋_GBK" w:eastAsia="方正小标宋_GBK" w:cs="方正小标宋_GBK"/>
          <w:b w:val="0"/>
          <w:color w:val="000000" w:themeColor="text1"/>
          <w:sz w:val="44"/>
          <w:szCs w:val="44"/>
          <w:highlight w:val="none"/>
          <w:lang w:val="en-US" w:eastAsia="zh-CN"/>
          <w14:textFill>
            <w14:solidFill>
              <w14:schemeClr w14:val="tx1"/>
            </w14:solidFill>
          </w14:textFill>
        </w:rPr>
        <w:t xml:space="preserve"> </w:t>
      </w:r>
      <w:r>
        <w:rPr>
          <w:rFonts w:hint="eastAsia" w:ascii="方正小标宋_GBK" w:hAnsi="方正小标宋_GBK" w:eastAsia="方正小标宋_GBK" w:cs="方正小标宋_GBK"/>
          <w:b w:val="0"/>
          <w:color w:val="000000" w:themeColor="text1"/>
          <w:sz w:val="44"/>
          <w:szCs w:val="44"/>
          <w:highlight w:val="none"/>
          <w14:textFill>
            <w14:solidFill>
              <w14:schemeClr w14:val="tx1"/>
            </w14:solidFill>
          </w14:textFill>
        </w:rPr>
        <w:t>附件</w:t>
      </w:r>
    </w:p>
    <w:p>
      <w:pPr>
        <w:keepNext w:val="0"/>
        <w:keepLines w:val="0"/>
        <w:pageBreakBefore w:val="0"/>
        <w:widowControl w:val="0"/>
        <w:kinsoku/>
        <w:wordWrap/>
        <w:overflowPunct/>
        <w:topLinePunct w:val="0"/>
        <w:autoSpaceDE/>
        <w:autoSpaceDN/>
        <w:bidi w:val="0"/>
        <w:spacing w:line="560" w:lineRule="exact"/>
        <w:jc w:val="both"/>
        <w:textAlignment w:val="auto"/>
        <w:outlineLvl w:val="0"/>
        <w:rPr>
          <w:rFonts w:hint="eastAsia" w:ascii="黑体" w:hAnsi="黑体" w:eastAsia="黑体" w:cs="黑体"/>
          <w:b w:val="0"/>
          <w:bCs w:val="0"/>
          <w:i w:val="0"/>
          <w:iCs w:val="0"/>
          <w:color w:val="000000" w:themeColor="text1"/>
          <w:sz w:val="32"/>
          <w:szCs w:val="32"/>
          <w:highlight w:val="none"/>
          <w:u w:val="none"/>
          <w14:textFill>
            <w14:solidFill>
              <w14:schemeClr w14:val="tx1"/>
            </w14:solidFill>
          </w14:textFill>
        </w:rPr>
      </w:pPr>
      <w:r>
        <w:rPr>
          <w:rFonts w:hint="eastAsia" w:ascii="黑体" w:hAnsi="黑体" w:eastAsia="黑体" w:cs="黑体"/>
          <w:b w:val="0"/>
          <w:bCs w:val="0"/>
          <w:i w:val="0"/>
          <w:iCs w:val="0"/>
          <w:color w:val="000000" w:themeColor="text1"/>
          <w:sz w:val="32"/>
          <w:szCs w:val="32"/>
          <w:highlight w:val="none"/>
          <w:u w:val="none"/>
          <w14:textFill>
            <w14:solidFill>
              <w14:schemeClr w14:val="tx1"/>
            </w14:solidFill>
          </w14:textFill>
        </w:rPr>
        <w:t>附件</w:t>
      </w:r>
    </w:p>
    <w:p>
      <w:pPr>
        <w:keepNext w:val="0"/>
        <w:keepLines w:val="0"/>
        <w:pageBreakBefore w:val="0"/>
        <w:widowControl w:val="0"/>
        <w:kinsoku/>
        <w:wordWrap/>
        <w:overflowPunct/>
        <w:topLinePunct w:val="0"/>
        <w:autoSpaceDE/>
        <w:autoSpaceDN/>
        <w:bidi w:val="0"/>
        <w:spacing w:line="560" w:lineRule="exact"/>
        <w:textAlignment w:val="auto"/>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b w:val="0"/>
          <w:bCs w:val="0"/>
          <w:i w:val="0"/>
          <w:iCs w:val="0"/>
          <w:color w:val="000000" w:themeColor="text1"/>
          <w:kern w:val="0"/>
          <w:sz w:val="44"/>
          <w:szCs w:val="44"/>
          <w:highlight w:val="none"/>
          <w:u w:val="none"/>
          <w:lang w:val="zh-CN"/>
          <w14:textFill>
            <w14:solidFill>
              <w14:schemeClr w14:val="tx1"/>
            </w14:solidFill>
          </w14:textFill>
        </w:rPr>
      </w:pPr>
      <w:r>
        <w:rPr>
          <w:rFonts w:hint="eastAsia" w:ascii="方正小标宋_GBK" w:hAnsi="方正小标宋_GBK" w:eastAsia="方正小标宋_GBK" w:cs="方正小标宋_GBK"/>
          <w:b w:val="0"/>
          <w:bCs w:val="0"/>
          <w:i w:val="0"/>
          <w:iCs w:val="0"/>
          <w:color w:val="000000" w:themeColor="text1"/>
          <w:kern w:val="0"/>
          <w:sz w:val="44"/>
          <w:szCs w:val="44"/>
          <w:highlight w:val="none"/>
          <w:u w:val="none"/>
          <w14:textFill>
            <w14:solidFill>
              <w14:schemeClr w14:val="tx1"/>
            </w14:solidFill>
          </w14:textFill>
        </w:rPr>
        <w:t>202</w:t>
      </w:r>
      <w:r>
        <w:rPr>
          <w:rFonts w:hint="eastAsia" w:ascii="方正小标宋_GBK" w:hAnsi="方正小标宋_GBK" w:eastAsia="方正小标宋_GBK" w:cs="方正小标宋_GBK"/>
          <w:b w:val="0"/>
          <w:bCs w:val="0"/>
          <w:i w:val="0"/>
          <w:iCs w:val="0"/>
          <w:color w:val="000000" w:themeColor="text1"/>
          <w:kern w:val="0"/>
          <w:sz w:val="44"/>
          <w:szCs w:val="44"/>
          <w:highlight w:val="none"/>
          <w:u w:val="none"/>
          <w:lang w:val="en-US" w:eastAsia="zh-CN"/>
          <w14:textFill>
            <w14:solidFill>
              <w14:schemeClr w14:val="tx1"/>
            </w14:solidFill>
          </w14:textFill>
        </w:rPr>
        <w:t>1</w:t>
      </w:r>
      <w:r>
        <w:rPr>
          <w:rFonts w:hint="eastAsia" w:ascii="方正小标宋_GBK" w:hAnsi="方正小标宋_GBK" w:eastAsia="方正小标宋_GBK" w:cs="方正小标宋_GBK"/>
          <w:b w:val="0"/>
          <w:bCs w:val="0"/>
          <w:i w:val="0"/>
          <w:iCs w:val="0"/>
          <w:color w:val="000000" w:themeColor="text1"/>
          <w:kern w:val="0"/>
          <w:sz w:val="44"/>
          <w:szCs w:val="44"/>
          <w:highlight w:val="none"/>
          <w:u w:val="none"/>
          <w14:textFill>
            <w14:solidFill>
              <w14:schemeClr w14:val="tx1"/>
            </w14:solidFill>
          </w14:textFill>
        </w:rPr>
        <w:t>年</w:t>
      </w:r>
      <w:r>
        <w:rPr>
          <w:rFonts w:hint="eastAsia" w:ascii="方正小标宋_GBK" w:hAnsi="方正小标宋_GBK" w:eastAsia="方正小标宋_GBK" w:cs="方正小标宋_GBK"/>
          <w:b w:val="0"/>
          <w:bCs w:val="0"/>
          <w:i w:val="0"/>
          <w:iCs w:val="0"/>
          <w:color w:val="000000" w:themeColor="text1"/>
          <w:kern w:val="0"/>
          <w:sz w:val="44"/>
          <w:szCs w:val="44"/>
          <w:highlight w:val="none"/>
          <w:u w:val="none"/>
          <w:lang w:eastAsia="zh-CN"/>
          <w14:textFill>
            <w14:solidFill>
              <w14:schemeClr w14:val="tx1"/>
            </w14:solidFill>
          </w14:textFill>
        </w:rPr>
        <w:t>四川省司法厅</w:t>
      </w:r>
      <w:r>
        <w:rPr>
          <w:rFonts w:hint="eastAsia" w:ascii="方正小标宋_GBK" w:hAnsi="方正小标宋_GBK" w:eastAsia="方正小标宋_GBK" w:cs="方正小标宋_GBK"/>
          <w:b w:val="0"/>
          <w:bCs w:val="0"/>
          <w:i w:val="0"/>
          <w:iCs w:val="0"/>
          <w:color w:val="000000" w:themeColor="text1"/>
          <w:kern w:val="0"/>
          <w:sz w:val="44"/>
          <w:szCs w:val="44"/>
          <w:highlight w:val="none"/>
          <w:u w:val="none"/>
          <w14:textFill>
            <w14:solidFill>
              <w14:schemeClr w14:val="tx1"/>
            </w14:solidFill>
          </w14:textFill>
        </w:rPr>
        <w:t>部门整体绩效评价报告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i w:val="0"/>
          <w:iCs w:val="0"/>
          <w:color w:val="000000" w:themeColor="text1"/>
          <w:kern w:val="0"/>
          <w:sz w:val="32"/>
          <w:szCs w:val="32"/>
          <w:highlight w:val="none"/>
          <w:u w:val="none"/>
          <w:shd w:val="clear" w:color="auto"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黑体" w:hAnsi="黑体" w:eastAsia="黑体" w:cs="黑体"/>
          <w:b w:val="0"/>
          <w:bCs w:val="0"/>
          <w:i w:val="0"/>
          <w:i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黑体" w:hAnsi="黑体" w:eastAsia="黑体" w:cs="黑体"/>
          <w:b w:val="0"/>
          <w:bCs w:val="0"/>
          <w:i w:val="0"/>
          <w:iCs w:val="0"/>
          <w:color w:val="000000" w:themeColor="text1"/>
          <w:kern w:val="0"/>
          <w:sz w:val="32"/>
          <w:szCs w:val="32"/>
          <w:highlight w:val="none"/>
          <w:u w:val="none"/>
          <w:shd w:val="clear" w:color="auto" w:fill="FFFFFF"/>
          <w14:textFill>
            <w14:solidFill>
              <w14:schemeClr w14:val="tx1"/>
            </w14:solidFill>
          </w14:textFill>
        </w:rPr>
        <w:t>一、</w:t>
      </w:r>
      <w:r>
        <w:rPr>
          <w:rFonts w:hint="eastAsia" w:ascii="黑体" w:hAnsi="黑体" w:eastAsia="黑体" w:cs="黑体"/>
          <w:b w:val="0"/>
          <w:bCs w:val="0"/>
          <w:i w:val="0"/>
          <w:iCs w:val="0"/>
          <w:color w:val="000000" w:themeColor="text1"/>
          <w:kern w:val="0"/>
          <w:sz w:val="32"/>
          <w:szCs w:val="32"/>
          <w:highlight w:val="none"/>
          <w:u w:val="none"/>
          <w:shd w:val="clear" w:color="auto" w:fill="FFFFFF"/>
          <w:lang w:val="zh-CN"/>
          <w14:textFill>
            <w14:solidFill>
              <w14:schemeClr w14:val="tx1"/>
            </w14:solidFill>
          </w14:textFill>
        </w:rPr>
        <w:t>部门（单位）概况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楷体_GB2312" w:hAnsi="楷体_GB2312" w:eastAsia="楷体_GB2312" w:cs="楷体_GB2312"/>
          <w:b w:val="0"/>
          <w:bCs w:val="0"/>
          <w:i w:val="0"/>
          <w:i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楷体_GB2312" w:hAnsi="楷体_GB2312" w:eastAsia="楷体_GB2312" w:cs="楷体_GB2312"/>
          <w:b w:val="0"/>
          <w:bCs w:val="0"/>
          <w:i w:val="0"/>
          <w:iCs w:val="0"/>
          <w:color w:val="000000" w:themeColor="text1"/>
          <w:kern w:val="0"/>
          <w:sz w:val="32"/>
          <w:szCs w:val="32"/>
          <w:highlight w:val="none"/>
          <w:u w:val="none"/>
          <w:shd w:val="clear" w:color="auto" w:fill="FFFFFF"/>
          <w:lang w:val="zh-CN"/>
          <w14:textFill>
            <w14:solidFill>
              <w14:schemeClr w14:val="tx1"/>
            </w14:solidFill>
          </w14:textFill>
        </w:rPr>
        <w:t>（一）机构组成。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i w:val="0"/>
          <w:iCs w:val="0"/>
          <w:color w:val="000000" w:themeColor="text1"/>
          <w:kern w:val="0"/>
          <w:sz w:val="32"/>
          <w:szCs w:val="32"/>
          <w:u w:val="none"/>
          <w:shd w:val="clear" w:color="auto" w:fill="FFFFFF"/>
          <w:lang w:val="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省司法厅下属二级预算单位4个，其中行政单位2个，参照公务员法管理的事业单位1个，其他事业单位1个。具体包括：四川省司法厅机关、四川司法警官职业学院、四川省法律援助中心、四川省司法厅机关服务中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楷体_GB2312" w:hAnsi="楷体_GB2312" w:eastAsia="楷体_GB2312" w:cs="楷体_GB2312"/>
          <w:b w:val="0"/>
          <w:bCs w:val="0"/>
          <w:i w:val="0"/>
          <w:i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楷体_GB2312" w:hAnsi="楷体_GB2312" w:eastAsia="楷体_GB2312" w:cs="楷体_GB2312"/>
          <w:b w:val="0"/>
          <w:bCs w:val="0"/>
          <w:i w:val="0"/>
          <w:iCs w:val="0"/>
          <w:color w:val="000000" w:themeColor="text1"/>
          <w:kern w:val="0"/>
          <w:sz w:val="32"/>
          <w:szCs w:val="32"/>
          <w:highlight w:val="none"/>
          <w:u w:val="none"/>
          <w:shd w:val="clear" w:color="auto" w:fill="FFFFFF"/>
          <w:lang w:val="zh-CN"/>
          <w14:textFill>
            <w14:solidFill>
              <w14:schemeClr w14:val="tx1"/>
            </w14:solidFill>
          </w14:textFill>
        </w:rPr>
        <w:t>（二）机构职能。</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contextualSpacing/>
        <w:jc w:val="both"/>
        <w:textAlignment w:val="auto"/>
        <w:rPr>
          <w:rFonts w:hint="eastAsia" w:ascii="仿宋_GB2312" w:hAnsi="仿宋_GB2312" w:eastAsia="仿宋_GB2312" w:cs="仿宋_GB2312"/>
          <w:b w:val="0"/>
          <w:bCs w:val="0"/>
          <w:i w:val="0"/>
          <w:iCs w:val="0"/>
          <w:color w:val="000000" w:themeColor="text1"/>
          <w:sz w:val="32"/>
          <w:szCs w:val="32"/>
          <w:u w:val="none"/>
          <w:lang w:val="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省司法厅是主管全省司法行政工作的省政府组成部门,负责贯彻落实党中央关于全面依法治国的方针政策和省委的决策部署,在履行职责过程中坚持和加强党对全面依法治国工作的集中统一领导。其主要工作包括：承担全面依法治国、依法治省重大问题的政策研究，协调有关方面提出全面依法治省规划建议，负责有关重大决策部署督察工作；承担统筹规划立法工作的责任。协调有关方面提出立法规划和年度立法工作计划的建议，负责跟踪了解各部门对立法工作计划的落实情况，加强组织实施和督促指导，研究提出立法与改革决策相衔接的意见、措施。负责面向社会征集地方性法规、规章制定项目建议；负责起草或者组织起草地方性法规、省政府规章草案。负责省政府各部门报送省政府的地方性法规、规章草案的审查工作。负责立法协调；承担省政府规章的解释、立法后评估工作。负责协调各地、各部门实施法律、法规、规章中的有关争议和问题。承办省政府规章的清理、编纂、翻译工作。承办省政府规章报送备案工作。负责市（州）政府规章备案审查工作；负责省政府规范性文件、重大行政决策发布前的合法性审查。承办省政府规范性文件的报送备案工作。负责各市（州）政府和省政府各部门规范性文件报送省政府的备案审查工作。组织开展规范性文件清理；承担统筹推进法治政府建设的责任。指导监督省政府各部门、省以下各级政府依法行政工作。负责综合协调、监督检查行政执法，承担推进行政执法体制改革有关工作，推进严格规范公正文明执法。指导监督全省行政复议、行政应诉和行政赔偿工作，承办向省政府申请的行政复议、行政赔偿案件，代理省政府行政应诉案件；承担统筹规划法治社会建设的责任。负责拟订法治宣传教育规划，组织实施普法宣传工作，组织对外法治宣传。推动人民参与和促进法治建设。指导依法治理和法治创建工作。指导调解工作。负责并指导人民监督员的选任管理工作。指导人民陪审员选任工作。推进司法所建设。将安全生产、职业健康法律法规纳入公民普法教育重要内容并会同有关部门开展宣传普及，做好职责范围内的安全生产工作；负责全省监狱管理工作。负责监狱系统党的建设、党风廉政建设和领导班子建设，指导监督刑罚执行、罪犯改造的工作。指导管理社区矫正工作。指导刑满释放人员帮教安置工作；负责全省司法行政戒毒管理工作。负责司法行政戒毒系统党的建设、党风廉政建设和领导班子建设。指导监督本系统强制隔离戒毒执行和戒毒康复工作。对社区戒毒和社区康复工作提供指导、支持和协助；负责拟订全省公共法律服务体系建设规划并指导实施，统筹和布局全省城乡、区域法律服务资源。指导监督律师、法律援助、司法鉴定、公证、仲裁和基层法律服务管理工作；负责全省国家统一法律职业资格考试的组织实施工作。负责全省国家统一法律职业资格管理工作。负责规划和指导法律职业人员入职前培训工作；负责本系统枪支、弹药、服装和警车管理工作。指导监督本系统财务、装备、设施、场所等保障工作。指导监督监狱系统、司法行政戒毒系统和四川司法警官职业学院的计划财务工作。负责监狱系统、司法行政戒毒系统、四川司法警官职业学院及厅直属单位内部审计工作；规划、协调、指导法治人才队伍建设相关工作，指导监督本系统队伍建设。负责本系统人民警察警务管理和警务督察工作。负责四川司法警官职业学院领导班子建设，协助市（州）管理司法局领导干部；负责并指导本系统行政</w:t>
      </w:r>
      <w:r>
        <w:rPr>
          <w:rFonts w:hint="eastAsia" w:ascii="仿宋_GB2312" w:hAnsi="仿宋_GB2312" w:eastAsia="仿宋_GB2312" w:cs="仿宋_GB2312"/>
          <w:b w:val="0"/>
          <w:bCs w:val="0"/>
          <w:i w:val="0"/>
          <w:iCs w:val="0"/>
          <w:color w:val="000000" w:themeColor="text1"/>
          <w:spacing w:val="-6"/>
          <w:sz w:val="32"/>
          <w:szCs w:val="32"/>
          <w:u w:val="none"/>
          <w14:textFill>
            <w14:solidFill>
              <w14:schemeClr w14:val="tx1"/>
            </w14:solidFill>
          </w14:textFill>
        </w:rPr>
        <w:t>审批工作。负责全省外来企业投诉处理和民营企业法律服务工作。</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contextualSpacing/>
        <w:jc w:val="both"/>
        <w:textAlignment w:val="auto"/>
        <w:rPr>
          <w:rFonts w:hint="eastAsia" w:ascii="楷体_GB2312" w:hAnsi="楷体_GB2312" w:eastAsia="楷体_GB2312" w:cs="楷体_GB2312"/>
          <w:b w:val="0"/>
          <w:bCs w:val="0"/>
          <w:i w:val="0"/>
          <w:i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楷体_GB2312" w:hAnsi="楷体_GB2312" w:eastAsia="楷体_GB2312" w:cs="楷体_GB2312"/>
          <w:b w:val="0"/>
          <w:bCs w:val="0"/>
          <w:i w:val="0"/>
          <w:iCs w:val="0"/>
          <w:color w:val="000000" w:themeColor="text1"/>
          <w:kern w:val="0"/>
          <w:sz w:val="32"/>
          <w:szCs w:val="32"/>
          <w:highlight w:val="none"/>
          <w:u w:val="none"/>
          <w:shd w:val="clear" w:color="auto" w:fill="FFFFFF"/>
          <w:lang w:val="zh-CN"/>
          <w14:textFill>
            <w14:solidFill>
              <w14:schemeClr w14:val="tx1"/>
            </w14:solidFill>
          </w14:textFill>
        </w:rPr>
        <w:t>（三）人员概况。</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contextualSpacing/>
        <w:jc w:val="both"/>
        <w:textAlignment w:val="auto"/>
        <w:rPr>
          <w:rFonts w:hint="eastAsia" w:ascii="仿宋_GB2312" w:hAnsi="仿宋_GB2312" w:eastAsia="仿宋_GB2312" w:cs="仿宋_GB2312"/>
          <w:b w:val="0"/>
          <w:bCs w:val="0"/>
          <w:i w:val="0"/>
          <w:iCs w:val="0"/>
          <w:color w:val="000000" w:themeColor="text1"/>
          <w:sz w:val="32"/>
          <w:szCs w:val="32"/>
          <w:u w:val="none"/>
          <w:lang w:val="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四川省司法厅及</w:t>
      </w:r>
      <w:r>
        <w:rPr>
          <w:rFonts w:hint="eastAsia" w:ascii="仿宋_GB2312" w:hAnsi="仿宋_GB2312" w:eastAsia="仿宋_GB2312" w:cs="仿宋_GB2312"/>
          <w:b w:val="0"/>
          <w:bCs w:val="0"/>
          <w:i w:val="0"/>
          <w:iCs w:val="0"/>
          <w:color w:val="000000" w:themeColor="text1"/>
          <w:sz w:val="32"/>
          <w:szCs w:val="32"/>
          <w:u w:val="none"/>
          <w:lang w:eastAsia="zh-CN"/>
          <w14:textFill>
            <w14:solidFill>
              <w14:schemeClr w14:val="tx1"/>
            </w14:solidFill>
          </w14:textFill>
        </w:rPr>
        <w:t>二级预算</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单位核定编制</w:t>
      </w: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521</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人，其中行政编制</w:t>
      </w: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481</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人、事业编制</w:t>
      </w: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40</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人</w:t>
      </w:r>
      <w:r>
        <w:rPr>
          <w:rFonts w:hint="eastAsia" w:ascii="仿宋_GB2312" w:hAnsi="仿宋_GB2312" w:eastAsia="仿宋_GB2312" w:cs="仿宋_GB2312"/>
          <w:b w:val="0"/>
          <w:bCs w:val="0"/>
          <w:i w:val="0"/>
          <w:iCs w:val="0"/>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2021</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年末实有</w:t>
      </w:r>
      <w:r>
        <w:rPr>
          <w:rFonts w:hint="eastAsia" w:ascii="仿宋_GB2312" w:hAnsi="仿宋_GB2312" w:eastAsia="仿宋_GB2312" w:cs="仿宋_GB2312"/>
          <w:b w:val="0"/>
          <w:bCs w:val="0"/>
          <w:i w:val="0"/>
          <w:iCs w:val="0"/>
          <w:color w:val="000000" w:themeColor="text1"/>
          <w:sz w:val="32"/>
          <w:szCs w:val="32"/>
          <w:u w:val="none"/>
          <w:lang w:eastAsia="zh-CN"/>
          <w14:textFill>
            <w14:solidFill>
              <w14:schemeClr w14:val="tx1"/>
            </w14:solidFill>
          </w14:textFill>
        </w:rPr>
        <w:t>人员</w:t>
      </w: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445人，其中</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在职行政人员</w:t>
      </w: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424</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人、</w:t>
      </w:r>
      <w:r>
        <w:rPr>
          <w:rFonts w:hint="eastAsia" w:ascii="仿宋_GB2312" w:hAnsi="仿宋_GB2312" w:eastAsia="仿宋_GB2312" w:cs="仿宋_GB2312"/>
          <w:b w:val="0"/>
          <w:bCs w:val="0"/>
          <w:i w:val="0"/>
          <w:iCs w:val="0"/>
          <w:color w:val="000000" w:themeColor="text1"/>
          <w:sz w:val="32"/>
          <w:szCs w:val="32"/>
          <w:u w:val="none"/>
          <w:lang w:eastAsia="zh-CN"/>
          <w14:textFill>
            <w14:solidFill>
              <w14:schemeClr w14:val="tx1"/>
            </w14:solidFill>
          </w14:textFill>
        </w:rPr>
        <w:t>在职</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事业人员</w:t>
      </w: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21</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人</w:t>
      </w:r>
      <w:r>
        <w:rPr>
          <w:rFonts w:hint="eastAsia" w:ascii="仿宋_GB2312" w:hAnsi="仿宋_GB2312" w:eastAsia="仿宋_GB2312" w:cs="仿宋_GB2312"/>
          <w:b w:val="0"/>
          <w:bCs w:val="0"/>
          <w:i w:val="0"/>
          <w:iCs w:val="0"/>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离休人员</w:t>
      </w: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11</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人。</w:t>
      </w:r>
      <w:r>
        <w:rPr>
          <w:rFonts w:hint="eastAsia" w:ascii="仿宋_GB2312" w:hAnsi="仿宋_GB2312" w:eastAsia="仿宋_GB2312" w:cs="仿宋_GB2312"/>
          <w:b w:val="0"/>
          <w:bCs w:val="0"/>
          <w:i w:val="0"/>
          <w:iCs w:val="0"/>
          <w:color w:val="000000" w:themeColor="text1"/>
          <w:sz w:val="32"/>
          <w:szCs w:val="32"/>
          <w:u w:val="none"/>
          <w:lang w:eastAsia="zh-CN"/>
          <w14:textFill>
            <w14:solidFill>
              <w14:schemeClr w14:val="tx1"/>
            </w14:solidFill>
          </w14:textFill>
        </w:rPr>
        <w:t>具体情况为</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：厅机关年末实有在职人员</w:t>
      </w: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217</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人，离休人员实有人数</w:t>
      </w: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8</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人；法律援助中心年末实有在职人员</w:t>
      </w: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12</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人；</w:t>
      </w:r>
      <w:r>
        <w:rPr>
          <w:rFonts w:hint="eastAsia" w:ascii="仿宋_GB2312" w:hAnsi="仿宋_GB2312" w:eastAsia="仿宋_GB2312" w:cs="仿宋_GB2312"/>
          <w:b w:val="0"/>
          <w:bCs w:val="0"/>
          <w:i w:val="0"/>
          <w:iCs w:val="0"/>
          <w:color w:val="000000" w:themeColor="text1"/>
          <w:sz w:val="32"/>
          <w:szCs w:val="32"/>
          <w:u w:val="none"/>
          <w:lang w:eastAsia="zh-CN"/>
          <w14:textFill>
            <w14:solidFill>
              <w14:schemeClr w14:val="tx1"/>
            </w14:solidFill>
          </w14:textFill>
        </w:rPr>
        <w:t>机关</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服务中心年末实有在职人员</w:t>
      </w: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10</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人；四川司法警官职业学院实有在职人员</w:t>
      </w: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206</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人，离休人员实有人数3人。</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contextualSpacing/>
        <w:jc w:val="both"/>
        <w:textAlignment w:val="auto"/>
        <w:rPr>
          <w:rFonts w:hint="eastAsia" w:ascii="黑体" w:hAnsi="黑体" w:eastAsia="黑体" w:cs="黑体"/>
          <w:b w:val="0"/>
          <w:bCs w:val="0"/>
          <w:i w:val="0"/>
          <w:iCs w:val="0"/>
          <w:color w:val="000000" w:themeColor="text1"/>
          <w:kern w:val="0"/>
          <w:sz w:val="32"/>
          <w:szCs w:val="32"/>
          <w:highlight w:val="none"/>
          <w:u w:val="none"/>
          <w:shd w:val="clear" w:color="auto" w:fill="FFFFFF"/>
          <w14:textFill>
            <w14:solidFill>
              <w14:schemeClr w14:val="tx1"/>
            </w14:solidFill>
          </w14:textFill>
        </w:rPr>
      </w:pPr>
      <w:r>
        <w:rPr>
          <w:rFonts w:hint="eastAsia" w:ascii="黑体" w:hAnsi="黑体" w:eastAsia="黑体" w:cs="黑体"/>
          <w:b w:val="0"/>
          <w:bCs w:val="0"/>
          <w:i w:val="0"/>
          <w:iCs w:val="0"/>
          <w:color w:val="000000" w:themeColor="text1"/>
          <w:kern w:val="0"/>
          <w:sz w:val="32"/>
          <w:szCs w:val="32"/>
          <w:highlight w:val="none"/>
          <w:u w:val="none"/>
          <w:shd w:val="clear" w:color="auto" w:fill="FFFFFF"/>
          <w14:textFill>
            <w14:solidFill>
              <w14:schemeClr w14:val="tx1"/>
            </w14:solidFill>
          </w14:textFill>
        </w:rPr>
        <w:t>二、部门财政资金收支情况</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contextualSpacing/>
        <w:jc w:val="both"/>
        <w:textAlignment w:val="auto"/>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按照综合预算的原则，省司法厅所有收入和支出均纳入部门预算管理。省司法厅</w:t>
      </w: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2021</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年收支总预算</w:t>
      </w: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27328.74</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万元,比</w:t>
      </w: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2020</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年收支预算总数</w:t>
      </w: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28321.25万元</w:t>
      </w:r>
      <w:r>
        <w:rPr>
          <w:rFonts w:hint="eastAsia" w:ascii="仿宋_GB2312" w:hAnsi="仿宋_GB2312" w:eastAsia="仿宋_GB2312" w:cs="仿宋_GB2312"/>
          <w:b w:val="0"/>
          <w:bCs w:val="0"/>
          <w:i w:val="0"/>
          <w:iCs w:val="0"/>
          <w:color w:val="000000" w:themeColor="text1"/>
          <w:sz w:val="32"/>
          <w:szCs w:val="32"/>
          <w:u w:val="none"/>
          <w:lang w:eastAsia="zh-CN"/>
          <w14:textFill>
            <w14:solidFill>
              <w14:schemeClr w14:val="tx1"/>
            </w14:solidFill>
          </w14:textFill>
        </w:rPr>
        <w:t>减少</w:t>
      </w: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992.51</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万元，</w:t>
      </w: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主要原因是信息化项目较上年减少。</w:t>
      </w:r>
      <w:r>
        <w:rPr>
          <w:rFonts w:hint="eastAsia" w:ascii="仿宋_GB2312" w:hAnsi="仿宋_GB2312" w:eastAsia="仿宋_GB2312" w:cs="仿宋_GB2312"/>
          <w:b w:val="0"/>
          <w:bCs w:val="0"/>
          <w:i w:val="0"/>
          <w:iCs w:val="0"/>
          <w:color w:val="000000" w:themeColor="text1"/>
          <w:sz w:val="32"/>
          <w:szCs w:val="32"/>
          <w:u w:val="none"/>
          <w:lang w:eastAsia="zh-CN"/>
          <w14:textFill>
            <w14:solidFill>
              <w14:schemeClr w14:val="tx1"/>
            </w14:solidFill>
          </w14:textFill>
        </w:rPr>
        <w:t>其中</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收入包括：一般公共预算拨款收入</w:t>
      </w: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24240.10</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万元、其他收入</w:t>
      </w: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3088.64</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万元；支出包括：</w:t>
      </w:r>
      <w:r>
        <w:rPr>
          <w:rFonts w:hint="eastAsia" w:ascii="仿宋_GB2312" w:hAnsi="仿宋_GB2312" w:eastAsia="仿宋_GB2312" w:cs="仿宋_GB2312"/>
          <w:b w:val="0"/>
          <w:bCs w:val="0"/>
          <w:i w:val="0"/>
          <w:iCs w:val="0"/>
          <w:color w:val="000000" w:themeColor="text1"/>
          <w:sz w:val="32"/>
          <w:szCs w:val="32"/>
          <w:u w:val="none"/>
          <w:lang w:eastAsia="zh-CN"/>
          <w14:textFill>
            <w14:solidFill>
              <w14:schemeClr w14:val="tx1"/>
            </w14:solidFill>
          </w14:textFill>
        </w:rPr>
        <w:t>一般公共服务支出</w:t>
      </w: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526.57万元、</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公共安全支出</w:t>
      </w: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13121.56</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万元、教育支出</w:t>
      </w: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10530.95</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万元、社会保障和就业支出</w:t>
      </w: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1443.08</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万元、医疗卫生与计划生育支出</w:t>
      </w: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403.99</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万元、住房保障支出</w:t>
      </w: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1297.59</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万元</w:t>
      </w:r>
      <w:r>
        <w:rPr>
          <w:rFonts w:hint="eastAsia" w:ascii="仿宋_GB2312" w:hAnsi="仿宋_GB2312" w:eastAsia="仿宋_GB2312" w:cs="仿宋_GB2312"/>
          <w:b w:val="0"/>
          <w:bCs w:val="0"/>
          <w:i w:val="0"/>
          <w:iCs w:val="0"/>
          <w:color w:val="000000" w:themeColor="text1"/>
          <w:sz w:val="32"/>
          <w:szCs w:val="32"/>
          <w:u w:val="none"/>
          <w:lang w:eastAsia="zh-CN"/>
          <w14:textFill>
            <w14:solidFill>
              <w14:schemeClr w14:val="tx1"/>
            </w14:solidFill>
          </w14:textFill>
        </w:rPr>
        <w:t>、灾害防治及应急管理支出</w:t>
      </w: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5万元</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contextualSpacing/>
        <w:jc w:val="both"/>
        <w:textAlignment w:val="auto"/>
        <w:rPr>
          <w:rFonts w:hint="eastAsia" w:ascii="楷体_GB2312" w:hAnsi="楷体_GB2312" w:eastAsia="楷体_GB2312" w:cs="楷体_GB2312"/>
          <w:b w:val="0"/>
          <w:bCs w:val="0"/>
          <w:i w:val="0"/>
          <w:iCs w:val="0"/>
          <w:color w:val="000000" w:themeColor="text1"/>
          <w:sz w:val="32"/>
          <w:szCs w:val="32"/>
          <w:u w:val="none"/>
          <w:lang w:val="zh-CN"/>
          <w14:textFill>
            <w14:solidFill>
              <w14:schemeClr w14:val="tx1"/>
            </w14:solidFill>
          </w14:textFill>
        </w:rPr>
      </w:pPr>
      <w:r>
        <w:rPr>
          <w:rFonts w:hint="eastAsia" w:ascii="楷体_GB2312" w:hAnsi="楷体_GB2312" w:eastAsia="楷体_GB2312" w:cs="楷体_GB2312"/>
          <w:b w:val="0"/>
          <w:bCs w:val="0"/>
          <w:i w:val="0"/>
          <w:iCs w:val="0"/>
          <w:color w:val="000000" w:themeColor="text1"/>
          <w:kern w:val="0"/>
          <w:sz w:val="32"/>
          <w:szCs w:val="32"/>
          <w:highlight w:val="none"/>
          <w:u w:val="none"/>
          <w:shd w:val="clear" w:color="auto" w:fill="FFFFFF"/>
          <w:lang w:val="zh-CN"/>
          <w14:textFill>
            <w14:solidFill>
              <w14:schemeClr w14:val="tx1"/>
            </w14:solidFill>
          </w14:textFill>
        </w:rPr>
        <w:t>（一）部门财政资金收入情况。</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contextualSpacing/>
        <w:jc w:val="both"/>
        <w:textAlignment w:val="auto"/>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省司法厅</w:t>
      </w: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2021</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年收入预算</w:t>
      </w: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27328.74</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万元，其中：一般公共预算拨款收入</w:t>
      </w: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24240.10</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万元</w:t>
      </w:r>
      <w:r>
        <w:rPr>
          <w:rFonts w:hint="eastAsia" w:ascii="仿宋_GB2312" w:hAnsi="仿宋_GB2312" w:eastAsia="仿宋_GB2312" w:cs="仿宋_GB2312"/>
          <w:b w:val="0"/>
          <w:bCs w:val="0"/>
          <w:i w:val="0"/>
          <w:iCs w:val="0"/>
          <w:color w:val="000000" w:themeColor="text1"/>
          <w:sz w:val="32"/>
          <w:szCs w:val="32"/>
          <w:u w:val="none"/>
          <w:lang w:eastAsia="zh-CN"/>
          <w14:textFill>
            <w14:solidFill>
              <w14:schemeClr w14:val="tx1"/>
            </w14:solidFill>
          </w14:textFill>
        </w:rPr>
        <w:t>，占</w:t>
      </w: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88.70%</w:t>
      </w:r>
      <w:r>
        <w:rPr>
          <w:rFonts w:hint="eastAsia" w:ascii="仿宋_GB2312" w:hAnsi="仿宋_GB2312" w:eastAsia="仿宋_GB2312" w:cs="仿宋_GB2312"/>
          <w:b w:val="0"/>
          <w:bCs w:val="0"/>
          <w:i w:val="0"/>
          <w:iCs w:val="0"/>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其他收入</w:t>
      </w: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3088.64</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万元</w:t>
      </w:r>
      <w:r>
        <w:rPr>
          <w:rFonts w:hint="eastAsia" w:ascii="仿宋_GB2312" w:hAnsi="仿宋_GB2312" w:eastAsia="仿宋_GB2312" w:cs="仿宋_GB2312"/>
          <w:b w:val="0"/>
          <w:bCs w:val="0"/>
          <w:i w:val="0"/>
          <w:iCs w:val="0"/>
          <w:color w:val="000000" w:themeColor="text1"/>
          <w:sz w:val="32"/>
          <w:szCs w:val="32"/>
          <w:u w:val="none"/>
          <w:lang w:eastAsia="zh-CN"/>
          <w14:textFill>
            <w14:solidFill>
              <w14:schemeClr w14:val="tx1"/>
            </w14:solidFill>
          </w14:textFill>
        </w:rPr>
        <w:t>，占</w:t>
      </w: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11.30%</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contextualSpacing/>
        <w:jc w:val="both"/>
        <w:textAlignment w:val="auto"/>
        <w:rPr>
          <w:rFonts w:hint="eastAsia" w:ascii="楷体_GB2312" w:hAnsi="楷体_GB2312" w:eastAsia="楷体_GB2312" w:cs="楷体_GB2312"/>
          <w:b w:val="0"/>
          <w:bCs w:val="0"/>
          <w:i w:val="0"/>
          <w:i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楷体_GB2312" w:hAnsi="楷体_GB2312" w:eastAsia="楷体_GB2312" w:cs="楷体_GB2312"/>
          <w:b w:val="0"/>
          <w:bCs w:val="0"/>
          <w:i w:val="0"/>
          <w:iCs w:val="0"/>
          <w:color w:val="000000" w:themeColor="text1"/>
          <w:kern w:val="0"/>
          <w:sz w:val="32"/>
          <w:szCs w:val="32"/>
          <w:highlight w:val="none"/>
          <w:u w:val="none"/>
          <w:shd w:val="clear" w:color="auto" w:fill="FFFFFF"/>
          <w:lang w:val="zh-CN"/>
          <w14:textFill>
            <w14:solidFill>
              <w14:schemeClr w14:val="tx1"/>
            </w14:solidFill>
          </w14:textFill>
        </w:rPr>
        <w:t>（二）部门财政资金支出情况。</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contextualSpacing/>
        <w:jc w:val="both"/>
        <w:textAlignment w:val="auto"/>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省司法厅</w:t>
      </w: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2021</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年支出预算</w:t>
      </w: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27328.74</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万元，其中基本支出</w:t>
      </w: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15382.24</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万元，</w:t>
      </w:r>
      <w:r>
        <w:rPr>
          <w:rFonts w:hint="eastAsia" w:ascii="仿宋_GB2312" w:hAnsi="仿宋_GB2312" w:eastAsia="仿宋_GB2312" w:cs="仿宋_GB2312"/>
          <w:b w:val="0"/>
          <w:bCs w:val="0"/>
          <w:i w:val="0"/>
          <w:iCs w:val="0"/>
          <w:color w:val="000000" w:themeColor="text1"/>
          <w:sz w:val="32"/>
          <w:szCs w:val="32"/>
          <w:u w:val="none"/>
          <w:lang w:eastAsia="zh-CN"/>
          <w14:textFill>
            <w14:solidFill>
              <w14:schemeClr w14:val="tx1"/>
            </w14:solidFill>
          </w14:textFill>
        </w:rPr>
        <w:t>占</w:t>
      </w: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56.29%；</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项目支出</w:t>
      </w: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11946.50</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万元</w:t>
      </w:r>
      <w:r>
        <w:rPr>
          <w:rFonts w:hint="eastAsia" w:ascii="仿宋_GB2312" w:hAnsi="仿宋_GB2312" w:eastAsia="仿宋_GB2312" w:cs="仿宋_GB2312"/>
          <w:b w:val="0"/>
          <w:bCs w:val="0"/>
          <w:i w:val="0"/>
          <w:iCs w:val="0"/>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占</w:t>
      </w: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43.71</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contextualSpacing/>
        <w:jc w:val="both"/>
        <w:textAlignment w:val="auto"/>
        <w:rPr>
          <w:rFonts w:hint="eastAsia" w:ascii="黑体" w:hAnsi="黑体" w:eastAsia="黑体" w:cs="黑体"/>
          <w:b w:val="0"/>
          <w:bCs w:val="0"/>
          <w:i w:val="0"/>
          <w:iCs w:val="0"/>
          <w:color w:val="000000" w:themeColor="text1"/>
          <w:kern w:val="0"/>
          <w:sz w:val="32"/>
          <w:szCs w:val="32"/>
          <w:highlight w:val="none"/>
          <w:u w:val="none"/>
          <w:shd w:val="clear" w:color="auto" w:fill="FFFFFF"/>
          <w14:textFill>
            <w14:solidFill>
              <w14:schemeClr w14:val="tx1"/>
            </w14:solidFill>
          </w14:textFill>
        </w:rPr>
      </w:pPr>
      <w:r>
        <w:rPr>
          <w:rFonts w:hint="eastAsia" w:ascii="黑体" w:hAnsi="黑体" w:eastAsia="黑体" w:cs="黑体"/>
          <w:b w:val="0"/>
          <w:bCs w:val="0"/>
          <w:i w:val="0"/>
          <w:iCs w:val="0"/>
          <w:color w:val="000000" w:themeColor="text1"/>
          <w:kern w:val="0"/>
          <w:sz w:val="32"/>
          <w:szCs w:val="32"/>
          <w:highlight w:val="none"/>
          <w:u w:val="none"/>
          <w:shd w:val="clear" w:color="auto" w:fill="FFFFFF"/>
          <w14:textFill>
            <w14:solidFill>
              <w14:schemeClr w14:val="tx1"/>
            </w14:solidFill>
          </w14:textFill>
        </w:rPr>
        <w:t>三、部门整体预算绩效管理情况</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contextualSpacing/>
        <w:jc w:val="both"/>
        <w:textAlignment w:val="auto"/>
        <w:rPr>
          <w:rFonts w:hint="eastAsia" w:ascii="楷体_GB2312" w:hAnsi="楷体_GB2312" w:eastAsia="楷体_GB2312" w:cs="楷体_GB2312"/>
          <w:b w:val="0"/>
          <w:bCs w:val="0"/>
          <w:i w:val="0"/>
          <w:i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楷体_GB2312" w:hAnsi="楷体_GB2312" w:eastAsia="楷体_GB2312" w:cs="楷体_GB2312"/>
          <w:b w:val="0"/>
          <w:bCs w:val="0"/>
          <w:i w:val="0"/>
          <w:iCs w:val="0"/>
          <w:color w:val="000000" w:themeColor="text1"/>
          <w:kern w:val="0"/>
          <w:sz w:val="32"/>
          <w:szCs w:val="32"/>
          <w:highlight w:val="none"/>
          <w:u w:val="none"/>
          <w:shd w:val="clear" w:color="auto" w:fill="FFFFFF"/>
          <w:lang w:val="zh-CN"/>
          <w14:textFill>
            <w14:solidFill>
              <w14:schemeClr w14:val="tx1"/>
            </w14:solidFill>
          </w14:textFill>
        </w:rPr>
        <w:t>（一）部门预算项目绩效管理。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contextualSpacing/>
        <w:jc w:val="both"/>
        <w:textAlignment w:val="auto"/>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我厅现由专人负责预算绩效管理，并在《四川省司法厅机关经费</w:t>
      </w:r>
      <w:r>
        <w:rPr>
          <w:rFonts w:hint="eastAsia" w:ascii="仿宋_GB2312" w:hAnsi="仿宋_GB2312" w:eastAsia="仿宋_GB2312" w:cs="仿宋_GB2312"/>
          <w:b w:val="0"/>
          <w:bCs w:val="0"/>
          <w:i w:val="0"/>
          <w:iCs w:val="0"/>
          <w:color w:val="000000" w:themeColor="text1"/>
          <w:sz w:val="32"/>
          <w:szCs w:val="32"/>
          <w:u w:val="none"/>
          <w:lang w:eastAsia="zh-CN"/>
          <w14:textFill>
            <w14:solidFill>
              <w14:schemeClr w14:val="tx1"/>
            </w14:solidFill>
          </w14:textFill>
        </w:rPr>
        <w:t>支出</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管理办法》中提出预算绩效管理要求，建立“预算编制有目标、预算执行有监控、预算完成有评价、评价结果有反馈、反馈结果有应用”的全过程预算绩效管理机制。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contextualSpacing/>
        <w:jc w:val="both"/>
        <w:textAlignment w:val="auto"/>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1.绩效目标制定。</w:t>
      </w:r>
      <w:r>
        <w:rPr>
          <w:rFonts w:hint="eastAsia" w:ascii="仿宋_GB2312" w:hAnsi="仿宋_GB2312" w:eastAsia="仿宋_GB2312" w:cs="仿宋_GB2312"/>
          <w:b w:val="0"/>
          <w:bCs w:val="0"/>
          <w:i w:val="0"/>
          <w:iCs w:val="0"/>
          <w:color w:val="000000" w:themeColor="text1"/>
          <w:sz w:val="32"/>
          <w:szCs w:val="32"/>
          <w:u w:val="none"/>
          <w:lang w:eastAsia="zh-CN"/>
          <w14:textFill>
            <w14:solidFill>
              <w14:schemeClr w14:val="tx1"/>
            </w14:solidFill>
          </w14:textFill>
        </w:rPr>
        <w:t>在</w:t>
      </w: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2021年</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部门预算</w:t>
      </w:r>
      <w:r>
        <w:rPr>
          <w:rFonts w:hint="eastAsia" w:ascii="仿宋_GB2312" w:hAnsi="仿宋_GB2312" w:eastAsia="仿宋_GB2312" w:cs="仿宋_GB2312"/>
          <w:b w:val="0"/>
          <w:bCs w:val="0"/>
          <w:i w:val="0"/>
          <w:iCs w:val="0"/>
          <w:color w:val="000000" w:themeColor="text1"/>
          <w:sz w:val="32"/>
          <w:szCs w:val="32"/>
          <w:u w:val="none"/>
          <w:lang w:eastAsia="zh-CN"/>
          <w14:textFill>
            <w14:solidFill>
              <w14:schemeClr w14:val="tx1"/>
            </w14:solidFill>
          </w14:textFill>
        </w:rPr>
        <w:t>绩效目标</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编制工作</w:t>
      </w:r>
      <w:r>
        <w:rPr>
          <w:rFonts w:hint="eastAsia" w:ascii="仿宋_GB2312" w:hAnsi="仿宋_GB2312" w:eastAsia="仿宋_GB2312" w:cs="仿宋_GB2312"/>
          <w:b w:val="0"/>
          <w:bCs w:val="0"/>
          <w:i w:val="0"/>
          <w:iCs w:val="0"/>
          <w:color w:val="000000" w:themeColor="text1"/>
          <w:sz w:val="32"/>
          <w:szCs w:val="32"/>
          <w:u w:val="none"/>
          <w:lang w:eastAsia="zh-CN"/>
          <w14:textFill>
            <w14:solidFill>
              <w14:schemeClr w14:val="tx1"/>
            </w14:solidFill>
          </w14:textFill>
        </w:rPr>
        <w:t>中，</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对100万元以上项目</w:t>
      </w:r>
      <w:r>
        <w:rPr>
          <w:rFonts w:hint="eastAsia" w:ascii="仿宋_GB2312" w:hAnsi="仿宋_GB2312" w:eastAsia="仿宋_GB2312" w:cs="仿宋_GB2312"/>
          <w:b w:val="0"/>
          <w:bCs w:val="0"/>
          <w:i w:val="0"/>
          <w:iCs w:val="0"/>
          <w:color w:val="000000" w:themeColor="text1"/>
          <w:sz w:val="32"/>
          <w:szCs w:val="32"/>
          <w:u w:val="none"/>
          <w:lang w:eastAsia="zh-CN"/>
          <w14:textFill>
            <w14:solidFill>
              <w14:schemeClr w14:val="tx1"/>
            </w14:solidFill>
          </w14:textFill>
        </w:rPr>
        <w:t>编报</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绩效目标，逐一进行细化每个项目绩效目标填报不少于</w:t>
      </w: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5</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个指标。绩效目标指向明确，符合国民经济和社会发展规划、结合部门职能及事业发展规划等,特别在数量、质量、成本、时效、效益等方面进行了具体量化。</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contextualSpacing/>
        <w:jc w:val="both"/>
        <w:textAlignment w:val="auto"/>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2.绩效目标实现。2021纳入预算绩效管理项目共计29个，均为特定目标类项目，项目实际完成情况与逾期绩效目标未出现偏离。</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contextualSpacing/>
        <w:jc w:val="both"/>
        <w:textAlignment w:val="auto"/>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3.支出控制。司法厅公用经费及非定额公用项目年初预算数与决算数偏差程度均在10%以内。</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contextualSpacing/>
        <w:jc w:val="both"/>
        <w:textAlignment w:val="auto"/>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4.及时处置。按照财政厅开展预算绩效管理结果与预算安排挂钩定期清理评估要求，对预算项目实施进行监控，及时发现项目目标偏离情况，提出相关处置意见。在8月自行监控工作中，发现存在个别项目和预算需要调整，经财政厅有关部门审批同意调减预算1117万元。2021年结余资金2439.81万元，其中结转预算496.79万元，最终结余注销金额为1943.02万元。</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contextualSpacing/>
        <w:jc w:val="both"/>
        <w:textAlignment w:val="auto"/>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5.执行进度。司法厅2021年预算执行进度与序时进度基本持平，具体包括：6月执行进度为37.5%，9月执行进度为56%，11月执行进度为77.1%。</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contextualSpacing/>
        <w:jc w:val="both"/>
        <w:textAlignment w:val="auto"/>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6.预算完成情况。根据财政厅提供数据查询，司法厅2021年12月执行进度为93%。</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contextualSpacing/>
        <w:jc w:val="both"/>
        <w:textAlignment w:val="auto"/>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7.资金结余率。2021年纳入绩效管理共29各项目，资金结余率小于0.1的项目数为21个。</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contextualSpacing/>
        <w:jc w:val="both"/>
        <w:textAlignment w:val="auto"/>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8.违规记录。2021年度司法厅无预算绩效管理违规记录。</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contextualSpacing/>
        <w:jc w:val="both"/>
        <w:textAlignment w:val="auto"/>
        <w:rPr>
          <w:rFonts w:hint="eastAsia" w:ascii="楷体_GB2312" w:hAnsi="楷体_GB2312" w:eastAsia="楷体_GB2312" w:cs="楷体_GB2312"/>
          <w:b w:val="0"/>
          <w:bCs w:val="0"/>
          <w:i w:val="0"/>
          <w:iCs w:val="0"/>
          <w:color w:val="000000" w:themeColor="text1"/>
          <w:sz w:val="32"/>
          <w:szCs w:val="32"/>
          <w:u w:val="none"/>
          <w:lang w:val="zh-CN"/>
          <w14:textFill>
            <w14:solidFill>
              <w14:schemeClr w14:val="tx1"/>
            </w14:solidFill>
          </w14:textFill>
        </w:rPr>
      </w:pPr>
      <w:r>
        <w:rPr>
          <w:rFonts w:hint="eastAsia" w:ascii="楷体_GB2312" w:hAnsi="楷体_GB2312" w:eastAsia="楷体_GB2312" w:cs="楷体_GB2312"/>
          <w:b w:val="0"/>
          <w:bCs w:val="0"/>
          <w:i w:val="0"/>
          <w:iCs w:val="0"/>
          <w:color w:val="000000" w:themeColor="text1"/>
          <w:kern w:val="0"/>
          <w:sz w:val="32"/>
          <w:szCs w:val="32"/>
          <w:highlight w:val="none"/>
          <w:u w:val="none"/>
          <w:shd w:val="clear" w:color="auto" w:fill="FFFFFF"/>
          <w:lang w:val="zh-CN"/>
          <w14:textFill>
            <w14:solidFill>
              <w14:schemeClr w14:val="tx1"/>
            </w14:solidFill>
          </w14:textFill>
        </w:rPr>
        <w:t>（二）结果应用情况。</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contextualSpacing/>
        <w:jc w:val="both"/>
        <w:textAlignment w:val="auto"/>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根据绩效管理相关规定，2021年我厅按要求开展预算执行动态监控、中期评估、绩效跟踪监控管理工作。建设三年滚动规划项目库，重点细化项目绩效指标值。</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督促</w:t>
      </w:r>
      <w:r>
        <w:rPr>
          <w:rFonts w:hint="eastAsia" w:ascii="仿宋_GB2312" w:hAnsi="仿宋_GB2312" w:eastAsia="仿宋_GB2312" w:cs="仿宋_GB2312"/>
          <w:b w:val="0"/>
          <w:bCs w:val="0"/>
          <w:i w:val="0"/>
          <w:iCs w:val="0"/>
          <w:color w:val="000000" w:themeColor="text1"/>
          <w:sz w:val="32"/>
          <w:szCs w:val="32"/>
          <w:u w:val="none"/>
          <w:lang w:eastAsia="zh-CN"/>
          <w14:textFill>
            <w14:solidFill>
              <w14:schemeClr w14:val="tx1"/>
            </w14:solidFill>
          </w14:textFill>
        </w:rPr>
        <w:t>各</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部门按进度及时推进项目实施，加强预算执行管理，对多部门共用的业务经费进行分解到厅机关各业务处（室）</w:t>
      </w: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根据经费额度细化具体项目，对经费使用实行项目化管理，严格按计划实施项目并执行预算，按月通报各处室预算执行进度</w:t>
      </w:r>
      <w:r>
        <w:rPr>
          <w:rFonts w:hint="eastAsia" w:ascii="仿宋_GB2312" w:hAnsi="仿宋_GB2312" w:eastAsia="仿宋_GB2312" w:cs="仿宋_GB2312"/>
          <w:b w:val="0"/>
          <w:bCs w:val="0"/>
          <w:i w:val="0"/>
          <w:iCs w:val="0"/>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对处室项目执行情况与绩效完成情况进行考评，把绩效评价结果作为对各业务处室下年度安排预算的重要依据。对绩效低的项目资金，采取取消或调整的方式，调整支出结构，使预算安排使用更合理有效。绩效评价结果在一定范围内公布，以增强资金使用的透明度，发挥绩效评价对财政资金的跟踪问效用和决策信息反馈作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contextualSpacing/>
        <w:jc w:val="both"/>
        <w:textAlignment w:val="auto"/>
        <w:rPr>
          <w:rFonts w:hint="eastAsia" w:ascii="楷体_GB2312" w:hAnsi="楷体_GB2312" w:eastAsia="楷体_GB2312" w:cs="楷体_GB2312"/>
          <w:b w:val="0"/>
          <w:bCs w:val="0"/>
          <w:i w:val="0"/>
          <w:i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楷体_GB2312" w:hAnsi="楷体_GB2312" w:eastAsia="楷体_GB2312" w:cs="楷体_GB2312"/>
          <w:b w:val="0"/>
          <w:bCs w:val="0"/>
          <w:i w:val="0"/>
          <w:iCs w:val="0"/>
          <w:color w:val="000000" w:themeColor="text1"/>
          <w:kern w:val="0"/>
          <w:sz w:val="32"/>
          <w:szCs w:val="32"/>
          <w:highlight w:val="none"/>
          <w:u w:val="none"/>
          <w:shd w:val="clear" w:color="auto" w:fill="FFFFFF"/>
          <w:lang w:val="zh-CN"/>
          <w14:textFill>
            <w14:solidFill>
              <w14:schemeClr w14:val="tx1"/>
            </w14:solidFill>
          </w14:textFill>
        </w:rPr>
        <w:t>（三）自评质量</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contextualSpacing/>
        <w:jc w:val="both"/>
        <w:textAlignment w:val="auto"/>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本次部门整体支出绩效自评客观公正，自评考核数据来源为财政厅有关部门提供、财政大平台指标查询以及部门决算报表相关数据等，自评质量较好。</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contextualSpacing/>
        <w:jc w:val="both"/>
        <w:textAlignment w:val="auto"/>
        <w:rPr>
          <w:rFonts w:hint="eastAsia" w:ascii="黑体" w:hAnsi="黑体" w:eastAsia="黑体" w:cs="黑体"/>
          <w:b w:val="0"/>
          <w:bCs w:val="0"/>
          <w:i w:val="0"/>
          <w:iCs w:val="0"/>
          <w:color w:val="000000" w:themeColor="text1"/>
          <w:kern w:val="0"/>
          <w:sz w:val="32"/>
          <w:szCs w:val="32"/>
          <w:highlight w:val="none"/>
          <w:u w:val="none"/>
          <w:shd w:val="clear" w:color="auto" w:fill="FFFFFF"/>
          <w14:textFill>
            <w14:solidFill>
              <w14:schemeClr w14:val="tx1"/>
            </w14:solidFill>
          </w14:textFill>
        </w:rPr>
      </w:pPr>
      <w:r>
        <w:rPr>
          <w:rFonts w:hint="eastAsia" w:ascii="黑体" w:hAnsi="黑体" w:eastAsia="黑体" w:cs="黑体"/>
          <w:b w:val="0"/>
          <w:bCs w:val="0"/>
          <w:i w:val="0"/>
          <w:iCs w:val="0"/>
          <w:color w:val="000000" w:themeColor="text1"/>
          <w:kern w:val="0"/>
          <w:sz w:val="32"/>
          <w:szCs w:val="32"/>
          <w:highlight w:val="none"/>
          <w:u w:val="none"/>
          <w:shd w:val="clear" w:color="auto" w:fill="FFFFFF"/>
          <w14:textFill>
            <w14:solidFill>
              <w14:schemeClr w14:val="tx1"/>
            </w14:solidFill>
          </w14:textFill>
        </w:rPr>
        <w:t>四、评价结论及建议</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contextualSpacing/>
        <w:jc w:val="both"/>
        <w:textAlignment w:val="auto"/>
        <w:rPr>
          <w:rFonts w:hint="eastAsia" w:ascii="楷体_GB2312" w:hAnsi="楷体_GB2312" w:eastAsia="楷体_GB2312" w:cs="楷体_GB2312"/>
          <w:b w:val="0"/>
          <w:bCs w:val="0"/>
          <w:i w:val="0"/>
          <w:i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楷体_GB2312" w:hAnsi="楷体_GB2312" w:eastAsia="楷体_GB2312" w:cs="楷体_GB2312"/>
          <w:b w:val="0"/>
          <w:bCs w:val="0"/>
          <w:i w:val="0"/>
          <w:iCs w:val="0"/>
          <w:color w:val="000000" w:themeColor="text1"/>
          <w:kern w:val="0"/>
          <w:sz w:val="32"/>
          <w:szCs w:val="32"/>
          <w:highlight w:val="none"/>
          <w:u w:val="none"/>
          <w:shd w:val="clear" w:color="auto" w:fill="FFFFFF"/>
          <w:lang w:val="zh-CN"/>
          <w14:textFill>
            <w14:solidFill>
              <w14:schemeClr w14:val="tx1"/>
            </w14:solidFill>
          </w14:textFill>
        </w:rPr>
        <w:t>（一）评价结论。</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contextualSpacing/>
        <w:jc w:val="both"/>
        <w:textAlignment w:val="auto"/>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2022年部门整体支出绩效自评总分100分，我厅得分91.04分，主要扣分原因：一是“部门预算项目绩效管理—动态调整—及时处置”扣分6.35分，原因是我厅2021年预算结余注销额1943.02万元；二是“部门预算项目绩效管理—动态调整—执行进度”扣分0.53分，原因是我厅6、9、11月预算执行进度落后序时进度；三是“部门预算项目绩效管理—完成结果—预算完成”扣分0.7分，原因是我厅2021年12月执行进度为93%；四是“部门预算项目绩效管理—完成结果—资金结余率”扣分1.38分，原因是司法厅2021年资金结余率大于0.1的项目有8个。</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contextualSpacing/>
        <w:jc w:val="both"/>
        <w:textAlignment w:val="auto"/>
        <w:rPr>
          <w:rFonts w:hint="eastAsia" w:ascii="楷体_GB2312" w:hAnsi="楷体_GB2312" w:eastAsia="楷体_GB2312" w:cs="楷体_GB2312"/>
          <w:b w:val="0"/>
          <w:bCs w:val="0"/>
          <w:i w:val="0"/>
          <w:i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楷体_GB2312" w:hAnsi="楷体_GB2312" w:eastAsia="楷体_GB2312" w:cs="楷体_GB2312"/>
          <w:b w:val="0"/>
          <w:bCs w:val="0"/>
          <w:i w:val="0"/>
          <w:iCs w:val="0"/>
          <w:color w:val="000000" w:themeColor="text1"/>
          <w:kern w:val="0"/>
          <w:sz w:val="32"/>
          <w:szCs w:val="32"/>
          <w:highlight w:val="none"/>
          <w:u w:val="none"/>
          <w:shd w:val="clear" w:color="auto" w:fill="FFFFFF"/>
          <w:lang w:val="zh-CN"/>
          <w14:textFill>
            <w14:solidFill>
              <w14:schemeClr w14:val="tx1"/>
            </w14:solidFill>
          </w14:textFill>
        </w:rPr>
        <w:t>（二）存在问题。</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contextualSpacing/>
        <w:jc w:val="both"/>
        <w:textAlignment w:val="auto"/>
        <w:rPr>
          <w:rFonts w:hint="eastAsia" w:ascii="仿宋_GB2312" w:hAnsi="仿宋_GB2312" w:eastAsia="仿宋_GB2312" w:cs="仿宋_GB2312"/>
          <w:b w:val="0"/>
          <w:bCs w:val="0"/>
          <w:i w:val="0"/>
          <w:iCs w:val="0"/>
          <w:color w:val="000000" w:themeColor="text1"/>
          <w:sz w:val="32"/>
          <w:szCs w:val="32"/>
          <w:u w:val="none"/>
          <w:lang w:val="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2021年司法厅</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基本完成预算，</w:t>
      </w:r>
      <w:r>
        <w:rPr>
          <w:rFonts w:hint="eastAsia" w:ascii="仿宋_GB2312" w:hAnsi="仿宋_GB2312" w:eastAsia="仿宋_GB2312" w:cs="仿宋_GB2312"/>
          <w:b w:val="0"/>
          <w:bCs w:val="0"/>
          <w:i w:val="0"/>
          <w:iCs w:val="0"/>
          <w:color w:val="000000" w:themeColor="text1"/>
          <w:sz w:val="32"/>
          <w:szCs w:val="32"/>
          <w:u w:val="none"/>
          <w:lang w:eastAsia="zh-CN"/>
          <w14:textFill>
            <w14:solidFill>
              <w14:schemeClr w14:val="tx1"/>
            </w14:solidFill>
          </w14:textFill>
        </w:rPr>
        <w:t>但还</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存在</w:t>
      </w:r>
      <w:r>
        <w:rPr>
          <w:rFonts w:hint="eastAsia" w:ascii="仿宋_GB2312" w:hAnsi="仿宋_GB2312" w:eastAsia="仿宋_GB2312" w:cs="仿宋_GB2312"/>
          <w:b w:val="0"/>
          <w:bCs w:val="0"/>
          <w:i w:val="0"/>
          <w:iCs w:val="0"/>
          <w:color w:val="000000" w:themeColor="text1"/>
          <w:sz w:val="32"/>
          <w:szCs w:val="32"/>
          <w:u w:val="none"/>
          <w:lang w:eastAsia="zh-CN"/>
          <w14:textFill>
            <w14:solidFill>
              <w14:schemeClr w14:val="tx1"/>
            </w14:solidFill>
          </w14:textFill>
        </w:rPr>
        <w:t>预算绩效监控不全面，处置问题不及时，预算资金结余注销率较大的问题。</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contextualSpacing/>
        <w:jc w:val="both"/>
        <w:textAlignment w:val="auto"/>
        <w:rPr>
          <w:rFonts w:hint="eastAsia" w:ascii="楷体_GB2312" w:hAnsi="楷体_GB2312" w:eastAsia="楷体_GB2312" w:cs="楷体_GB2312"/>
          <w:b w:val="0"/>
          <w:bCs w:val="0"/>
          <w:i w:val="0"/>
          <w:i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楷体_GB2312" w:hAnsi="楷体_GB2312" w:eastAsia="楷体_GB2312" w:cs="楷体_GB2312"/>
          <w:b w:val="0"/>
          <w:bCs w:val="0"/>
          <w:i w:val="0"/>
          <w:iCs w:val="0"/>
          <w:color w:val="000000" w:themeColor="text1"/>
          <w:kern w:val="0"/>
          <w:sz w:val="32"/>
          <w:szCs w:val="32"/>
          <w:highlight w:val="none"/>
          <w:u w:val="none"/>
          <w:shd w:val="clear" w:color="auto" w:fill="FFFFFF"/>
          <w:lang w:val="zh-CN"/>
          <w14:textFill>
            <w14:solidFill>
              <w14:schemeClr w14:val="tx1"/>
            </w14:solidFill>
          </w14:textFill>
        </w:rPr>
        <w:t>（三）改进建议。</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contextualSpacing/>
        <w:jc w:val="both"/>
        <w:textAlignment w:val="auto"/>
        <w:rPr>
          <w:rFonts w:hint="eastAsia" w:ascii="仿宋_GB2312" w:hAnsi="仿宋_GB2312" w:eastAsia="仿宋_GB2312" w:cs="仿宋_GB2312"/>
          <w:b w:val="0"/>
          <w:bCs w:val="0"/>
          <w:i w:val="0"/>
          <w:iCs w:val="0"/>
          <w:color w:val="000000" w:themeColor="text1"/>
          <w:sz w:val="32"/>
          <w:szCs w:val="32"/>
          <w:u w:val="none"/>
          <w:lang w:val="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针对以上存在的问题，在</w:t>
      </w: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2022</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年预算执行中，</w:t>
      </w:r>
      <w:r>
        <w:rPr>
          <w:rFonts w:hint="eastAsia" w:ascii="仿宋_GB2312" w:hAnsi="仿宋_GB2312" w:eastAsia="仿宋_GB2312" w:cs="仿宋_GB2312"/>
          <w:b w:val="0"/>
          <w:bCs w:val="0"/>
          <w:i w:val="0"/>
          <w:iCs w:val="0"/>
          <w:color w:val="000000" w:themeColor="text1"/>
          <w:sz w:val="32"/>
          <w:szCs w:val="32"/>
          <w:u w:val="none"/>
          <w:lang w:eastAsia="zh-CN"/>
          <w14:textFill>
            <w14:solidFill>
              <w14:schemeClr w14:val="tx1"/>
            </w14:solidFill>
          </w14:textFill>
        </w:rPr>
        <w:t>将</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进一步</w:t>
      </w:r>
      <w:r>
        <w:rPr>
          <w:rFonts w:hint="eastAsia" w:ascii="仿宋_GB2312" w:hAnsi="仿宋_GB2312" w:eastAsia="仿宋_GB2312" w:cs="仿宋_GB2312"/>
          <w:b w:val="0"/>
          <w:bCs w:val="0"/>
          <w:i w:val="0"/>
          <w:iCs w:val="0"/>
          <w:color w:val="000000" w:themeColor="text1"/>
          <w:sz w:val="32"/>
          <w:szCs w:val="32"/>
          <w:u w:val="none"/>
          <w:lang w:eastAsia="zh-CN"/>
          <w14:textFill>
            <w14:solidFill>
              <w14:schemeClr w14:val="tx1"/>
            </w14:solidFill>
          </w14:textFill>
        </w:rPr>
        <w:t>提高部门预算绩效管理水平：一是建立健全预算绩效管理制度，完善管理机制；二是利用信息化技术手段，全面开展预算项目绩效管理；三是加强预算监控力度，对执行较差、目标偏离的项目，及时按程序提出处置意见，避免造成财政资金浪费；四是加强预算编制的科学、合理和准确性，并将</w:t>
      </w:r>
      <w:r>
        <w:rPr>
          <w:rFonts w:hint="eastAsia" w:ascii="仿宋_GB2312" w:hAnsi="仿宋_GB2312" w:eastAsia="仿宋_GB2312" w:cs="仿宋_GB2312"/>
          <w:b w:val="0"/>
          <w:bCs w:val="0"/>
          <w:i w:val="0"/>
          <w:iCs w:val="0"/>
          <w:color w:val="000000" w:themeColor="text1"/>
          <w:sz w:val="32"/>
          <w:szCs w:val="32"/>
          <w:u w:val="none"/>
          <w14:textFill>
            <w14:solidFill>
              <w14:schemeClr w14:val="tx1"/>
            </w14:solidFill>
          </w14:textFill>
        </w:rPr>
        <w:t>把预算绩效结果与预算经费安排挂钩</w:t>
      </w:r>
      <w:r>
        <w:rPr>
          <w:rFonts w:hint="eastAsia" w:ascii="仿宋_GB2312" w:hAnsi="仿宋_GB2312" w:eastAsia="仿宋_GB2312" w:cs="仿宋_GB2312"/>
          <w:b w:val="0"/>
          <w:bCs w:val="0"/>
          <w:i w:val="0"/>
          <w:iCs w:val="0"/>
          <w:color w:val="000000" w:themeColor="text1"/>
          <w:sz w:val="32"/>
          <w:szCs w:val="32"/>
          <w:u w:val="none"/>
          <w:lang w:eastAsia="zh-CN"/>
          <w14:textFill>
            <w14:solidFill>
              <w14:schemeClr w14:val="tx1"/>
            </w14:solidFill>
          </w14:textFill>
        </w:rPr>
        <w:t>；五是</w:t>
      </w: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积极与财政部门沟通协调，按要求完成各项工作任务。六是加强财务人员和部门财务联络员绩效管理理论知识的培训学习。</w:t>
      </w:r>
    </w:p>
    <w:p>
      <w:pPr>
        <w:widowControl w:val="0"/>
        <w:spacing w:beforeLines="30"/>
        <w:jc w:val="both"/>
        <w:rPr>
          <w:rFonts w:hint="eastAsia" w:ascii="仿宋_GB2312" w:hAnsi="Times New Roman" w:eastAsia="仿宋_GB2312" w:cs="Times New Roman"/>
          <w:color w:val="000000" w:themeColor="text1"/>
          <w:kern w:val="0"/>
          <w:sz w:val="30"/>
          <w:szCs w:val="24"/>
          <w:highlight w:val="none"/>
          <w:lang w:val="zh-CN" w:eastAsia="zh-CN" w:bidi="ar-SA"/>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60" w:lineRule="exact"/>
        <w:contextualSpacing/>
        <w:jc w:val="left"/>
        <w:textAlignment w:val="auto"/>
        <w:rPr>
          <w:rFonts w:hint="eastAsia" w:ascii="仿宋_GB2312" w:hAnsi="宋体" w:eastAsia="仿宋_GB2312" w:cs="宋体"/>
          <w:b w:val="0"/>
          <w:bCs w:val="0"/>
          <w:color w:val="000000" w:themeColor="text1"/>
          <w:kern w:val="0"/>
          <w:sz w:val="32"/>
          <w:szCs w:val="32"/>
          <w:highlight w:val="none"/>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60" w:lineRule="exact"/>
        <w:contextualSpacing/>
        <w:jc w:val="left"/>
        <w:textAlignment w:val="auto"/>
        <w:rPr>
          <w:rFonts w:hint="eastAsia" w:ascii="仿宋_GB2312" w:hAnsi="宋体" w:eastAsia="仿宋_GB2312" w:cs="宋体"/>
          <w:b w:val="0"/>
          <w:bCs w:val="0"/>
          <w:color w:val="000000" w:themeColor="text1"/>
          <w:kern w:val="0"/>
          <w:sz w:val="32"/>
          <w:szCs w:val="32"/>
          <w:highlight w:val="none"/>
          <w:shd w:val="clear" w:color="auto" w:fill="FFFFFF"/>
          <w:lang w:val="zh-CN"/>
          <w14:textFill>
            <w14:solidFill>
              <w14:schemeClr w14:val="tx1"/>
            </w14:solidFill>
          </w14:textFill>
        </w:rPr>
      </w:pPr>
      <w:r>
        <w:rPr>
          <w:rFonts w:hint="eastAsia" w:ascii="仿宋_GB2312" w:hAnsi="宋体" w:eastAsia="仿宋_GB2312" w:cs="宋体"/>
          <w:b w:val="0"/>
          <w:bCs w:val="0"/>
          <w:color w:val="000000" w:themeColor="text1"/>
          <w:kern w:val="0"/>
          <w:sz w:val="32"/>
          <w:szCs w:val="32"/>
          <w:highlight w:val="none"/>
          <w:shd w:val="clear" w:color="auto" w:fill="FFFFFF"/>
          <w:lang w:val="zh-CN"/>
          <w14:textFill>
            <w14:solidFill>
              <w14:schemeClr w14:val="tx1"/>
            </w14:solidFill>
          </w14:textFill>
        </w:rPr>
        <w:t>附表：</w:t>
      </w:r>
    </w:p>
    <w:p>
      <w:pPr>
        <w:keepNext w:val="0"/>
        <w:keepLines w:val="0"/>
        <w:pageBreakBefore w:val="0"/>
        <w:widowControl w:val="0"/>
        <w:kinsoku/>
        <w:wordWrap/>
        <w:overflowPunct/>
        <w:topLinePunct w:val="0"/>
        <w:autoSpaceDE/>
        <w:autoSpaceDN/>
        <w:bidi w:val="0"/>
        <w:spacing w:beforeLines="0" w:line="560" w:lineRule="exact"/>
        <w:jc w:val="center"/>
        <w:textAlignment w:val="auto"/>
        <w:rPr>
          <w:rFonts w:hint="eastAsia" w:ascii="宋体" w:hAnsi="宋体" w:eastAsia="宋体" w:cs="宋体"/>
          <w:b w:val="0"/>
          <w:bCs/>
          <w:i w:val="0"/>
          <w:color w:val="000000" w:themeColor="text1"/>
          <w:kern w:val="0"/>
          <w:sz w:val="32"/>
          <w:szCs w:val="32"/>
          <w:highlight w:val="none"/>
          <w:u w:val="none"/>
          <w:lang w:val="en-US" w:eastAsia="zh-CN" w:bidi="ar-SA"/>
          <w14:textFill>
            <w14:solidFill>
              <w14:schemeClr w14:val="tx1"/>
            </w14:solidFill>
          </w14:textFill>
        </w:rPr>
      </w:pPr>
      <w:r>
        <w:rPr>
          <w:rFonts w:hint="eastAsia" w:ascii="宋体" w:hAnsi="宋体" w:eastAsia="宋体" w:cs="宋体"/>
          <w:b/>
          <w:i w:val="0"/>
          <w:color w:val="000000" w:themeColor="text1"/>
          <w:spacing w:val="-11"/>
          <w:kern w:val="0"/>
          <w:sz w:val="32"/>
          <w:szCs w:val="32"/>
          <w:highlight w:val="none"/>
          <w:u w:val="none"/>
          <w:lang w:val="en-US" w:eastAsia="zh-CN" w:bidi="ar-SA"/>
          <w14:textFill>
            <w14:solidFill>
              <w14:schemeClr w14:val="tx1"/>
            </w14:solidFill>
          </w14:textFill>
        </w:rPr>
        <w:t>2021年100万元以上（含）特定目标类部门预算项目绩效目标自评</w:t>
      </w:r>
      <w:r>
        <w:rPr>
          <w:rFonts w:hint="eastAsia" w:ascii="宋体" w:hAnsi="宋体" w:eastAsia="宋体" w:cs="宋体"/>
          <w:b w:val="0"/>
          <w:bCs/>
          <w:i w:val="0"/>
          <w:color w:val="000000" w:themeColor="text1"/>
          <w:kern w:val="0"/>
          <w:sz w:val="32"/>
          <w:szCs w:val="32"/>
          <w:highlight w:val="none"/>
          <w:u w:val="none"/>
          <w:lang w:val="en-US" w:eastAsia="zh-CN" w:bidi="ar-SA"/>
          <w14:textFill>
            <w14:solidFill>
              <w14:schemeClr w14:val="tx1"/>
            </w14:solidFill>
          </w14:textFill>
        </w:rPr>
        <w:t>（法制报社未划转人员经费）</w:t>
      </w:r>
    </w:p>
    <w:p>
      <w:pPr>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eastAsia" w:ascii="宋体" w:hAnsi="宋体" w:eastAsia="仿宋_GB2312" w:cs="宋体"/>
          <w:b w:val="0"/>
          <w:bCs/>
          <w:i w:val="0"/>
          <w:color w:val="000000" w:themeColor="text1"/>
          <w:kern w:val="0"/>
          <w:sz w:val="32"/>
          <w:szCs w:val="32"/>
          <w:highlight w:val="none"/>
          <w:u w:val="none"/>
          <w:lang w:val="zh-CN" w:eastAsia="zh-CN" w:bidi="ar-SA"/>
          <w14:textFill>
            <w14:solidFill>
              <w14:schemeClr w14:val="tx1"/>
            </w14:solidFill>
          </w14:textFill>
        </w:rPr>
      </w:pPr>
    </w:p>
    <w:tbl>
      <w:tblPr>
        <w:tblStyle w:val="14"/>
        <w:tblW w:w="957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334"/>
        <w:gridCol w:w="1339"/>
        <w:gridCol w:w="1924"/>
        <w:gridCol w:w="1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4" w:hRule="atLeast"/>
          <w:jc w:val="center"/>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主管部门及代码</w:t>
            </w:r>
          </w:p>
        </w:tc>
        <w:tc>
          <w:tcPr>
            <w:tcW w:w="2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四川省司法厅-207</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实施单位</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sz w:val="16"/>
                <w:szCs w:val="16"/>
                <w:highlight w:val="none"/>
                <w:u w:val="none"/>
                <w14:textFill>
                  <w14:solidFill>
                    <w14:schemeClr w14:val="tx1"/>
                  </w14:solidFill>
                </w14:textFill>
              </w:rPr>
              <w:t>四川省司法厅机关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jc w:val="center"/>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项目预算</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执行情况</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（万元）</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 xml:space="preserve"> 预算数：</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129.00</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 xml:space="preserve"> 执行数：</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115.65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jc w:val="center"/>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财政拨款</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129.00</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财政拨款</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115.65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jc w:val="center"/>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其他资金</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其他资金</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7" w:hRule="atLeast"/>
          <w:jc w:val="center"/>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完成情况</w:t>
            </w:r>
          </w:p>
        </w:tc>
        <w:tc>
          <w:tcPr>
            <w:tcW w:w="3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预期目标</w:t>
            </w:r>
          </w:p>
        </w:tc>
        <w:tc>
          <w:tcPr>
            <w:tcW w:w="3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7" w:hRule="atLeast"/>
          <w:jc w:val="center"/>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3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sz w:val="16"/>
                <w:szCs w:val="16"/>
                <w:highlight w:val="none"/>
                <w:u w:val="none"/>
                <w14:textFill>
                  <w14:solidFill>
                    <w14:schemeClr w14:val="tx1"/>
                  </w14:solidFill>
                </w14:textFill>
              </w:rPr>
              <w:t>我厅现有法制报社代管人员13人，现已全部退休，根据省人社厅印发的《四川省驻蓉省直其他事业单位退休人员补贴标准表》，需保障其全年退休补助。</w:t>
            </w:r>
          </w:p>
        </w:tc>
        <w:tc>
          <w:tcPr>
            <w:tcW w:w="3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sz w:val="16"/>
                <w:szCs w:val="16"/>
                <w:highlight w:val="none"/>
                <w:u w:val="none"/>
                <w14:textFill>
                  <w14:solidFill>
                    <w14:schemeClr w14:val="tx1"/>
                  </w14:solidFill>
                </w14:textFill>
              </w:rPr>
              <w:t>我厅现有法制报社代管人员13人，现已全部退休，根据省人社厅印发的《四川省驻蓉省直其他事业单位退休人员补贴标准表》，已保障其2021年退休补助。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jc w:val="center"/>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预期指标值</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3" w:hRule="atLeast"/>
          <w:jc w:val="center"/>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数量指标</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法治报社代管人员数量</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保障13名法制报社代管人员的退休补助。</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保障13名法制报社代管人员的退休补助。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59" w:hRule="atLeast"/>
          <w:jc w:val="center"/>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质量指标</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生活费发放标准及标准调整</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每年按照人社厅印发的相关文件，及时足额发放每月生活费，按照相关规定对生活补助标准进行调整并足额兑现。</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spacing w:val="-6"/>
                <w:kern w:val="0"/>
                <w:sz w:val="16"/>
                <w:szCs w:val="16"/>
                <w:highlight w:val="none"/>
                <w:u w:val="none"/>
                <w:lang w:val="en-US" w:eastAsia="zh-CN" w:bidi="ar"/>
                <w14:textFill>
                  <w14:solidFill>
                    <w14:schemeClr w14:val="tx1"/>
                  </w14:solidFill>
                </w14:textFill>
              </w:rPr>
              <w:t>每年按照人社厅印发的相关文件，及时足额发放每月生活费，按照相关规定对生活补助标准进行调整并足额兑现。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时效指标</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生活费发放完成时间</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2021年12月31日以前完成全年生活费发放</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2021年12月31日以前完成全年生活费发放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社会效益指标</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对社会的促进作用</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及时足额发放生活补助、避免发生上访事件、促进社会和谐稳定。</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及时足额发放生活补助、避免发生上访事件、促进社会和谐稳定。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0" w:hRule="atLeast"/>
          <w:jc w:val="center"/>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满意</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度指标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法制报社代管人员满意度</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法制报社代管人员满意度达到100%</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法制报社代管人员满意度达到100%</w:t>
            </w:r>
          </w:p>
        </w:tc>
      </w:tr>
    </w:tbl>
    <w:p>
      <w:pPr>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000000" w:themeColor="text1"/>
          <w:spacing w:val="-1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000000" w:themeColor="text1"/>
          <w:spacing w:val="-1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000000" w:themeColor="text1"/>
          <w:spacing w:val="-11"/>
          <w:sz w:val="32"/>
          <w:szCs w:val="32"/>
          <w:lang w:val="en-US" w:eastAsia="zh-CN"/>
          <w14:textFill>
            <w14:solidFill>
              <w14:schemeClr w14:val="tx1"/>
            </w14:solidFill>
          </w14:textFill>
        </w:rPr>
      </w:pPr>
      <w:r>
        <w:rPr>
          <w:rFonts w:hint="eastAsia" w:ascii="宋体" w:hAnsi="宋体" w:eastAsia="宋体" w:cs="宋体"/>
          <w:b/>
          <w:bCs/>
          <w:color w:val="000000" w:themeColor="text1"/>
          <w:spacing w:val="-11"/>
          <w:sz w:val="32"/>
          <w:szCs w:val="32"/>
          <w:lang w:val="en-US" w:eastAsia="zh-CN"/>
          <w14:textFill>
            <w14:solidFill>
              <w14:schemeClr w14:val="tx1"/>
            </w14:solidFill>
          </w14:textFill>
        </w:rPr>
        <w:t>2021年100万元以上（含）特定目标类部门预算项目绩效目标自评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（纪检办案经费）</w:t>
      </w:r>
    </w:p>
    <w:p>
      <w:pPr>
        <w:rPr>
          <w:rFonts w:hint="eastAsia"/>
          <w:color w:val="000000" w:themeColor="text1"/>
          <w14:textFill>
            <w14:solidFill>
              <w14:schemeClr w14:val="tx1"/>
            </w14:solidFill>
          </w14:textFill>
        </w:rPr>
      </w:pPr>
    </w:p>
    <w:tbl>
      <w:tblPr>
        <w:tblStyle w:val="14"/>
        <w:tblW w:w="9788" w:type="dxa"/>
        <w:jc w:val="center"/>
        <w:tblInd w:w="3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31"/>
        <w:gridCol w:w="1048"/>
        <w:gridCol w:w="1635"/>
        <w:gridCol w:w="1362"/>
        <w:gridCol w:w="1387"/>
        <w:gridCol w:w="2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4" w:hRule="atLeast"/>
          <w:jc w:val="center"/>
        </w:trPr>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主管部门及代码</w:t>
            </w:r>
          </w:p>
        </w:tc>
        <w:tc>
          <w:tcPr>
            <w:tcW w:w="2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四川省司法厅-207</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实施单位</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sz w:val="16"/>
                <w:szCs w:val="16"/>
                <w:highlight w:val="none"/>
                <w:u w:val="none"/>
                <w14:textFill>
                  <w14:solidFill>
                    <w14:schemeClr w14:val="tx1"/>
                  </w14:solidFill>
                </w14:textFill>
              </w:rPr>
              <w:t>四川省司法厅机关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jc w:val="center"/>
        </w:trPr>
        <w:tc>
          <w:tcPr>
            <w:tcW w:w="29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项目预算</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执行情况</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 xml:space="preserve"> 预算数：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140.00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 xml:space="preserve"> 执行数：</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jc w:val="center"/>
        </w:trPr>
        <w:tc>
          <w:tcPr>
            <w:tcW w:w="29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财政拨款</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140.00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财政拨款</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41" w:hRule="atLeast"/>
          <w:jc w:val="center"/>
        </w:trPr>
        <w:tc>
          <w:tcPr>
            <w:tcW w:w="29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其他资金</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其他资金</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7" w:hRule="atLeast"/>
          <w:jc w:val="center"/>
        </w:trPr>
        <w:tc>
          <w:tcPr>
            <w:tcW w:w="19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完成情况</w:t>
            </w:r>
          </w:p>
        </w:tc>
        <w:tc>
          <w:tcPr>
            <w:tcW w:w="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预期目标</w:t>
            </w:r>
          </w:p>
        </w:tc>
        <w:tc>
          <w:tcPr>
            <w:tcW w:w="3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7" w:hRule="atLeast"/>
          <w:jc w:val="center"/>
        </w:trPr>
        <w:tc>
          <w:tcPr>
            <w:tcW w:w="19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404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保障省纪委驻司法厅纪检组办案业务工作开展。以监督、执纪、问责为主线，查处系统内违规、违纪、违法行为。教育广大民警职工，巩固已经形成的“反腐败压倒性态势”，夺取反腐败斗争压倒性胜利。</w:t>
            </w:r>
          </w:p>
        </w:tc>
        <w:tc>
          <w:tcPr>
            <w:tcW w:w="381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保障省纪委驻司法厅纪检组办案业务工作开展。以监督、执纪、问责为主线，查处系统内违规、违纪、违法行为。教育广大民警职工，巩固已经形成的“反腐败压倒性态势”，夺取反腐败斗争压倒性胜利。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jc w:val="center"/>
        </w:trPr>
        <w:tc>
          <w:tcPr>
            <w:tcW w:w="193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年度绩效指标完成情况</w:t>
            </w:r>
          </w:p>
        </w:tc>
        <w:tc>
          <w:tcPr>
            <w:tcW w:w="10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预期指标值</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193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2021年全年办理信访案件</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办理信访案件不少于50件</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办理信访案件不少于50件</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2021年全年办理信访案件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193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案件完成情况</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不出现冤假错案</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不出现冤假错案</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案件完成情况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193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完成时间</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2021年12月31日前完成纪检监察工作目标</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2021年12月31日前完成纪检监察工作目标</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完成时间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93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社会效益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对社会促进作用</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促进党风廉政建设进一步好转</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促进党风廉政建设进一步好转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0" w:hRule="atLeast"/>
          <w:jc w:val="center"/>
        </w:trPr>
        <w:tc>
          <w:tcPr>
            <w:tcW w:w="193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满意</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服务对象满意度</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办理信访案件，信访对象满意度达到80%以上</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办理信访案件，信访对象满意度达到80%以上</w:t>
            </w:r>
          </w:p>
        </w:tc>
      </w:tr>
    </w:tbl>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0" w:firstLineChars="0"/>
        <w:jc w:val="center"/>
        <w:textAlignment w:val="center"/>
        <w:rPr>
          <w:rFonts w:hint="eastAsia" w:ascii="宋体" w:hAnsi="宋体" w:eastAsia="宋体" w:cs="宋体"/>
          <w:b/>
          <w:i w:val="0"/>
          <w:color w:val="000000" w:themeColor="text1"/>
          <w:sz w:val="32"/>
          <w:szCs w:val="32"/>
          <w:highlight w:val="none"/>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0" w:firstLineChars="0"/>
        <w:jc w:val="center"/>
        <w:textAlignment w:val="center"/>
        <w:rPr>
          <w:rFonts w:hint="eastAsia" w:ascii="宋体" w:hAnsi="宋体" w:eastAsia="宋体" w:cs="宋体"/>
          <w:b/>
          <w:i w:val="0"/>
          <w:color w:val="000000" w:themeColor="text1"/>
          <w:sz w:val="32"/>
          <w:szCs w:val="32"/>
          <w:highlight w:val="none"/>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0" w:firstLineChars="0"/>
        <w:jc w:val="center"/>
        <w:textAlignment w:val="center"/>
        <w:rPr>
          <w:rFonts w:hint="eastAsia" w:ascii="宋体" w:hAnsi="宋体" w:eastAsia="宋体" w:cs="宋体"/>
          <w:b/>
          <w:i w:val="0"/>
          <w:color w:val="000000" w:themeColor="text1"/>
          <w:sz w:val="32"/>
          <w:szCs w:val="32"/>
          <w:highlight w:val="none"/>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0" w:firstLineChars="0"/>
        <w:jc w:val="center"/>
        <w:textAlignment w:val="center"/>
        <w:rPr>
          <w:rFonts w:hint="eastAsia" w:ascii="宋体" w:hAnsi="宋体" w:eastAsia="宋体" w:cs="宋体"/>
          <w:b/>
          <w:i w:val="0"/>
          <w:color w:val="000000" w:themeColor="text1"/>
          <w:sz w:val="32"/>
          <w:szCs w:val="32"/>
          <w:highlight w:val="none"/>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0" w:firstLineChars="0"/>
        <w:jc w:val="center"/>
        <w:textAlignment w:val="center"/>
        <w:rPr>
          <w:rFonts w:hint="eastAsia" w:ascii="宋体" w:hAnsi="宋体" w:eastAsia="宋体" w:cs="宋体"/>
          <w:b/>
          <w:i w:val="0"/>
          <w:color w:val="000000" w:themeColor="text1"/>
          <w:sz w:val="32"/>
          <w:szCs w:val="32"/>
          <w:highlight w:val="none"/>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0" w:firstLineChars="0"/>
        <w:jc w:val="center"/>
        <w:textAlignment w:val="center"/>
        <w:rPr>
          <w:rFonts w:hint="eastAsia" w:ascii="宋体" w:hAnsi="宋体" w:eastAsia="宋体" w:cs="宋体"/>
          <w:b/>
          <w:i w:val="0"/>
          <w:color w:val="000000" w:themeColor="text1"/>
          <w:sz w:val="32"/>
          <w:szCs w:val="32"/>
          <w:highlight w:val="none"/>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0" w:firstLineChars="0"/>
        <w:jc w:val="center"/>
        <w:textAlignment w:val="cente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0" w:firstLineChars="0"/>
        <w:jc w:val="center"/>
        <w:textAlignment w:val="cente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pPr>
      <w: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t>2021年100万元以上（含）特定目标类部门预算项目绩效目标自评</w:t>
      </w:r>
    </w:p>
    <w:p>
      <w:pPr>
        <w:jc w:val="center"/>
        <w:rPr>
          <w:rFonts w:hint="eastAsia" w:ascii="宋体" w:hAnsi="宋体" w:eastAsia="宋体" w:cs="宋体"/>
          <w:b w:val="0"/>
          <w:bCs/>
          <w:i w:val="0"/>
          <w:color w:val="000000" w:themeColor="text1"/>
          <w:sz w:val="32"/>
          <w:szCs w:val="32"/>
          <w:highlight w:val="none"/>
          <w:u w:val="none"/>
          <w:lang w:val="en-US" w:eastAsia="zh-CN"/>
          <w14:textFill>
            <w14:solidFill>
              <w14:schemeClr w14:val="tx1"/>
            </w14:solidFill>
          </w14:textFill>
        </w:rPr>
      </w:pPr>
      <w:r>
        <w:rPr>
          <w:rFonts w:hint="eastAsia" w:ascii="宋体" w:hAnsi="宋体" w:eastAsia="宋体" w:cs="宋体"/>
          <w:b w:val="0"/>
          <w:bCs/>
          <w:i w:val="0"/>
          <w:color w:val="000000" w:themeColor="text1"/>
          <w:sz w:val="32"/>
          <w:szCs w:val="32"/>
          <w:highlight w:val="none"/>
          <w:u w:val="none"/>
          <w:lang w:val="en-US" w:eastAsia="zh-CN"/>
          <w14:textFill>
            <w14:solidFill>
              <w14:schemeClr w14:val="tx1"/>
            </w14:solidFill>
          </w14:textFill>
        </w:rPr>
        <w:t>（普法宣传经费）</w:t>
      </w:r>
    </w:p>
    <w:p>
      <w:pPr>
        <w:bidi w:val="0"/>
        <w:rPr>
          <w:color w:val="000000" w:themeColor="text1"/>
          <w14:textFill>
            <w14:solidFill>
              <w14:schemeClr w14:val="tx1"/>
            </w14:solidFill>
          </w14:textFill>
        </w:rPr>
      </w:pPr>
    </w:p>
    <w:tbl>
      <w:tblPr>
        <w:tblStyle w:val="14"/>
        <w:tblW w:w="9997" w:type="dxa"/>
        <w:jc w:val="center"/>
        <w:tblInd w:w="3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31"/>
        <w:gridCol w:w="1048"/>
        <w:gridCol w:w="1635"/>
        <w:gridCol w:w="1362"/>
        <w:gridCol w:w="1993"/>
        <w:gridCol w:w="20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4" w:hRule="atLeast"/>
          <w:jc w:val="center"/>
        </w:trPr>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主管部门及代码</w:t>
            </w:r>
          </w:p>
        </w:tc>
        <w:tc>
          <w:tcPr>
            <w:tcW w:w="2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四川省司法厅-207</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实施单位</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sz w:val="16"/>
                <w:szCs w:val="16"/>
                <w:highlight w:val="none"/>
                <w:u w:val="none"/>
                <w14:textFill>
                  <w14:solidFill>
                    <w14:schemeClr w14:val="tx1"/>
                  </w14:solidFill>
                </w14:textFill>
              </w:rPr>
              <w:t>四川省司法厅机关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jc w:val="center"/>
        </w:trPr>
        <w:tc>
          <w:tcPr>
            <w:tcW w:w="29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项目预算</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执行情况</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 xml:space="preserve"> 预算数：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470.00</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 xml:space="preserve"> 执行数：</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470.00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jc w:val="center"/>
        </w:trPr>
        <w:tc>
          <w:tcPr>
            <w:tcW w:w="29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财政拨款</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470.00</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财政拨款</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470.00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jc w:val="center"/>
        </w:trPr>
        <w:tc>
          <w:tcPr>
            <w:tcW w:w="29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其他资金</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其他资金</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7" w:hRule="atLeast"/>
          <w:jc w:val="center"/>
        </w:trPr>
        <w:tc>
          <w:tcPr>
            <w:tcW w:w="19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完成情况</w:t>
            </w:r>
          </w:p>
        </w:tc>
        <w:tc>
          <w:tcPr>
            <w:tcW w:w="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预期目标</w:t>
            </w:r>
          </w:p>
        </w:tc>
        <w:tc>
          <w:tcPr>
            <w:tcW w:w="4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7" w:hRule="atLeast"/>
          <w:jc w:val="center"/>
        </w:trPr>
        <w:tc>
          <w:tcPr>
            <w:tcW w:w="19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404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tabs>
                <w:tab w:val="left" w:pos="694"/>
              </w:tabs>
              <w:bidi w:val="0"/>
              <w:jc w:val="both"/>
              <w:rPr>
                <w:rFonts w:hint="eastAsia" w:ascii="宋体" w:hAnsi="宋体" w:eastAsia="宋体" w:cs="宋体"/>
                <w:color w:val="000000" w:themeColor="text1"/>
                <w:kern w:val="2"/>
                <w:sz w:val="16"/>
                <w:szCs w:val="16"/>
                <w:lang w:val="en-US" w:eastAsia="zh-CN" w:bidi="ar-SA"/>
                <w14:textFill>
                  <w14:solidFill>
                    <w14:schemeClr w14:val="tx1"/>
                  </w14:solidFill>
                </w14:textFill>
              </w:rPr>
            </w:pPr>
            <w:r>
              <w:rPr>
                <w:rFonts w:hint="eastAsia" w:ascii="宋体" w:hAnsi="宋体" w:eastAsia="宋体" w:cs="宋体"/>
                <w:color w:val="000000" w:themeColor="text1"/>
                <w:kern w:val="2"/>
                <w:sz w:val="16"/>
                <w:szCs w:val="16"/>
                <w:lang w:val="en-US" w:eastAsia="zh-CN" w:bidi="ar-SA"/>
                <w14:textFill>
                  <w14:solidFill>
                    <w14:schemeClr w14:val="tx1"/>
                  </w14:solidFill>
                </w14:textFill>
              </w:rPr>
              <w:t>结合经济高质量发展、打赢三大攻坚战、城乡基层治理、市域社会治理和宪法法律宣传教育等重点工作，利用全年重要时间节点，会同有关省直部门，组织开展法治宣传主题活动，推动落实“谁执法谁普法”责任制，为治蜀兴川再上新台阶营造浓厚法治氛围。</w:t>
            </w:r>
          </w:p>
        </w:tc>
        <w:tc>
          <w:tcPr>
            <w:tcW w:w="402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sz w:val="16"/>
                <w:szCs w:val="16"/>
                <w:highlight w:val="none"/>
                <w:u w:val="none"/>
                <w14:textFill>
                  <w14:solidFill>
                    <w14:schemeClr w14:val="tx1"/>
                  </w14:solidFill>
                </w14:textFill>
              </w:rPr>
              <w:t>结合经济高质量发展、打赢三大攻坚战、城乡基层治理、市域社会治理和宪法法律宣传教育等重点工作，利用全年重要时间节点，会同有关省直部门，组织开展法治宣传主题活动，推动落实“谁执法谁普法”责任制，为治蜀兴川再上新台阶营造浓厚法治氛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jc w:val="center"/>
        </w:trPr>
        <w:tc>
          <w:tcPr>
            <w:tcW w:w="193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年度绩效指标完成情况</w:t>
            </w:r>
          </w:p>
        </w:tc>
        <w:tc>
          <w:tcPr>
            <w:tcW w:w="10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预期指标值</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193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数量指标</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法治宣传主题活动开展场次</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法治宣传主题活动开展</w:t>
            </w:r>
            <w:r>
              <w:rPr>
                <w:rFonts w:hint="eastAsia" w:ascii="宋体" w:hAnsi="宋体" w:eastAsia="宋体" w:cs="宋体"/>
                <w:color w:val="000000" w:themeColor="text1"/>
                <w:sz w:val="16"/>
                <w:szCs w:val="16"/>
                <w:u w:val="none"/>
                <w:lang w:val="en-US" w:eastAsia="zh-CN" w:bidi="ar"/>
                <w14:textFill>
                  <w14:solidFill>
                    <w14:schemeClr w14:val="tx1"/>
                  </w14:solidFill>
                </w14:textFill>
              </w:rPr>
              <w:t>8场以上</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法治宣传主题活动开展</w:t>
            </w:r>
            <w:r>
              <w:rPr>
                <w:rFonts w:hint="eastAsia" w:ascii="宋体" w:hAnsi="宋体" w:eastAsia="宋体" w:cs="宋体"/>
                <w:color w:val="000000" w:themeColor="text1"/>
                <w:sz w:val="16"/>
                <w:szCs w:val="16"/>
                <w:u w:val="none"/>
                <w:lang w:val="en-US" w:eastAsia="zh-CN" w:bidi="ar"/>
                <w14:textFill>
                  <w14:solidFill>
                    <w14:schemeClr w14:val="tx1"/>
                  </w14:solidFill>
                </w14:textFill>
              </w:rPr>
              <w:t>8场以上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193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《法治明镜》每期收视人数</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《法治明镜》每期收视人数</w:t>
            </w:r>
            <w:r>
              <w:rPr>
                <w:rFonts w:hint="eastAsia" w:ascii="宋体" w:hAnsi="宋体" w:eastAsia="宋体" w:cs="宋体"/>
                <w:color w:val="000000" w:themeColor="text1"/>
                <w:sz w:val="16"/>
                <w:szCs w:val="16"/>
                <w:u w:val="none"/>
                <w:lang w:val="en-US" w:eastAsia="zh-CN" w:bidi="ar"/>
                <w14:textFill>
                  <w14:solidFill>
                    <w14:schemeClr w14:val="tx1"/>
                  </w14:solidFill>
                </w14:textFill>
              </w:rPr>
              <w:t>50万人以上</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《法治明镜》每期收视人数</w:t>
            </w:r>
            <w:r>
              <w:rPr>
                <w:rFonts w:hint="eastAsia" w:ascii="宋体" w:hAnsi="宋体" w:eastAsia="宋体" w:cs="宋体"/>
                <w:color w:val="000000" w:themeColor="text1"/>
                <w:sz w:val="16"/>
                <w:szCs w:val="16"/>
                <w:u w:val="none"/>
                <w:lang w:val="en-US" w:eastAsia="zh-CN" w:bidi="ar"/>
                <w14:textFill>
                  <w14:solidFill>
                    <w14:schemeClr w14:val="tx1"/>
                  </w14:solidFill>
                </w14:textFill>
              </w:rPr>
              <w:t>50万人以上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193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节目播出数量</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采制播出节目</w:t>
            </w:r>
            <w:r>
              <w:rPr>
                <w:rFonts w:hint="eastAsia" w:ascii="宋体" w:hAnsi="宋体" w:eastAsia="宋体" w:cs="宋体"/>
                <w:color w:val="000000" w:themeColor="text1"/>
                <w:sz w:val="16"/>
                <w:szCs w:val="16"/>
                <w:u w:val="none"/>
                <w:lang w:val="en-US" w:eastAsia="zh-CN" w:bidi="ar"/>
                <w14:textFill>
                  <w14:solidFill>
                    <w14:schemeClr w14:val="tx1"/>
                  </w14:solidFill>
                </w14:textFill>
              </w:rPr>
              <w:t>52期，重播节目104期</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color w:val="000000" w:themeColor="text1"/>
                <w:sz w:val="16"/>
                <w:szCs w:val="16"/>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采制播出节目</w:t>
            </w:r>
            <w:r>
              <w:rPr>
                <w:rFonts w:hint="eastAsia" w:ascii="宋体" w:hAnsi="宋体" w:eastAsia="宋体" w:cs="宋体"/>
                <w:color w:val="000000" w:themeColor="text1"/>
                <w:sz w:val="16"/>
                <w:szCs w:val="16"/>
                <w:u w:val="none"/>
                <w:lang w:val="en-US" w:eastAsia="zh-CN" w:bidi="ar"/>
                <w14:textFill>
                  <w14:solidFill>
                    <w14:schemeClr w14:val="tx1"/>
                  </w14:solidFill>
                </w14:textFill>
              </w:rPr>
              <w:t>52期，</w:t>
            </w:r>
          </w:p>
          <w:p>
            <w:pPr>
              <w:keepNext w:val="0"/>
              <w:keepLines w:val="0"/>
              <w:widowControl/>
              <w:suppressLineNumbers w:val="0"/>
              <w:jc w:val="both"/>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color w:val="000000" w:themeColor="text1"/>
                <w:sz w:val="16"/>
                <w:szCs w:val="16"/>
                <w:u w:val="none"/>
                <w:lang w:val="en-US" w:eastAsia="zh-CN" w:bidi="ar"/>
                <w14:textFill>
                  <w14:solidFill>
                    <w14:schemeClr w14:val="tx1"/>
                  </w14:solidFill>
                </w14:textFill>
              </w:rPr>
              <w:t>重播节目104期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93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时效指标</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完成</w:t>
            </w:r>
            <w:r>
              <w:rPr>
                <w:rFonts w:hint="eastAsia" w:ascii="宋体" w:hAnsi="宋体" w:eastAsia="宋体" w:cs="宋体"/>
                <w:color w:val="000000" w:themeColor="text1"/>
                <w:sz w:val="16"/>
                <w:szCs w:val="16"/>
                <w:u w:val="none"/>
                <w:lang w:val="en-US" w:eastAsia="zh-CN" w:bidi="ar"/>
                <w14:textFill>
                  <w14:solidFill>
                    <w14:schemeClr w14:val="tx1"/>
                  </w14:solidFill>
                </w14:textFill>
              </w:rPr>
              <w:t>12.4宪法宣传周启动仪式工作时间</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2021</w:t>
            </w:r>
            <w:r>
              <w:rPr>
                <w:rFonts w:hint="eastAsia" w:ascii="宋体" w:hAnsi="宋体" w:eastAsia="宋体" w:cs="宋体"/>
                <w:color w:val="000000" w:themeColor="text1"/>
                <w:sz w:val="16"/>
                <w:szCs w:val="16"/>
                <w:u w:val="none"/>
                <w:lang w:val="en-US" w:eastAsia="zh-CN" w:bidi="ar"/>
                <w14:textFill>
                  <w14:solidFill>
                    <w14:schemeClr w14:val="tx1"/>
                  </w14:solidFill>
                </w14:textFill>
              </w:rPr>
              <w:t>年12月31日前完成</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2021</w:t>
            </w:r>
            <w:r>
              <w:rPr>
                <w:rFonts w:hint="eastAsia" w:ascii="宋体" w:hAnsi="宋体" w:eastAsia="宋体" w:cs="宋体"/>
                <w:color w:val="000000" w:themeColor="text1"/>
                <w:sz w:val="16"/>
                <w:szCs w:val="16"/>
                <w:u w:val="none"/>
                <w:lang w:val="en-US" w:eastAsia="zh-CN" w:bidi="ar"/>
                <w14:textFill>
                  <w14:solidFill>
                    <w14:schemeClr w14:val="tx1"/>
                  </w14:solidFill>
                </w14:textFill>
              </w:rPr>
              <w:t>年12月31日前完成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93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效益</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社会效益指标</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落实普法责任</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有效推动省直有关部门落实“谁执法谁普法”普法责任</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有效推动省直有关部门落实“谁执法谁普法”</w:t>
            </w:r>
          </w:p>
          <w:p>
            <w:pPr>
              <w:keepNext w:val="0"/>
              <w:keepLines w:val="0"/>
              <w:widowControl/>
              <w:suppressLineNumbers w:val="0"/>
              <w:jc w:val="both"/>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普法责任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93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可持续影响指标</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法治教育</w:t>
            </w:r>
          </w:p>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覆盖面</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全省21个市州</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全省21个市州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0" w:hRule="atLeast"/>
          <w:jc w:val="center"/>
        </w:trPr>
        <w:tc>
          <w:tcPr>
            <w:tcW w:w="193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满意</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满意度指标</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普法宣传受众人群满意度</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普法宣传受众人群满意度达到90%</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普法宣传受众人群满意度达到90%</w:t>
            </w:r>
          </w:p>
        </w:tc>
      </w:tr>
    </w:tbl>
    <w:p>
      <w:pPr>
        <w:rPr>
          <w:color w:val="000000" w:themeColor="text1"/>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hanging="3890" w:hangingChars="1300"/>
        <w:jc w:val="center"/>
        <w:textAlignment w:val="cente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hanging="3890" w:hangingChars="1300"/>
        <w:jc w:val="center"/>
        <w:textAlignment w:val="cente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hanging="3890" w:hangingChars="1300"/>
        <w:jc w:val="center"/>
        <w:textAlignment w:val="cente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hanging="3890" w:hangingChars="1300"/>
        <w:jc w:val="center"/>
        <w:textAlignment w:val="cente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hanging="3890" w:hangingChars="1300"/>
        <w:jc w:val="center"/>
        <w:textAlignment w:val="center"/>
        <w:rPr>
          <w:rFonts w:hint="eastAsia" w:ascii="宋体" w:hAnsi="宋体" w:cs="宋体"/>
          <w:b/>
          <w:i w:val="0"/>
          <w:color w:val="000000" w:themeColor="text1"/>
          <w:spacing w:val="-11"/>
          <w:sz w:val="32"/>
          <w:szCs w:val="32"/>
          <w:highlight w:val="none"/>
          <w:u w:val="none"/>
          <w:lang w:val="en-US" w:eastAsia="zh-CN"/>
          <w14:textFill>
            <w14:solidFill>
              <w14:schemeClr w14:val="tx1"/>
            </w14:solidFill>
          </w14:textFill>
        </w:rPr>
      </w:pPr>
      <w: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t>2021年100万元以上（含）特定目标类部门预算项目绩效目标自评</w:t>
      </w: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val="0"/>
          <w:bCs/>
          <w:i w:val="0"/>
          <w:color w:val="000000" w:themeColor="text1"/>
          <w:sz w:val="32"/>
          <w:szCs w:val="32"/>
          <w:highlight w:val="none"/>
          <w:u w:val="none"/>
          <w:lang w:val="en-US" w:eastAsia="zh-CN"/>
          <w14:textFill>
            <w14:solidFill>
              <w14:schemeClr w14:val="tx1"/>
            </w14:solidFill>
          </w14:textFill>
        </w:rPr>
      </w:pPr>
      <w:r>
        <w:rPr>
          <w:rFonts w:hint="eastAsia" w:ascii="宋体" w:hAnsi="宋体" w:cs="宋体"/>
          <w:b w:val="0"/>
          <w:bCs/>
          <w:i w:val="0"/>
          <w:color w:val="000000" w:themeColor="text1"/>
          <w:sz w:val="32"/>
          <w:szCs w:val="32"/>
          <w:highlight w:val="none"/>
          <w:u w:val="none"/>
          <w:lang w:val="en-US" w:eastAsia="zh-CN"/>
          <w14:textFill>
            <w14:solidFill>
              <w14:schemeClr w14:val="tx1"/>
            </w14:solidFill>
          </w14:textFill>
        </w:rPr>
        <w:t>（法律援助经费）</w:t>
      </w:r>
    </w:p>
    <w:p>
      <w:pPr>
        <w:bidi w:val="0"/>
        <w:rPr>
          <w:color w:val="000000" w:themeColor="text1"/>
          <w14:textFill>
            <w14:solidFill>
              <w14:schemeClr w14:val="tx1"/>
            </w14:solidFill>
          </w14:textFill>
        </w:rPr>
      </w:pPr>
    </w:p>
    <w:tbl>
      <w:tblPr>
        <w:tblStyle w:val="14"/>
        <w:tblW w:w="1001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13"/>
        <w:gridCol w:w="1142"/>
        <w:gridCol w:w="1340"/>
        <w:gridCol w:w="1669"/>
        <w:gridCol w:w="1580"/>
        <w:gridCol w:w="2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4" w:hRule="atLeast"/>
          <w:jc w:val="center"/>
        </w:trPr>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主管部门及代码</w:t>
            </w:r>
          </w:p>
        </w:tc>
        <w:tc>
          <w:tcPr>
            <w:tcW w:w="3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四川省司法厅-207</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实施单位</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sz w:val="16"/>
                <w:szCs w:val="16"/>
                <w:highlight w:val="none"/>
                <w:u w:val="none"/>
                <w14:textFill>
                  <w14:solidFill>
                    <w14:schemeClr w14:val="tx1"/>
                  </w14:solidFill>
                </w14:textFill>
              </w:rPr>
              <w:t>四川省司法厅机关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jc w:val="center"/>
        </w:trPr>
        <w:tc>
          <w:tcPr>
            <w:tcW w:w="33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项目预算</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执行情况</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（万元）</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 xml:space="preserve"> 预算数：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650.00</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 xml:space="preserve"> 执行数：</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649.65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jc w:val="center"/>
        </w:trPr>
        <w:tc>
          <w:tcPr>
            <w:tcW w:w="33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财政拨款</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650.00</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财政拨款</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649.65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jc w:val="center"/>
        </w:trPr>
        <w:tc>
          <w:tcPr>
            <w:tcW w:w="33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其他资金</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其他资金</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7" w:hRule="atLeast"/>
          <w:jc w:val="center"/>
        </w:trPr>
        <w:tc>
          <w:tcPr>
            <w:tcW w:w="22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完成情况</w:t>
            </w:r>
          </w:p>
        </w:tc>
        <w:tc>
          <w:tcPr>
            <w:tcW w:w="41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预期目标</w:t>
            </w:r>
          </w:p>
        </w:tc>
        <w:tc>
          <w:tcPr>
            <w:tcW w:w="3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7" w:hRule="atLeast"/>
          <w:jc w:val="center"/>
        </w:trPr>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415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tabs>
                <w:tab w:val="left" w:pos="694"/>
              </w:tabs>
              <w:bidi w:val="0"/>
              <w:jc w:val="both"/>
              <w:rPr>
                <w:rFonts w:hint="eastAsia" w:ascii="宋体" w:hAnsi="宋体" w:eastAsia="宋体" w:cs="宋体"/>
                <w:color w:val="000000" w:themeColor="text1"/>
                <w:kern w:val="2"/>
                <w:sz w:val="16"/>
                <w:szCs w:val="16"/>
                <w:lang w:val="en-US" w:eastAsia="zh-CN" w:bidi="ar-SA"/>
                <w14:textFill>
                  <w14:solidFill>
                    <w14:schemeClr w14:val="tx1"/>
                  </w14:solidFill>
                </w14:textFill>
              </w:rPr>
            </w:pPr>
            <w:r>
              <w:rPr>
                <w:rFonts w:hint="eastAsia" w:ascii="宋体" w:hAnsi="宋体" w:eastAsia="宋体" w:cs="宋体"/>
                <w:color w:val="000000" w:themeColor="text1"/>
                <w:kern w:val="2"/>
                <w:sz w:val="16"/>
                <w:szCs w:val="16"/>
                <w:lang w:val="en-US" w:eastAsia="zh-CN" w:bidi="ar-SA"/>
                <w14:textFill>
                  <w14:solidFill>
                    <w14:schemeClr w14:val="tx1"/>
                  </w14:solidFill>
                </w14:textFill>
              </w:rPr>
              <w:t>2021年12月31日之前，法律援助中心完成办理法律援助案件1500件以上；提供咨询服务51000人次以上。</w:t>
            </w:r>
          </w:p>
        </w:tc>
        <w:tc>
          <w:tcPr>
            <w:tcW w:w="365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sz w:val="16"/>
                <w:szCs w:val="16"/>
                <w:highlight w:val="none"/>
                <w:u w:val="none"/>
                <w14:textFill>
                  <w14:solidFill>
                    <w14:schemeClr w14:val="tx1"/>
                  </w14:solidFill>
                </w14:textFill>
              </w:rPr>
              <w:t>2021年12月31日之前，法律援助中心完成办理法律援助案件1500件以上；提供咨询服务51000人次以上。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jc w:val="center"/>
        </w:trPr>
        <w:tc>
          <w:tcPr>
            <w:tcW w:w="221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预期指标值</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221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数量指标</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法律援助案件案件受理数</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法律援助案件受理数1500件以上</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法律援助案件受理数1500件以上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221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接待人次</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大厅接待咨询1000人次以上、四川法网解答咨询25000人次以上、中国法网解答咨询25000人次以上</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大厅接待咨询1000人次以上、四川法网解答咨询25000人次以上、中国法网解答咨询25000人次以上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221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质量指标</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保持较高的法律援助案件服务质量，受援群众投诉率</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投诉率不超过3%</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投诉率不超过3%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221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时效指标</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完成工作时间</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2021年12月31日以前完成年度目标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2021年12月31日以前完成年度目标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221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效益</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社会效益指标</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对社会的促进作用</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让老百姓打的起官司，解决群众的法律援助疑惑</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让老百姓打的起官司，解决群众的法律援助疑惑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221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可持续影响指标</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维权意识增强</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养成依靠法律解决纠纷的习惯</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养成依靠法律解决纠纷的习惯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221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运用法治手段解决矛盾纠纷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使法律成为老百姓的依靠</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使法律成为老百姓的依靠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0" w:hRule="atLeast"/>
          <w:jc w:val="center"/>
        </w:trPr>
        <w:tc>
          <w:tcPr>
            <w:tcW w:w="22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满意</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度指标</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满意度指标</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服务对象满意度指标</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受援群众满意度达到90%</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受援群众满意度达到90%</w:t>
            </w:r>
          </w:p>
        </w:tc>
      </w:tr>
    </w:tbl>
    <w:p>
      <w:pPr>
        <w:rPr>
          <w:color w:val="000000" w:themeColor="text1"/>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000000" w:themeColor="text1"/>
          <w:spacing w:val="-1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000000" w:themeColor="text1"/>
          <w:spacing w:val="-11"/>
          <w:sz w:val="32"/>
          <w:szCs w:val="32"/>
          <w:lang w:val="en-US" w:eastAsia="zh-CN"/>
          <w14:textFill>
            <w14:solidFill>
              <w14:schemeClr w14:val="tx1"/>
            </w14:solidFill>
          </w14:textFill>
        </w:rPr>
      </w:pPr>
      <w:r>
        <w:rPr>
          <w:rFonts w:hint="eastAsia" w:ascii="宋体" w:hAnsi="宋体" w:eastAsia="宋体" w:cs="宋体"/>
          <w:b/>
          <w:bCs/>
          <w:color w:val="000000" w:themeColor="text1"/>
          <w:spacing w:val="-11"/>
          <w:sz w:val="32"/>
          <w:szCs w:val="32"/>
          <w:lang w:val="en-US" w:eastAsia="zh-CN"/>
          <w14:textFill>
            <w14:solidFill>
              <w14:schemeClr w14:val="tx1"/>
            </w14:solidFill>
          </w14:textFill>
        </w:rPr>
        <w:t>2021年100万元以上（含）特定目标类部门预算项目绩效目标自评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（基层司法业务经费）</w:t>
      </w:r>
    </w:p>
    <w:p>
      <w:pPr>
        <w:bidi w:val="0"/>
        <w:rPr>
          <w:rFonts w:hint="eastAsia"/>
          <w:color w:val="000000" w:themeColor="text1"/>
          <w14:textFill>
            <w14:solidFill>
              <w14:schemeClr w14:val="tx1"/>
            </w14:solidFill>
          </w14:textFill>
        </w:rPr>
      </w:pPr>
    </w:p>
    <w:tbl>
      <w:tblPr>
        <w:tblStyle w:val="14"/>
        <w:tblW w:w="981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13"/>
        <w:gridCol w:w="1142"/>
        <w:gridCol w:w="1340"/>
        <w:gridCol w:w="1669"/>
        <w:gridCol w:w="1406"/>
        <w:gridCol w:w="20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4" w:hRule="atLeast"/>
          <w:jc w:val="center"/>
        </w:trPr>
        <w:tc>
          <w:tcPr>
            <w:tcW w:w="335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主管部门及代码</w:t>
            </w:r>
          </w:p>
        </w:tc>
        <w:tc>
          <w:tcPr>
            <w:tcW w:w="3009"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四川省司法厅-207</w:t>
            </w:r>
          </w:p>
        </w:tc>
        <w:tc>
          <w:tcPr>
            <w:tcW w:w="140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实施单位</w:t>
            </w:r>
          </w:p>
        </w:tc>
        <w:tc>
          <w:tcPr>
            <w:tcW w:w="20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sz w:val="16"/>
                <w:szCs w:val="16"/>
                <w:highlight w:val="none"/>
                <w:u w:val="none"/>
                <w14:textFill>
                  <w14:solidFill>
                    <w14:schemeClr w14:val="tx1"/>
                  </w14:solidFill>
                </w14:textFill>
              </w:rPr>
              <w:t>四川省司法厅机关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jc w:val="center"/>
        </w:trPr>
        <w:tc>
          <w:tcPr>
            <w:tcW w:w="335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项目预算</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执行情况</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（万元）</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 xml:space="preserve"> 预算数：</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495.00</w:t>
            </w:r>
          </w:p>
        </w:tc>
        <w:tc>
          <w:tcPr>
            <w:tcW w:w="14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 xml:space="preserve"> 执行数：</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487.40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jc w:val="center"/>
        </w:trPr>
        <w:tc>
          <w:tcPr>
            <w:tcW w:w="335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财政拨款</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495.00</w:t>
            </w:r>
          </w:p>
        </w:tc>
        <w:tc>
          <w:tcPr>
            <w:tcW w:w="14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财政拨款</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487.40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jc w:val="center"/>
        </w:trPr>
        <w:tc>
          <w:tcPr>
            <w:tcW w:w="335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其他资金</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4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其他资金</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7" w:hRule="atLeast"/>
          <w:jc w:val="center"/>
        </w:trPr>
        <w:tc>
          <w:tcPr>
            <w:tcW w:w="22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完成情况</w:t>
            </w:r>
          </w:p>
        </w:tc>
        <w:tc>
          <w:tcPr>
            <w:tcW w:w="41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预期目标</w:t>
            </w:r>
          </w:p>
        </w:tc>
        <w:tc>
          <w:tcPr>
            <w:tcW w:w="34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7" w:hRule="atLeast"/>
          <w:jc w:val="center"/>
        </w:trPr>
        <w:tc>
          <w:tcPr>
            <w:tcW w:w="22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4151"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color w:val="000000" w:themeColor="text1"/>
                <w:kern w:val="2"/>
                <w:sz w:val="16"/>
                <w:szCs w:val="16"/>
                <w:lang w:val="en-US" w:eastAsia="zh-CN" w:bidi="ar-SA"/>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组织开展全省“我最满意司法所”评选活动，开展司法所规范化建设成果宣传月活动，公共法律服务标准化规范化体系初步形成。</w:t>
            </w:r>
          </w:p>
        </w:tc>
        <w:tc>
          <w:tcPr>
            <w:tcW w:w="3449"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组织开展全省“我最满意司法所”评选活动，开展司法所规范化建设成果宣传月活动，公共法律服务标准化规范化体系初步形成。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jc w:val="center"/>
        </w:trPr>
        <w:tc>
          <w:tcPr>
            <w:tcW w:w="22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年度绩效指标完成情况</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4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预期指标值</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22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数量指标</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“我最满意司法所”评选数量。</w:t>
            </w:r>
          </w:p>
        </w:tc>
        <w:tc>
          <w:tcPr>
            <w:tcW w:w="14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拟评选司法所总数10%的“我最满意司法所”。</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拟评选司法所总数10%的“我最满意司法所”。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22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质量指标</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严把基层法律服务工作者入门关</w:t>
            </w:r>
          </w:p>
        </w:tc>
        <w:tc>
          <w:tcPr>
            <w:tcW w:w="14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提升基层法律服务执业能力和服务水平</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提升基层法律服务执业能力和服务水平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22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效益</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3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社会效益指标</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对社会的促进作用</w:t>
            </w:r>
          </w:p>
        </w:tc>
        <w:tc>
          <w:tcPr>
            <w:tcW w:w="14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依法据理为信访群众提供法律咨询，引导信访群众依法维护自身合法权益；创新律师参与民事案件纠纷调解，有效化解各类矛盾纠纷，维护当事人合法权益</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依法据理为信访群众提供法律咨询，引导信访群众依法维护自身合法权益；创新律师参与民事案件纠纷调解，有效化解各类矛盾纠纷，维护当事人合法权益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22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推动基层法治建设</w:t>
            </w:r>
          </w:p>
        </w:tc>
        <w:tc>
          <w:tcPr>
            <w:tcW w:w="14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人民群众对司法所建设的满意率显著提升。</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人民群众对司法所建设的满意率显著提升。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22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对社会促进作用</w:t>
            </w:r>
          </w:p>
        </w:tc>
        <w:tc>
          <w:tcPr>
            <w:tcW w:w="14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全面贯彻落实中办、国办《关于加快推进公共法律服务体系建设的意见》，推进形成公共法律服务规范高效开展的地方性法律依据，到2022年基本形成覆盖城乡、便捷高效、均等普惠的现代化公共法律服务体系。到2035年，基本形成与法治国家、法治政府、法治社会基本建成目标相适应的公共法律服务体系。全面提升人民群众的幸福高、获得感、安全感。</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全面贯彻落实中办、国办《关于加快推进公共法律服务体系建设的意见》，推进形成公共法律服务规范高效开展的地方性法律依据，到2022年基本形成覆盖城乡、便捷高效、均等普惠的现代化公共法律服务体系。到2035年，基本形成与法治国家、法治政府、法治社会基本建成目标相适应的公共法律服务体系。全面提升人民群众的幸福高、获得感、</w:t>
            </w:r>
          </w:p>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安全感。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2213" w:type="dxa"/>
            <w:vMerge w:val="continue"/>
            <w:tcBorders>
              <w:top w:val="single" w:color="auto" w:sz="4" w:space="0"/>
              <w:left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可持续影响指标</w:t>
            </w:r>
          </w:p>
        </w:tc>
        <w:tc>
          <w:tcPr>
            <w:tcW w:w="166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法治理念深入人心</w:t>
            </w:r>
          </w:p>
        </w:tc>
        <w:tc>
          <w:tcPr>
            <w:tcW w:w="140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促进人民群众依法依规解决法律问题，促进社会公平正义，维护社会和谐稳定</w:t>
            </w:r>
          </w:p>
        </w:tc>
        <w:tc>
          <w:tcPr>
            <w:tcW w:w="204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促进人民群众依法依规解决法律问题，促进社会公平正义，维护社会和</w:t>
            </w:r>
          </w:p>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谐稳定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0" w:hRule="atLeast"/>
          <w:jc w:val="center"/>
        </w:trPr>
        <w:tc>
          <w:tcPr>
            <w:tcW w:w="2213"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满意</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度指标</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满意度指标</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服务对象满意度</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服务对象满意度达到90%以上</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服务对象满意度达到90%以上</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jc w:val="center"/>
        <w:rPr>
          <w:rFonts w:hint="eastAsia" w:ascii="宋体" w:hAnsi="宋体" w:eastAsia="宋体" w:cs="宋体"/>
          <w:b/>
          <w:bCs/>
          <w:color w:val="000000" w:themeColor="text1"/>
          <w:spacing w:val="-1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000000" w:themeColor="text1"/>
          <w:spacing w:val="-11"/>
          <w:sz w:val="32"/>
          <w:szCs w:val="32"/>
          <w:lang w:val="en-US" w:eastAsia="zh-CN"/>
          <w14:textFill>
            <w14:solidFill>
              <w14:schemeClr w14:val="tx1"/>
            </w14:solidFill>
          </w14:textFill>
        </w:rPr>
      </w:pPr>
      <w:r>
        <w:rPr>
          <w:rFonts w:hint="eastAsia" w:ascii="宋体" w:hAnsi="宋体" w:eastAsia="宋体" w:cs="宋体"/>
          <w:b/>
          <w:bCs/>
          <w:color w:val="000000" w:themeColor="text1"/>
          <w:spacing w:val="-11"/>
          <w:sz w:val="32"/>
          <w:szCs w:val="32"/>
          <w:lang w:val="en-US" w:eastAsia="zh-CN"/>
          <w14:textFill>
            <w14:solidFill>
              <w14:schemeClr w14:val="tx1"/>
            </w14:solidFill>
          </w14:textFill>
        </w:rPr>
        <w:t>2021年100万元以上（含）特定目标类部门预算项目绩效目标自评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（法制建设）</w:t>
      </w:r>
    </w:p>
    <w:p>
      <w:pPr>
        <w:rPr>
          <w:rFonts w:hint="eastAsia"/>
          <w:color w:val="000000" w:themeColor="text1"/>
          <w14:textFill>
            <w14:solidFill>
              <w14:schemeClr w14:val="tx1"/>
            </w14:solidFill>
          </w14:textFill>
        </w:rPr>
      </w:pPr>
    </w:p>
    <w:tbl>
      <w:tblPr>
        <w:tblStyle w:val="14"/>
        <w:tblW w:w="981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13"/>
        <w:gridCol w:w="1142"/>
        <w:gridCol w:w="1385"/>
        <w:gridCol w:w="1335"/>
        <w:gridCol w:w="1925"/>
        <w:gridCol w:w="1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4" w:hRule="atLeast"/>
          <w:jc w:val="center"/>
        </w:trPr>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主管部门及代码</w:t>
            </w:r>
          </w:p>
        </w:tc>
        <w:tc>
          <w:tcPr>
            <w:tcW w:w="2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四川省司法厅-207</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实施单位</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sz w:val="16"/>
                <w:szCs w:val="16"/>
                <w:highlight w:val="none"/>
                <w:u w:val="none"/>
                <w14:textFill>
                  <w14:solidFill>
                    <w14:schemeClr w14:val="tx1"/>
                  </w14:solidFill>
                </w14:textFill>
              </w:rPr>
              <w:t>四川省司法厅机关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jc w:val="center"/>
        </w:trPr>
        <w:tc>
          <w:tcPr>
            <w:tcW w:w="33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项目预算</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执行情况</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（万元）</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 xml:space="preserve"> 预算数：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460.00</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 xml:space="preserve"> 执行数：</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369.66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jc w:val="center"/>
        </w:trPr>
        <w:tc>
          <w:tcPr>
            <w:tcW w:w="33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财政拨款</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460.00</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财政拨款</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369.66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jc w:val="center"/>
        </w:trPr>
        <w:tc>
          <w:tcPr>
            <w:tcW w:w="33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其他资金</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其他资金</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7" w:hRule="atLeast"/>
          <w:jc w:val="center"/>
        </w:trPr>
        <w:tc>
          <w:tcPr>
            <w:tcW w:w="22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完成情况</w:t>
            </w:r>
          </w:p>
        </w:tc>
        <w:tc>
          <w:tcPr>
            <w:tcW w:w="38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预期目标</w:t>
            </w:r>
          </w:p>
        </w:tc>
        <w:tc>
          <w:tcPr>
            <w:tcW w:w="3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7" w:hRule="atLeast"/>
          <w:jc w:val="center"/>
        </w:trPr>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38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color w:val="000000" w:themeColor="text1"/>
                <w:kern w:val="2"/>
                <w:sz w:val="16"/>
                <w:szCs w:val="16"/>
                <w:lang w:val="en-US" w:eastAsia="zh-CN" w:bidi="ar-SA"/>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开展法治领域课题研究，与中国社会科学院合作编辑发布年度《四川法治蓝皮书》，行政应诉购买服务，行政复议案件办理工作；通过依法治省法律顾问团，不断完善法律顾问制度，提升公共服务法治水平，借智借力做好依法治省工作。</w:t>
            </w:r>
          </w:p>
        </w:tc>
        <w:tc>
          <w:tcPr>
            <w:tcW w:w="3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开展法治领域课题研究，与中国社会科学院合作编辑发布年度《四川法治蓝皮书》，行政应诉购买服务，行政复议案件办理工作；通过依法治省法律顾问团，不断完善法律顾问制度，提升公共服务法治水平，借智借力做好依法治省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jc w:val="center"/>
        </w:trPr>
        <w:tc>
          <w:tcPr>
            <w:tcW w:w="221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预期指标值</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221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数量指标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行政应诉案件数量</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行政应诉案件受理率达到100%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行政应诉案件受理率达到100%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221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《四川法治蓝皮书》印制成书的数量</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印制成书850本左右，分送有关领导及各地各</w:t>
            </w:r>
          </w:p>
          <w:p>
            <w:pPr>
              <w:keepNext w:val="0"/>
              <w:keepLines w:val="0"/>
              <w:widowControl/>
              <w:suppressLineNumbers w:val="0"/>
              <w:jc w:val="both"/>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部门</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印制成书850本左右，分送有关领导及各地各部门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221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省委省政府法律顾问团邀请法律专家参与法治建设</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按2019年、2020年邀请法律专家情况，每年预计进行100人/次的法律</w:t>
            </w:r>
          </w:p>
          <w:p>
            <w:pPr>
              <w:keepNext w:val="0"/>
              <w:keepLines w:val="0"/>
              <w:widowControl/>
              <w:suppressLineNumbers w:val="0"/>
              <w:jc w:val="both"/>
              <w:textAlignment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服务。</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按2019年、2020年邀请法律专家情况，每年预计进行100人/次的法律服务。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221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时效指标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受理行政复议案件工作时间</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在法定时限内受理行政复议案件</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在法定时限内受理行政复议案件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221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效益</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社会效益指标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法治理念深入人心</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社会公众对依法治省工作知悉度、参与度更高，党政各部门对法治固根本稳预期利长远的保障性作用理解更深入。</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社会公众对依法治省工作知悉度、参与度更高，党政各部门对法治固根本稳预期利长远的保障性作用理解更深入。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221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可持续影响指标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激发理论研究热情</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通过理论成果的展示宣传，理论研究的热情更高，氛围更浓厚</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通过理论成果的展示宣传，理论研究的热情更高，氛围更浓厚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0" w:hRule="atLeast"/>
          <w:jc w:val="center"/>
        </w:trPr>
        <w:tc>
          <w:tcPr>
            <w:tcW w:w="22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满意</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度指标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满意度指标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应诉、复议当事人满意度</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应诉、复议当事人满意度90%以上</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应诉、复议当事人满意度90%以上</w:t>
            </w:r>
          </w:p>
        </w:tc>
      </w:tr>
    </w:tbl>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hanging="2088" w:hangingChars="1300"/>
        <w:jc w:val="center"/>
        <w:textAlignment w:val="center"/>
        <w:rPr>
          <w:rFonts w:hint="eastAsia" w:ascii="宋体" w:hAnsi="宋体" w:eastAsia="宋体" w:cs="宋体"/>
          <w:b/>
          <w:i w:val="0"/>
          <w:color w:val="000000" w:themeColor="text1"/>
          <w:sz w:val="16"/>
          <w:szCs w:val="16"/>
          <w:highlight w:val="none"/>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hanging="3890" w:hangingChars="1300"/>
        <w:jc w:val="center"/>
        <w:textAlignment w:val="cente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pPr>
      <w: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t>2021年100万元以上（含）特定目标类部门预算项目绩效目标自评</w:t>
      </w:r>
    </w:p>
    <w:p>
      <w:pPr>
        <w:jc w:val="center"/>
        <w:rPr>
          <w:rFonts w:hint="eastAsia" w:ascii="宋体" w:hAnsi="宋体" w:eastAsia="宋体" w:cs="宋体"/>
          <w:b w:val="0"/>
          <w:bCs/>
          <w:i w:val="0"/>
          <w:color w:val="000000" w:themeColor="text1"/>
          <w:sz w:val="32"/>
          <w:szCs w:val="32"/>
          <w:highlight w:val="none"/>
          <w:u w:val="none"/>
          <w:lang w:val="en-US" w:eastAsia="zh-CN"/>
          <w14:textFill>
            <w14:solidFill>
              <w14:schemeClr w14:val="tx1"/>
            </w14:solidFill>
          </w14:textFill>
        </w:rPr>
      </w:pPr>
      <w:r>
        <w:rPr>
          <w:rFonts w:hint="eastAsia" w:ascii="宋体" w:hAnsi="宋体" w:eastAsia="宋体" w:cs="宋体"/>
          <w:b w:val="0"/>
          <w:bCs/>
          <w:i w:val="0"/>
          <w:color w:val="000000" w:themeColor="text1"/>
          <w:sz w:val="32"/>
          <w:szCs w:val="32"/>
          <w:highlight w:val="none"/>
          <w:u w:val="none"/>
          <w:lang w:val="en-US" w:eastAsia="zh-CN"/>
          <w14:textFill>
            <w14:solidFill>
              <w14:schemeClr w14:val="tx1"/>
            </w14:solidFill>
          </w14:textFill>
        </w:rPr>
        <w:t>（统一行政执法证件）</w:t>
      </w:r>
    </w:p>
    <w:p>
      <w:pPr>
        <w:bidi w:val="0"/>
        <w:rPr>
          <w:color w:val="000000" w:themeColor="text1"/>
          <w14:textFill>
            <w14:solidFill>
              <w14:schemeClr w14:val="tx1"/>
            </w14:solidFill>
          </w14:textFill>
        </w:rPr>
      </w:pPr>
    </w:p>
    <w:tbl>
      <w:tblPr>
        <w:tblStyle w:val="14"/>
        <w:tblW w:w="991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13"/>
        <w:gridCol w:w="1142"/>
        <w:gridCol w:w="1385"/>
        <w:gridCol w:w="1335"/>
        <w:gridCol w:w="1925"/>
        <w:gridCol w:w="19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4" w:hRule="atLeast"/>
          <w:jc w:val="center"/>
        </w:trPr>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主管部门及代码</w:t>
            </w:r>
          </w:p>
        </w:tc>
        <w:tc>
          <w:tcPr>
            <w:tcW w:w="2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四川省司法厅-207</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实施单位</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sz w:val="16"/>
                <w:szCs w:val="16"/>
                <w:highlight w:val="none"/>
                <w:u w:val="none"/>
                <w14:textFill>
                  <w14:solidFill>
                    <w14:schemeClr w14:val="tx1"/>
                  </w14:solidFill>
                </w14:textFill>
              </w:rPr>
              <w:t>四川省司法厅机关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jc w:val="center"/>
        </w:trPr>
        <w:tc>
          <w:tcPr>
            <w:tcW w:w="33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项目预算</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执行情况</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（万元）</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 xml:space="preserve"> 预算数：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200.00</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 xml:space="preserve"> 执行数：</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173.33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jc w:val="center"/>
        </w:trPr>
        <w:tc>
          <w:tcPr>
            <w:tcW w:w="33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财政拨款</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200.00</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财政拨款</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173.33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jc w:val="center"/>
        </w:trPr>
        <w:tc>
          <w:tcPr>
            <w:tcW w:w="33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其他资金</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其他资金</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7" w:hRule="atLeast"/>
          <w:jc w:val="center"/>
        </w:trPr>
        <w:tc>
          <w:tcPr>
            <w:tcW w:w="22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完成情况</w:t>
            </w:r>
          </w:p>
        </w:tc>
        <w:tc>
          <w:tcPr>
            <w:tcW w:w="38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预期目标</w:t>
            </w:r>
          </w:p>
        </w:tc>
        <w:tc>
          <w:tcPr>
            <w:tcW w:w="3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7" w:hRule="atLeast"/>
          <w:jc w:val="center"/>
        </w:trPr>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386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color w:val="000000" w:themeColor="text1"/>
                <w:kern w:val="2"/>
                <w:sz w:val="16"/>
                <w:szCs w:val="16"/>
                <w:lang w:val="en-US" w:eastAsia="zh-CN" w:bidi="ar-SA"/>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根据司法部办公厅《关于公布全国统一行政执法证件标准样式的通知（征求意见稿）》要求全国各省应在2022年底前按照《标准样式》完成行政执法证件换发工作，我省目前有16万执法人员，按照两年内完成换发红字，执法证费用30元/证，30元/证*16万证=480万，分年度执行支付，2022年底按照《标准样式》，完成行政执法证件换发工作。</w:t>
            </w:r>
          </w:p>
        </w:tc>
        <w:tc>
          <w:tcPr>
            <w:tcW w:w="384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根据司法部办公厅《关于公布全国统一行政执法证件标准样式的通知（征求意见稿）》要求全国各省应在2022年底前按照《标准样式》完成行政执法证件换发工作，我省目前有16万执法人员，按照两年内完成换发红字，执法证费用30元/证，30元/证*16万证=480万，分年度执行支付，2022年底按照《标准样式》，完成行政执法证件换发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jc w:val="center"/>
        </w:trPr>
        <w:tc>
          <w:tcPr>
            <w:tcW w:w="221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预期指标值</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221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数量指标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全省行政执法人员人数</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全省行政执法人员16万</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全省行政执法人员16万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221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完成换证数量</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力争完成换证数量达到</w:t>
            </w:r>
          </w:p>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5万个</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力争完成换证数量</w:t>
            </w:r>
          </w:p>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达到5万个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221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质量指标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按照司法部行政执法证件标准样式完成换证工作</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所换证件达到司法部行政执法证件标准样式</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所换证件达到司法部行政执法证件标准样式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221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效益</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社会效益指标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对社会的促进作用</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提升行政执法规范化、标准化水平，促进严格规范公正文明执法</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提升行政执法规范化、标准化水平，促进严格规范公正文明执法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221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可持续影响指标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行政执法主体规范行权</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全省21个市州、183个县，1.5万余执法主体规范行权</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全省21个市州、183个县，1.5万余执法主体规范行权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0" w:hRule="atLeast"/>
          <w:jc w:val="center"/>
        </w:trPr>
        <w:tc>
          <w:tcPr>
            <w:tcW w:w="22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行政执法人员规范执法</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全省16万余名执法人员规范执法</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全省16万余名执法人员规范执法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0" w:hRule="atLeast"/>
          <w:jc w:val="center"/>
        </w:trPr>
        <w:tc>
          <w:tcPr>
            <w:tcW w:w="22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满意</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度指标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满意度指标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服务对象满意度指标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服务对象满意度达到80%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服务对象满意度达到80%</w:t>
            </w:r>
          </w:p>
        </w:tc>
      </w:tr>
    </w:tbl>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hanging="4176" w:hangingChars="1300"/>
        <w:jc w:val="center"/>
        <w:textAlignment w:val="center"/>
        <w:rPr>
          <w:rFonts w:hint="eastAsia" w:ascii="宋体" w:hAnsi="宋体" w:eastAsia="宋体" w:cs="宋体"/>
          <w:b/>
          <w:i w:val="0"/>
          <w:color w:val="000000" w:themeColor="text1"/>
          <w:sz w:val="32"/>
          <w:szCs w:val="32"/>
          <w:highlight w:val="none"/>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hanging="3890" w:hangingChars="1300"/>
        <w:jc w:val="center"/>
        <w:textAlignment w:val="cente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hanging="3890" w:hangingChars="1300"/>
        <w:jc w:val="center"/>
        <w:textAlignment w:val="center"/>
        <w:rPr>
          <w:rFonts w:hint="eastAsia" w:ascii="宋体" w:hAnsi="宋体" w:cs="宋体"/>
          <w:b/>
          <w:i w:val="0"/>
          <w:color w:val="000000" w:themeColor="text1"/>
          <w:spacing w:val="-11"/>
          <w:sz w:val="32"/>
          <w:szCs w:val="32"/>
          <w:highlight w:val="none"/>
          <w:u w:val="none"/>
          <w:lang w:val="en-US" w:eastAsia="zh-CN"/>
          <w14:textFill>
            <w14:solidFill>
              <w14:schemeClr w14:val="tx1"/>
            </w14:solidFill>
          </w14:textFill>
        </w:rPr>
      </w:pPr>
      <w: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t>2021年100万元以上（含）特定目标类部门预算项目绩效目标自评</w:t>
      </w: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val="0"/>
          <w:bCs/>
          <w:i w:val="0"/>
          <w:color w:val="000000" w:themeColor="text1"/>
          <w:sz w:val="32"/>
          <w:szCs w:val="32"/>
          <w:highlight w:val="none"/>
          <w:u w:val="none"/>
          <w:lang w:val="en-US" w:eastAsia="zh-CN"/>
          <w14:textFill>
            <w14:solidFill>
              <w14:schemeClr w14:val="tx1"/>
            </w14:solidFill>
          </w14:textFill>
        </w:rPr>
      </w:pPr>
      <w:r>
        <w:rPr>
          <w:rFonts w:hint="eastAsia" w:ascii="宋体" w:hAnsi="宋体" w:cs="宋体"/>
          <w:b w:val="0"/>
          <w:bCs/>
          <w:i w:val="0"/>
          <w:color w:val="000000" w:themeColor="text1"/>
          <w:sz w:val="32"/>
          <w:szCs w:val="32"/>
          <w:highlight w:val="none"/>
          <w:u w:val="none"/>
          <w:lang w:val="en-US" w:eastAsia="zh-CN"/>
          <w14:textFill>
            <w14:solidFill>
              <w14:schemeClr w14:val="tx1"/>
            </w14:solidFill>
          </w14:textFill>
        </w:rPr>
        <w:t>（依法治县示范试点）</w:t>
      </w:r>
    </w:p>
    <w:p>
      <w:pPr>
        <w:bidi w:val="0"/>
        <w:rPr>
          <w:color w:val="000000" w:themeColor="text1"/>
          <w14:textFill>
            <w14:solidFill>
              <w14:schemeClr w14:val="tx1"/>
            </w14:solidFill>
          </w14:textFill>
        </w:rPr>
      </w:pPr>
    </w:p>
    <w:tbl>
      <w:tblPr>
        <w:tblStyle w:val="14"/>
        <w:tblW w:w="981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13"/>
        <w:gridCol w:w="1142"/>
        <w:gridCol w:w="1385"/>
        <w:gridCol w:w="1335"/>
        <w:gridCol w:w="1925"/>
        <w:gridCol w:w="1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4" w:hRule="atLeast"/>
          <w:jc w:val="center"/>
        </w:trPr>
        <w:tc>
          <w:tcPr>
            <w:tcW w:w="33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主管部门及代码</w:t>
            </w:r>
          </w:p>
        </w:tc>
        <w:tc>
          <w:tcPr>
            <w:tcW w:w="2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四川省司法厅-207</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实施单位</w:t>
            </w: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sz w:val="16"/>
                <w:szCs w:val="16"/>
                <w:highlight w:val="none"/>
                <w:u w:val="none"/>
                <w14:textFill>
                  <w14:solidFill>
                    <w14:schemeClr w14:val="tx1"/>
                  </w14:solidFill>
                </w14:textFill>
              </w:rPr>
              <w:t>四川省司法厅机关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jc w:val="center"/>
        </w:trPr>
        <w:tc>
          <w:tcPr>
            <w:tcW w:w="335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项目预算</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执行情况</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（万元）</w:t>
            </w: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 xml:space="preserve"> 预算数：</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490.00</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 xml:space="preserve"> 执行数：</w:t>
            </w: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386.86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jc w:val="center"/>
        </w:trPr>
        <w:tc>
          <w:tcPr>
            <w:tcW w:w="335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财政拨款</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490.00</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财政拨款</w:t>
            </w: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386.86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jc w:val="center"/>
        </w:trPr>
        <w:tc>
          <w:tcPr>
            <w:tcW w:w="335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其他资金</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其他资金</w:t>
            </w: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7" w:hRule="atLeast"/>
          <w:jc w:val="center"/>
        </w:trPr>
        <w:tc>
          <w:tcPr>
            <w:tcW w:w="22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完成情况</w:t>
            </w:r>
          </w:p>
        </w:tc>
        <w:tc>
          <w:tcPr>
            <w:tcW w:w="38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预期目标</w:t>
            </w:r>
          </w:p>
        </w:tc>
        <w:tc>
          <w:tcPr>
            <w:tcW w:w="3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7" w:hRule="atLeast"/>
          <w:jc w:val="center"/>
        </w:trPr>
        <w:tc>
          <w:tcPr>
            <w:tcW w:w="22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38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color w:val="000000" w:themeColor="text1"/>
                <w:kern w:val="2"/>
                <w:sz w:val="16"/>
                <w:szCs w:val="16"/>
                <w:lang w:val="en-US" w:eastAsia="zh-CN" w:bidi="ar-SA"/>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开展全面依法治县示范试点暨示范推动解决法治建设八个具体问题有关工作，是省委和省委全面依法治省委员会站在治蜀兴川全局作出的一项重要部署。9月29日省委邓小刚副书记在示范试点动员部署会上做出指示，省委依法治省办计划开展依法治县示范试点及法治建设八个具体问题研究、工作推动及工作总结。</w:t>
            </w:r>
          </w:p>
        </w:tc>
        <w:tc>
          <w:tcPr>
            <w:tcW w:w="3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开展全面依法治县示范试点暨示范推动解决法治建设八个具体问题有关工作，是省委和省委全面依法治省委员会站在治蜀兴川全局作出的一项重要部署。9月29日省委邓小刚副书记在示范试点动员部署会上做出指示，省委依法治省办计划开展依法治县示范试点及法治建设八个具体问题研究、工作推动及工作总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jc w:val="center"/>
        </w:trPr>
        <w:tc>
          <w:tcPr>
            <w:tcW w:w="22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年度绩效指标完成情况</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预期指标值</w:t>
            </w: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22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数量指标</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中期工作推进现场推进会召开次数</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召开1次中期工作推进现场推进会，拟邀请14位省级领导，相关市州及省直部门负责同志参会。</w:t>
            </w: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召开1次中期工作推进现场推进会，拟邀请14位省级领导，相关市州及省直部门负责同志参会。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22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研讨会召开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次数</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召开1次研讨会，拟邀请中央依法治国办领导、8名左右省内外知名法学专家对示范试点相关工作开展理论研讨</w:t>
            </w: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召开1次研讨会，拟邀请中央依法治国办领导、8名左右省内外知名法学专家对示范试点相关工作开展理论研讨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22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院校专家团队数量</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由四川大学等7个院校专家团队，14个律师团队联系指导示范试点县。</w:t>
            </w: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由四川大学等7个院校专家团队，14个律师团队联系指导示范试点县。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0" w:hRule="atLeast"/>
          <w:jc w:val="center"/>
        </w:trPr>
        <w:tc>
          <w:tcPr>
            <w:tcW w:w="22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时效指标</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专项工作完成时间</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2021年12月31日以前完成工作</w:t>
            </w: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2021年12月31日以前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jc w:val="center"/>
        </w:trPr>
        <w:tc>
          <w:tcPr>
            <w:tcW w:w="22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到示范试点县开展驻在式指导调研时间</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到示范试点县开展驻在式指导调研不低于</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120天</w:t>
            </w: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到示范试点县开展驻在式指导调研不低于120天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22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效益</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社会效益指标</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夯实法治基础，提高人民群众法治获得感。</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通过示范试点的创建工作，实现依法治国理念深入人心；法治基础进一步夯实，人民群众法治意识和法治获得感进一步增强；党委政府运用法治思维和法治方式抓改革发展稳定的意识和</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能力提升。</w:t>
            </w: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通过示范试点的创建工作，实现依法治国理念深入人心；法治基础进一步夯实，人民群众法治意识和法治获得感进一步增强；党委政府运用法治思维和法治方式抓改革发展稳定的意识和能力提升。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22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可持续影响指标</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行政执法主体规范行权</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全省21个市州、183个县，1.5万余执法主体规范行权</w:t>
            </w: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全省21个市州、183个县，1.5万余执法主体规范行权</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hanging="3890" w:hangingChars="1300"/>
        <w:jc w:val="center"/>
        <w:textAlignment w:val="cente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hanging="3890" w:hangingChars="1300"/>
        <w:jc w:val="center"/>
        <w:textAlignment w:val="cente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hanging="3890" w:hangingChars="1300"/>
        <w:jc w:val="center"/>
        <w:textAlignment w:val="cente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hanging="3890" w:hangingChars="1300"/>
        <w:jc w:val="center"/>
        <w:textAlignment w:val="cente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hanging="3890" w:hangingChars="1300"/>
        <w:jc w:val="center"/>
        <w:textAlignment w:val="cente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hanging="3890" w:hangingChars="1300"/>
        <w:jc w:val="center"/>
        <w:textAlignment w:val="cente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hanging="3890" w:hangingChars="1300"/>
        <w:jc w:val="center"/>
        <w:textAlignment w:val="cente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hanging="3890" w:hangingChars="1300"/>
        <w:jc w:val="center"/>
        <w:textAlignment w:val="cente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hanging="3890" w:hangingChars="1300"/>
        <w:jc w:val="center"/>
        <w:textAlignment w:val="cente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hanging="3890" w:hangingChars="1300"/>
        <w:jc w:val="center"/>
        <w:textAlignment w:val="cente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hanging="3890" w:hangingChars="1300"/>
        <w:jc w:val="center"/>
        <w:textAlignment w:val="cente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hanging="3890" w:hangingChars="1300"/>
        <w:jc w:val="center"/>
        <w:textAlignment w:val="cente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hanging="3890" w:hangingChars="1300"/>
        <w:jc w:val="center"/>
        <w:textAlignment w:val="center"/>
        <w:rPr>
          <w:rFonts w:hint="eastAsia" w:ascii="宋体" w:hAnsi="宋体" w:cs="宋体"/>
          <w:b/>
          <w:i w:val="0"/>
          <w:color w:val="000000" w:themeColor="text1"/>
          <w:spacing w:val="-11"/>
          <w:sz w:val="32"/>
          <w:szCs w:val="32"/>
          <w:highlight w:val="none"/>
          <w:u w:val="none"/>
          <w:lang w:val="en-US" w:eastAsia="zh-CN"/>
          <w14:textFill>
            <w14:solidFill>
              <w14:schemeClr w14:val="tx1"/>
            </w14:solidFill>
          </w14:textFill>
        </w:rPr>
      </w:pPr>
      <w: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t>2021年100万元以上（含）特定目标类部门预算项目绩效目标自评</w:t>
      </w: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val="0"/>
          <w:bCs/>
          <w:i w:val="0"/>
          <w:color w:val="000000" w:themeColor="text1"/>
          <w:sz w:val="32"/>
          <w:szCs w:val="32"/>
          <w:highlight w:val="none"/>
          <w:u w:val="none"/>
          <w:lang w:val="en-US" w:eastAsia="zh-CN"/>
          <w14:textFill>
            <w14:solidFill>
              <w14:schemeClr w14:val="tx1"/>
            </w14:solidFill>
          </w14:textFill>
        </w:rPr>
      </w:pPr>
      <w:r>
        <w:rPr>
          <w:rFonts w:hint="eastAsia" w:ascii="宋体" w:hAnsi="宋体" w:cs="宋体"/>
          <w:b w:val="0"/>
          <w:bCs/>
          <w:i w:val="0"/>
          <w:color w:val="000000" w:themeColor="text1"/>
          <w:sz w:val="32"/>
          <w:szCs w:val="32"/>
          <w:highlight w:val="none"/>
          <w:u w:val="none"/>
          <w:lang w:val="en-US" w:eastAsia="zh-CN"/>
          <w14:textFill>
            <w14:solidFill>
              <w14:schemeClr w14:val="tx1"/>
            </w14:solidFill>
          </w14:textFill>
        </w:rPr>
        <w:t>（政法队伍教育整顿）</w:t>
      </w:r>
    </w:p>
    <w:p>
      <w:pPr>
        <w:bidi w:val="0"/>
        <w:rPr>
          <w:color w:val="000000" w:themeColor="text1"/>
          <w14:textFill>
            <w14:solidFill>
              <w14:schemeClr w14:val="tx1"/>
            </w14:solidFill>
          </w14:textFill>
        </w:rPr>
      </w:pPr>
    </w:p>
    <w:tbl>
      <w:tblPr>
        <w:tblStyle w:val="14"/>
        <w:tblW w:w="981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13"/>
        <w:gridCol w:w="1142"/>
        <w:gridCol w:w="1385"/>
        <w:gridCol w:w="1335"/>
        <w:gridCol w:w="1695"/>
        <w:gridCol w:w="20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4" w:hRule="atLeast"/>
          <w:jc w:val="center"/>
        </w:trPr>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主管部门及代码</w:t>
            </w:r>
          </w:p>
        </w:tc>
        <w:tc>
          <w:tcPr>
            <w:tcW w:w="2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四川省司法厅-207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实施单位</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sz w:val="16"/>
                <w:szCs w:val="16"/>
                <w:highlight w:val="none"/>
                <w:u w:val="none"/>
                <w14:textFill>
                  <w14:solidFill>
                    <w14:schemeClr w14:val="tx1"/>
                  </w14:solidFill>
                </w14:textFill>
              </w:rPr>
              <w:t>四川省司法厅机关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jc w:val="center"/>
        </w:trPr>
        <w:tc>
          <w:tcPr>
            <w:tcW w:w="33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项目预算</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执行情况</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（万元）</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 xml:space="preserve"> 预算数：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300.00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 xml:space="preserve"> 执行数：</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294.02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jc w:val="center"/>
        </w:trPr>
        <w:tc>
          <w:tcPr>
            <w:tcW w:w="33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财政拨款</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300.00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财政拨款</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294.02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jc w:val="center"/>
        </w:trPr>
        <w:tc>
          <w:tcPr>
            <w:tcW w:w="33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其他资金</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其他资金</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7" w:hRule="atLeast"/>
          <w:jc w:val="center"/>
        </w:trPr>
        <w:tc>
          <w:tcPr>
            <w:tcW w:w="22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完成情况</w:t>
            </w:r>
          </w:p>
        </w:tc>
        <w:tc>
          <w:tcPr>
            <w:tcW w:w="38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预期目标</w:t>
            </w:r>
          </w:p>
        </w:tc>
        <w:tc>
          <w:tcPr>
            <w:tcW w:w="3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7" w:hRule="atLeast"/>
          <w:jc w:val="center"/>
        </w:trPr>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38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color w:val="000000" w:themeColor="text1"/>
                <w:kern w:val="2"/>
                <w:sz w:val="16"/>
                <w:szCs w:val="16"/>
                <w:lang w:val="en-US" w:eastAsia="zh-CN" w:bidi="ar-SA"/>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按照中政委统一部署，2021年确保系统内政法队伍教育整顿工作顺利开展。</w:t>
            </w:r>
          </w:p>
        </w:tc>
        <w:tc>
          <w:tcPr>
            <w:tcW w:w="3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按照中政委统一部署，2021年确保系统内政法队伍教育整顿工作顺利开展。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jc w:val="center"/>
        </w:trPr>
        <w:tc>
          <w:tcPr>
            <w:tcW w:w="221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预期指标值</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221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数量指标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教育整顿工作专班参与人数</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组建“工作专班”15人（省本级5人，本系统10人）</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组建“工作专班”15人（省本级5人，本系统10人）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221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成立教育整顿工作指导组</w:t>
            </w:r>
          </w:p>
          <w:p>
            <w:pPr>
              <w:keepNext w:val="0"/>
              <w:keepLines w:val="0"/>
              <w:widowControl/>
              <w:suppressLineNumbers w:val="0"/>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数量</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预计选派12个工作指导组，每个组8位成员</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预计选派12个工作指导组，每个组8位成员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221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时效指标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完成时间</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2021年12月31日以前完成年度工作计划</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2021年12月31日以前完成年度工作计划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221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效益</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社会效益指标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专项教育整顿活动覆盖面</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对全省司法行政系统队伍教育整顿工作进行全面指导，包括四川司法警官职业学院、全省21个市（州）司法局、183个县（区）司法局、全省监狱和强制隔离戒毒所</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对全省司法行政系统队伍教育整顿工作进行全面指导，包括四川司法警官职业学院、全省21个市（州）司法局、183个县（区）司法局、全省监狱和强制隔离戒毒所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2" w:hRule="atLeast"/>
          <w:jc w:val="center"/>
        </w:trPr>
        <w:tc>
          <w:tcPr>
            <w:tcW w:w="22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满意</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度指标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满意度指标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学习教育受众人群满意度</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学习教育受众人群满意度达到90%以上</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学习教育受众人群满意度达到90%以上</w:t>
            </w:r>
          </w:p>
        </w:tc>
      </w:tr>
    </w:tbl>
    <w:p>
      <w:pPr>
        <w:rPr>
          <w:color w:val="000000" w:themeColor="text1"/>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jc w:val="center"/>
        <w:textAlignment w:val="cente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jc w:val="center"/>
        <w:textAlignment w:val="cente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jc w:val="center"/>
        <w:textAlignment w:val="cente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jc w:val="center"/>
        <w:textAlignment w:val="cente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jc w:val="center"/>
        <w:textAlignment w:val="cente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pPr>
      <w: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t>2021年100万元以上（含）特定目标类部门预算项目绩效目标自评</w:t>
      </w: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val="0"/>
          <w:bCs/>
          <w:i w:val="0"/>
          <w:color w:val="000000" w:themeColor="text1"/>
          <w:sz w:val="32"/>
          <w:szCs w:val="32"/>
          <w:highlight w:val="none"/>
          <w:u w:val="none"/>
          <w:lang w:val="en-US" w:eastAsia="zh-CN"/>
          <w14:textFill>
            <w14:solidFill>
              <w14:schemeClr w14:val="tx1"/>
            </w14:solidFill>
          </w14:textFill>
        </w:rPr>
      </w:pPr>
      <w:r>
        <w:rPr>
          <w:rFonts w:hint="eastAsia" w:ascii="宋体" w:hAnsi="宋体" w:cs="宋体"/>
          <w:b w:val="0"/>
          <w:bCs/>
          <w:i w:val="0"/>
          <w:color w:val="000000" w:themeColor="text1"/>
          <w:sz w:val="32"/>
          <w:szCs w:val="32"/>
          <w:highlight w:val="none"/>
          <w:u w:val="none"/>
          <w:lang w:val="en-US" w:eastAsia="zh-CN"/>
          <w14:textFill>
            <w14:solidFill>
              <w14:schemeClr w14:val="tx1"/>
            </w14:solidFill>
          </w14:textFill>
        </w:rPr>
        <w:t>（学习宣传习近平法治思想）</w:t>
      </w:r>
    </w:p>
    <w:p>
      <w:pPr>
        <w:bidi w:val="0"/>
        <w:rPr>
          <w:color w:val="000000" w:themeColor="text1"/>
          <w14:textFill>
            <w14:solidFill>
              <w14:schemeClr w14:val="tx1"/>
            </w14:solidFill>
          </w14:textFill>
        </w:rPr>
      </w:pPr>
    </w:p>
    <w:tbl>
      <w:tblPr>
        <w:tblStyle w:val="14"/>
        <w:tblW w:w="981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13"/>
        <w:gridCol w:w="1142"/>
        <w:gridCol w:w="1385"/>
        <w:gridCol w:w="1335"/>
        <w:gridCol w:w="1695"/>
        <w:gridCol w:w="20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4" w:hRule="atLeast"/>
          <w:jc w:val="center"/>
        </w:trPr>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主管部门及代码</w:t>
            </w:r>
          </w:p>
        </w:tc>
        <w:tc>
          <w:tcPr>
            <w:tcW w:w="2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四川省司法厅-207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实施单位</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sz w:val="16"/>
                <w:szCs w:val="16"/>
                <w:highlight w:val="none"/>
                <w:u w:val="none"/>
                <w14:textFill>
                  <w14:solidFill>
                    <w14:schemeClr w14:val="tx1"/>
                  </w14:solidFill>
                </w14:textFill>
              </w:rPr>
              <w:t>四川省司法厅机关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jc w:val="center"/>
        </w:trPr>
        <w:tc>
          <w:tcPr>
            <w:tcW w:w="33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项目预算</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执行情况</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（万元）</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 xml:space="preserve"> 预算数：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100.00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 xml:space="preserve"> 执行数：</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jc w:val="center"/>
        </w:trPr>
        <w:tc>
          <w:tcPr>
            <w:tcW w:w="33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财政拨款</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100.00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财政拨款</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jc w:val="center"/>
        </w:trPr>
        <w:tc>
          <w:tcPr>
            <w:tcW w:w="33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其他资金</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其他资金</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7" w:hRule="atLeast"/>
          <w:jc w:val="center"/>
        </w:trPr>
        <w:tc>
          <w:tcPr>
            <w:tcW w:w="22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完成情况</w:t>
            </w:r>
          </w:p>
        </w:tc>
        <w:tc>
          <w:tcPr>
            <w:tcW w:w="38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预期目标</w:t>
            </w:r>
          </w:p>
        </w:tc>
        <w:tc>
          <w:tcPr>
            <w:tcW w:w="3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7" w:hRule="atLeast"/>
          <w:jc w:val="center"/>
        </w:trPr>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386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color w:val="000000" w:themeColor="text1"/>
                <w:kern w:val="2"/>
                <w:sz w:val="16"/>
                <w:szCs w:val="16"/>
                <w:lang w:val="en-US" w:eastAsia="zh-CN" w:bidi="ar-SA"/>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综合运用各类媒体手段和平台，发挥好各类基层普法阵地作用，推动习近平法治思想学习宣传贯彻向面上拓展、向基层延伸、向群众贴近，生动展现全省各地各部门以习近平法治思想武装头脑、指导实践、推动工作的积极探索和显著成效，为全面建设社会主义现代化四川提供有力法治保障。</w:t>
            </w:r>
          </w:p>
        </w:tc>
        <w:tc>
          <w:tcPr>
            <w:tcW w:w="373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综合运用各类媒体手段和平台，发挥好各类基层普法阵地作用，推动习近平法治思想学习宣传贯彻向面上拓展、向基层延伸、向群众贴近，生动展现全省各地各部门以习近平法治思想武装头脑、指导实践、推动工作的积极探索和显著成效，为全面建设社会主义现代化四川提供有力法治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jc w:val="center"/>
        </w:trPr>
        <w:tc>
          <w:tcPr>
            <w:tcW w:w="221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预期指标值</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221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数量指标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宣传覆盖人数大于</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公益广告覆盖人数≧3000万人</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公益广告覆盖人数≧3000万人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221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公益广告条数不少于</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公益广告条数不少于10条</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公益广告条数不少于10条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221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时效指标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完成该项工作时间</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2021年12月31日前完成</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2021年12月31日前完成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32" w:hRule="atLeast"/>
          <w:jc w:val="center"/>
        </w:trPr>
        <w:tc>
          <w:tcPr>
            <w:tcW w:w="221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效益</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社会效益指标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对社会的促进作用</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按照习近平总书记“十一个坚持”要求，坚决贯彻落实党中央关于全面依法治国的重大决策部署，坚定不移走中国特色社会主义法治道路。</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按照习近平总书记“十一个坚持”要求，坚决贯彻落实党中央关于全面依法治国的重大决策部署，坚定不移走中国特色社会主义法治道路。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9" w:hRule="atLeast"/>
          <w:jc w:val="center"/>
        </w:trPr>
        <w:tc>
          <w:tcPr>
            <w:tcW w:w="22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可持续影响指标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公益广告投放影响面</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确保习近平法治思想家喻户晓、深入人心。</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确保习近平法治思想家喻户晓、深入人心。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2" w:hRule="atLeast"/>
          <w:jc w:val="center"/>
        </w:trPr>
        <w:tc>
          <w:tcPr>
            <w:tcW w:w="22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满意</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度指标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满意度指标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广告受众群体满意度</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广告受众群体满意度达到95%</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广告受众群体满意度达到95%</w:t>
            </w:r>
          </w:p>
        </w:tc>
      </w:tr>
    </w:tbl>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4176" w:hanging="4176" w:hangingChars="1300"/>
        <w:jc w:val="center"/>
        <w:textAlignment w:val="center"/>
        <w:rPr>
          <w:rFonts w:hint="eastAsia" w:ascii="宋体" w:hAnsi="宋体" w:eastAsia="宋体" w:cs="宋体"/>
          <w:b/>
          <w:i w:val="0"/>
          <w:color w:val="000000" w:themeColor="text1"/>
          <w:sz w:val="32"/>
          <w:szCs w:val="32"/>
          <w:highlight w:val="none"/>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4176" w:hanging="4176" w:hangingChars="1300"/>
        <w:jc w:val="center"/>
        <w:textAlignment w:val="center"/>
        <w:rPr>
          <w:rFonts w:hint="eastAsia" w:ascii="宋体" w:hAnsi="宋体" w:eastAsia="宋体" w:cs="宋体"/>
          <w:b/>
          <w:i w:val="0"/>
          <w:color w:val="000000" w:themeColor="text1"/>
          <w:sz w:val="32"/>
          <w:szCs w:val="32"/>
          <w:highlight w:val="none"/>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jc w:val="center"/>
        <w:textAlignment w:val="cente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pPr>
      <w: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t>2021年100万元以上（含）特定目标类部门预算项目绩效目标自评</w:t>
      </w: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val="0"/>
          <w:bCs/>
          <w:i w:val="0"/>
          <w:color w:val="000000" w:themeColor="text1"/>
          <w:sz w:val="32"/>
          <w:szCs w:val="32"/>
          <w:highlight w:val="none"/>
          <w:u w:val="none"/>
          <w:lang w:val="en-US" w:eastAsia="zh-CN"/>
          <w14:textFill>
            <w14:solidFill>
              <w14:schemeClr w14:val="tx1"/>
            </w14:solidFill>
          </w14:textFill>
        </w:rPr>
      </w:pPr>
      <w:r>
        <w:rPr>
          <w:rFonts w:hint="eastAsia" w:ascii="宋体" w:hAnsi="宋体" w:cs="宋体"/>
          <w:b w:val="0"/>
          <w:bCs/>
          <w:i w:val="0"/>
          <w:color w:val="000000" w:themeColor="text1"/>
          <w:sz w:val="32"/>
          <w:szCs w:val="32"/>
          <w:highlight w:val="none"/>
          <w:u w:val="none"/>
          <w:lang w:val="en-US" w:eastAsia="zh-CN"/>
          <w14:textFill>
            <w14:solidFill>
              <w14:schemeClr w14:val="tx1"/>
            </w14:solidFill>
          </w14:textFill>
        </w:rPr>
        <w:t>（国家工作人员学法）</w:t>
      </w:r>
    </w:p>
    <w:p>
      <w:pPr>
        <w:bidi w:val="0"/>
        <w:rPr>
          <w:color w:val="000000" w:themeColor="text1"/>
          <w14:textFill>
            <w14:solidFill>
              <w14:schemeClr w14:val="tx1"/>
            </w14:solidFill>
          </w14:textFill>
        </w:rPr>
      </w:pPr>
    </w:p>
    <w:tbl>
      <w:tblPr>
        <w:tblStyle w:val="14"/>
        <w:tblW w:w="981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13"/>
        <w:gridCol w:w="1142"/>
        <w:gridCol w:w="1385"/>
        <w:gridCol w:w="1335"/>
        <w:gridCol w:w="1806"/>
        <w:gridCol w:w="1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4" w:hRule="atLeast"/>
          <w:jc w:val="center"/>
        </w:trPr>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主管部门及代码</w:t>
            </w:r>
          </w:p>
        </w:tc>
        <w:tc>
          <w:tcPr>
            <w:tcW w:w="2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四川省司法厅-207</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实施单位</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sz w:val="16"/>
                <w:szCs w:val="16"/>
                <w:highlight w:val="none"/>
                <w:u w:val="none"/>
                <w14:textFill>
                  <w14:solidFill>
                    <w14:schemeClr w14:val="tx1"/>
                  </w14:solidFill>
                </w14:textFill>
              </w:rPr>
              <w:t>四川省司法厅机关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jc w:val="center"/>
        </w:trPr>
        <w:tc>
          <w:tcPr>
            <w:tcW w:w="33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项目预算</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执行情况</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（万元）</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 xml:space="preserve"> 预算数：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100.00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 xml:space="preserve"> 执行数：</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99.90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jc w:val="center"/>
        </w:trPr>
        <w:tc>
          <w:tcPr>
            <w:tcW w:w="33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财政拨款</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100.00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财政拨款</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99.90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jc w:val="center"/>
        </w:trPr>
        <w:tc>
          <w:tcPr>
            <w:tcW w:w="33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其他资金</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其他资金</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7" w:hRule="atLeast"/>
          <w:jc w:val="center"/>
        </w:trPr>
        <w:tc>
          <w:tcPr>
            <w:tcW w:w="22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完成情况</w:t>
            </w:r>
          </w:p>
        </w:tc>
        <w:tc>
          <w:tcPr>
            <w:tcW w:w="38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预期目标</w:t>
            </w:r>
          </w:p>
        </w:tc>
        <w:tc>
          <w:tcPr>
            <w:tcW w:w="3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7" w:hRule="atLeast"/>
          <w:jc w:val="center"/>
        </w:trPr>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38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color w:val="000000" w:themeColor="text1"/>
                <w:kern w:val="2"/>
                <w:sz w:val="16"/>
                <w:szCs w:val="16"/>
                <w:lang w:val="en-US" w:eastAsia="zh-CN" w:bidi="ar-SA"/>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通过搭建省级部门(单位）领导干部和国家工作人员学法考试系统平台，进一步规范省级部门(单位）领导干部和国家工作人员学法考试工作，不断提升省级部门(单位）领导干部和国家工作人员法治意识和法治素养，提高运用法治思维和法治方式的深化改革、推动发展、化解矛盾、维护稳定、应对风险的能力。</w:t>
            </w:r>
          </w:p>
        </w:tc>
        <w:tc>
          <w:tcPr>
            <w:tcW w:w="3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通过搭建省级部门(单位）领导干部和国家工作人员学法考试系统平台，进一步规范省级部门(单位）领导干部和国家工作人员学法考试工作，不断提升省级部门(单位）领导干部和国家工作人员法治意识和法治素养，提高运用法治思维和法治方式的深化改革、推动发展、化解矛盾、维护稳定、应对风险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221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预期指标值</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221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数量指标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覆盖省级部门(单位）领导干部和国家工作人员</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覆盖省级部门(单位）领导干部和国家工作人员至少2万人</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覆盖省级部门(单位）领导干部和国家工作人员至少2万人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221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使用平台的省级部门单位数量不少于</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使用平台的省级部门单位数量不少于40个</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使用平台的省级部门单位数量不少于40个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221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使用平台组织考法次数</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每个单位每年度使用该平台至少组织一次考法</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每个单位每年度使用该平台至少组织一次考法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221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时效指标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完成该项工作年度工作计划的时间</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spacing w:val="-6"/>
                <w:w w:val="99"/>
                <w:kern w:val="0"/>
                <w:sz w:val="16"/>
                <w:szCs w:val="16"/>
                <w:u w:val="none"/>
                <w:lang w:val="en-US" w:eastAsia="zh-CN" w:bidi="ar"/>
                <w14:textFill>
                  <w14:solidFill>
                    <w14:schemeClr w14:val="tx1"/>
                  </w14:solidFill>
                </w14:textFill>
              </w:rPr>
              <w:t>2021年12月31日前完成</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spacing w:val="-6"/>
                <w:kern w:val="0"/>
                <w:sz w:val="16"/>
                <w:szCs w:val="16"/>
                <w:u w:val="none"/>
                <w:lang w:val="en-US" w:eastAsia="zh-CN" w:bidi="ar"/>
                <w14:textFill>
                  <w14:solidFill>
                    <w14:schemeClr w14:val="tx1"/>
                  </w14:solidFill>
                </w14:textFill>
              </w:rPr>
              <w:t>2021年12月31日前完成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221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效益</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社会效益指标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对社会的促进作用</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spacing w:val="-6"/>
                <w:kern w:val="0"/>
                <w:sz w:val="16"/>
                <w:szCs w:val="16"/>
                <w:u w:val="none"/>
                <w:lang w:val="en-US" w:eastAsia="zh-CN" w:bidi="ar"/>
                <w14:textFill>
                  <w14:solidFill>
                    <w14:schemeClr w14:val="tx1"/>
                  </w14:solidFill>
                </w14:textFill>
              </w:rPr>
              <w:t>推动“关键少数”带头尊法学法守法用法，推动全社会建立办事依法、遇事找法、解决问题用法、化解矛盾靠法的法治良序。</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推动“关键少数”带头尊法学法守法用法，推动全社会建立办事依法、遇事找法、解决问题用法、化解矛盾靠法的法治良序。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0" w:hRule="atLeast"/>
          <w:jc w:val="center"/>
        </w:trPr>
        <w:tc>
          <w:tcPr>
            <w:tcW w:w="22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满意</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度指标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满意度指标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受众群体</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满意度</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受众群体满意度达到90%</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受众群体满意度达到90%</w:t>
            </w:r>
          </w:p>
        </w:tc>
      </w:tr>
    </w:tbl>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4176" w:hanging="3890" w:hangingChars="1300"/>
        <w:jc w:val="center"/>
        <w:textAlignment w:val="cente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4176" w:hanging="3890" w:hangingChars="1300"/>
        <w:jc w:val="center"/>
        <w:textAlignment w:val="cente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pPr>
      <w: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t>2021年100万元以上（含）特定目标类部门预算项目绩效目标自评</w:t>
      </w: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b w:val="0"/>
          <w:bCs/>
          <w:i w:val="0"/>
          <w:color w:val="000000" w:themeColor="text1"/>
          <w:sz w:val="32"/>
          <w:szCs w:val="32"/>
          <w:highlight w:val="none"/>
          <w:u w:val="none"/>
          <w:lang w:val="en-US" w:eastAsia="zh-CN"/>
          <w14:textFill>
            <w14:solidFill>
              <w14:schemeClr w14:val="tx1"/>
            </w14:solidFill>
          </w14:textFill>
        </w:rPr>
      </w:pPr>
      <w:r>
        <w:rPr>
          <w:rFonts w:hint="eastAsia" w:ascii="宋体" w:hAnsi="宋体" w:eastAsia="宋体" w:cs="宋体"/>
          <w:b w:val="0"/>
          <w:bCs/>
          <w:i w:val="0"/>
          <w:color w:val="000000" w:themeColor="text1"/>
          <w:sz w:val="32"/>
          <w:szCs w:val="32"/>
          <w:highlight w:val="none"/>
          <w:u w:val="none"/>
          <w:lang w:val="en-US" w:eastAsia="zh-CN"/>
          <w14:textFill>
            <w14:solidFill>
              <w14:schemeClr w14:val="tx1"/>
            </w14:solidFill>
          </w14:textFill>
        </w:rPr>
        <w:t>（四川司法行政指挥平台项目）</w:t>
      </w:r>
    </w:p>
    <w:p>
      <w:pPr>
        <w:bidi w:val="0"/>
        <w:rPr>
          <w:rFonts w:hint="eastAsia"/>
          <w:color w:val="000000" w:themeColor="text1"/>
          <w:lang w:val="en-US" w:eastAsia="zh-CN"/>
          <w14:textFill>
            <w14:solidFill>
              <w14:schemeClr w14:val="tx1"/>
            </w14:solidFill>
          </w14:textFill>
        </w:rPr>
      </w:pPr>
    </w:p>
    <w:tbl>
      <w:tblPr>
        <w:tblStyle w:val="14"/>
        <w:tblW w:w="981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13"/>
        <w:gridCol w:w="1142"/>
        <w:gridCol w:w="1385"/>
        <w:gridCol w:w="1335"/>
        <w:gridCol w:w="1695"/>
        <w:gridCol w:w="20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4" w:hRule="atLeast"/>
          <w:jc w:val="center"/>
        </w:trPr>
        <w:tc>
          <w:tcPr>
            <w:tcW w:w="33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主管部门及代码</w:t>
            </w:r>
          </w:p>
        </w:tc>
        <w:tc>
          <w:tcPr>
            <w:tcW w:w="2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四川省司法厅-207</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实施单位</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sz w:val="16"/>
                <w:szCs w:val="16"/>
                <w:highlight w:val="none"/>
                <w:u w:val="none"/>
                <w14:textFill>
                  <w14:solidFill>
                    <w14:schemeClr w14:val="tx1"/>
                  </w14:solidFill>
                </w14:textFill>
              </w:rPr>
              <w:t>四川省司法厅机关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jc w:val="center"/>
        </w:trPr>
        <w:tc>
          <w:tcPr>
            <w:tcW w:w="335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项目预算</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执行情况</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（万元）</w:t>
            </w: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 xml:space="preserve"> 预算数：</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123.12</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 xml:space="preserve"> 执行数：</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123.12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jc w:val="center"/>
        </w:trPr>
        <w:tc>
          <w:tcPr>
            <w:tcW w:w="335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财政拨款</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123.12</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财政拨款</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123.12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jc w:val="center"/>
        </w:trPr>
        <w:tc>
          <w:tcPr>
            <w:tcW w:w="335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其他资金</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其他资金</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jc w:val="center"/>
        </w:trPr>
        <w:tc>
          <w:tcPr>
            <w:tcW w:w="22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完成情况</w:t>
            </w:r>
          </w:p>
        </w:tc>
        <w:tc>
          <w:tcPr>
            <w:tcW w:w="38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预期目标</w:t>
            </w:r>
          </w:p>
        </w:tc>
        <w:tc>
          <w:tcPr>
            <w:tcW w:w="3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36" w:hRule="atLeast"/>
          <w:jc w:val="center"/>
        </w:trPr>
        <w:tc>
          <w:tcPr>
            <w:tcW w:w="22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38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color w:val="000000" w:themeColor="text1"/>
                <w:kern w:val="2"/>
                <w:sz w:val="16"/>
                <w:szCs w:val="16"/>
                <w:lang w:val="en-US" w:eastAsia="zh-CN" w:bidi="ar-SA"/>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该项目属于跨年项目，2021年项目将会按计划完成省市两级应急指挥平台建设、指挥调度通信系统建设，实现省厅指挥中心对各司法局（所）控制中心的统一指挥调度管理、省厅应急指挥中心应急会商功能、实现与司法部级视频图像信息监控联网平台的联网对接工作等建设目标。</w:t>
            </w:r>
          </w:p>
        </w:tc>
        <w:tc>
          <w:tcPr>
            <w:tcW w:w="3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该项目属于跨年项目，2021年项目按计划完成省市两级应急指挥平台建设、指挥调度通信系统建设，实现省厅指挥中心对各司法局（所）控制中心的统一指挥调度管理、省厅应急指挥中心应急会商功能、实现与司法部级视频图像信息监控联网平台的联网对接工作等建设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8" w:hRule="atLeast"/>
          <w:jc w:val="center"/>
        </w:trPr>
        <w:tc>
          <w:tcPr>
            <w:tcW w:w="22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年度绩效指标完成情况</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预期指标值</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86" w:hRule="atLeast"/>
          <w:jc w:val="center"/>
        </w:trPr>
        <w:tc>
          <w:tcPr>
            <w:tcW w:w="22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数量指标</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该项目完成后共计建成系统数量</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完成1套指挥调度通信系统建设、1套应急会商系统建设、1套视频监控系统、</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完成1套指挥调度通信系统建设、1套应急会商系统建设、1套视频监控系统、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22" w:hRule="atLeast"/>
          <w:jc w:val="center"/>
        </w:trPr>
        <w:tc>
          <w:tcPr>
            <w:tcW w:w="22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质量指标</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四川司法行政指挥平台项目建设质量</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四川司法行政指挥平台项目建设完成后，实现设定目标：建成省市两级应急指挥平台、指挥调度通信系统，实现省厅指挥中心对各司法局（所）控制中心的统一指挥调度管理、省厅应急指挥中心应急会商功能、实现与司法部级视频图像信息监控联网平台的联网对接工作等。</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四川司法行政指挥平台项目建设完成后，实现设定目标：建成省市两级应急指挥平台、指挥调度通信系统，实现省厅指挥中心对各司法局（所）控制中心的统一指挥调度管理、省厅应急指挥中心应急会商功能、实现与司法部级视频图像信息监控联网平台的联网对接工作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22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时效指标</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项目完成时间</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spacing w:val="-6"/>
                <w:kern w:val="0"/>
                <w:sz w:val="16"/>
                <w:szCs w:val="16"/>
                <w:u w:val="none"/>
                <w:lang w:val="en-US" w:eastAsia="zh-CN" w:bidi="ar"/>
                <w14:textFill>
                  <w14:solidFill>
                    <w14:schemeClr w14:val="tx1"/>
                  </w14:solidFill>
                </w14:textFill>
              </w:rPr>
              <w:t>2021年12月31日以前完成项目年度计划，根据合同完成支付。</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2021年12月31日以前完成项目年度计划，根据合同完成支付。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53" w:hRule="atLeast"/>
          <w:jc w:val="center"/>
        </w:trPr>
        <w:tc>
          <w:tcPr>
            <w:tcW w:w="22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效益</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可持续影响指标</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项目建成后可持续影响范围</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四川省司法行政指挥平台建设遵循“数据集中、统一平台、智能监控、立体防控、综合服务”的建设方向，旨在建立统一指挥、功能齐全、反应灵敏、运转高效的应急指挥联动平台。通过省厅指挥中心发挥综合协调职能，接收全省各司法局要情信息，并向司法部上传要情信息，对全省范围舆情进行监控，可</w:t>
            </w:r>
            <w:r>
              <w:rPr>
                <w:rFonts w:hint="eastAsia" w:ascii="宋体" w:hAnsi="宋体" w:eastAsia="宋体" w:cs="宋体"/>
                <w:i w:val="0"/>
                <w:color w:val="000000" w:themeColor="text1"/>
                <w:spacing w:val="-6"/>
                <w:kern w:val="0"/>
                <w:sz w:val="16"/>
                <w:szCs w:val="16"/>
                <w:u w:val="none"/>
                <w:lang w:val="en-US" w:eastAsia="zh-CN" w:bidi="ar"/>
                <w14:textFill>
                  <w14:solidFill>
                    <w14:schemeClr w14:val="tx1"/>
                  </w14:solidFill>
                </w14:textFill>
              </w:rPr>
              <w:t>对直属单位重点区域进行日常监管。接收全省上报的突发事件，通过音视频等方式对突发事件进行应急指挥。通过指挥中心大屏对社区矫正业务数据统计分析的展示</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四川省司法行政指挥平台建设遵循“数据集中、统一平台、智能监控、立体防控、综合服务”的建设方向，旨在建立统一指挥、功能齐全、反应灵敏、运转高效的应急指挥联动平台。通过省厅指挥中心发挥综合协调职能，接收全省各司法局要情信息，并向司法部上传要情信息，对全省范围舆情进行监控，可对直属单位重点区域进行日常监管。接收全省上报的突发事件，通过音视频等方式对突发事件进行应急指挥。通过指挥中心大屏对社区矫正业务数据统计分析的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6" w:hRule="atLeast"/>
          <w:jc w:val="center"/>
        </w:trPr>
        <w:tc>
          <w:tcPr>
            <w:tcW w:w="22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满意</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度指标</w:t>
            </w: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满意度指标</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四川司法行政指挥平台服务对象满意度</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四川司法行政指挥平台服务对象满意度达到90%以上。</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四川司法行政指挥平台服务对象满意度达到</w:t>
            </w:r>
          </w:p>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90%以上。</w:t>
            </w:r>
          </w:p>
        </w:tc>
      </w:tr>
    </w:tbl>
    <w:p>
      <w:pPr>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4176" w:hanging="4176" w:hangingChars="1300"/>
        <w:jc w:val="center"/>
        <w:textAlignment w:val="center"/>
        <w:rPr>
          <w:rFonts w:hint="eastAsia" w:ascii="宋体" w:hAnsi="宋体" w:eastAsia="宋体" w:cs="宋体"/>
          <w:b/>
          <w:i w:val="0"/>
          <w:color w:val="000000" w:themeColor="text1"/>
          <w:sz w:val="32"/>
          <w:szCs w:val="32"/>
          <w:highlight w:val="none"/>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4176" w:hanging="4176" w:hangingChars="1300"/>
        <w:jc w:val="center"/>
        <w:textAlignment w:val="center"/>
        <w:rPr>
          <w:rFonts w:hint="eastAsia" w:ascii="宋体" w:hAnsi="宋体" w:eastAsia="宋体" w:cs="宋体"/>
          <w:b/>
          <w:i w:val="0"/>
          <w:color w:val="000000" w:themeColor="text1"/>
          <w:sz w:val="32"/>
          <w:szCs w:val="32"/>
          <w:highlight w:val="none"/>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4176" w:hanging="3890" w:hangingChars="1300"/>
        <w:jc w:val="center"/>
        <w:textAlignment w:val="cente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4176" w:hanging="3890" w:hangingChars="1300"/>
        <w:jc w:val="center"/>
        <w:textAlignment w:val="cente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pPr>
      <w: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t>2021年100万元以上（含）特定目标类部门预算项目绩效目标自评</w:t>
      </w:r>
    </w:p>
    <w:p>
      <w:pPr>
        <w:jc w:val="center"/>
        <w:rPr>
          <w:color w:val="000000" w:themeColor="text1"/>
          <w:sz w:val="32"/>
          <w:szCs w:val="32"/>
          <w14:textFill>
            <w14:solidFill>
              <w14:schemeClr w14:val="tx1"/>
            </w14:solidFill>
          </w14:textFill>
        </w:rPr>
      </w:pPr>
      <w:r>
        <w:rPr>
          <w:rFonts w:hint="eastAsia" w:ascii="宋体" w:hAnsi="宋体" w:cs="宋体"/>
          <w:b w:val="0"/>
          <w:bCs/>
          <w:i w:val="0"/>
          <w:color w:val="000000" w:themeColor="text1"/>
          <w:sz w:val="32"/>
          <w:szCs w:val="32"/>
          <w:highlight w:val="none"/>
          <w:u w:val="none"/>
          <w:lang w:val="en-US" w:eastAsia="zh-CN"/>
          <w14:textFill>
            <w14:solidFill>
              <w14:schemeClr w14:val="tx1"/>
            </w14:solidFill>
          </w14:textFill>
        </w:rPr>
        <w:t>（亲情帮教远程会见系统项目）</w:t>
      </w:r>
    </w:p>
    <w:p>
      <w:pPr>
        <w:rPr>
          <w:color w:val="000000" w:themeColor="text1"/>
          <w14:textFill>
            <w14:solidFill>
              <w14:schemeClr w14:val="tx1"/>
            </w14:solidFill>
          </w14:textFill>
        </w:rPr>
      </w:pPr>
    </w:p>
    <w:tbl>
      <w:tblPr>
        <w:tblStyle w:val="14"/>
        <w:tblW w:w="981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13"/>
        <w:gridCol w:w="953"/>
        <w:gridCol w:w="1155"/>
        <w:gridCol w:w="1680"/>
        <w:gridCol w:w="1845"/>
        <w:gridCol w:w="19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4" w:hRule="atLeast"/>
          <w:jc w:val="center"/>
        </w:trPr>
        <w:tc>
          <w:tcPr>
            <w:tcW w:w="3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主管部门及代码</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四川省司法厅-207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实施单位</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sz w:val="16"/>
                <w:szCs w:val="16"/>
                <w:highlight w:val="none"/>
                <w:u w:val="none"/>
                <w14:textFill>
                  <w14:solidFill>
                    <w14:schemeClr w14:val="tx1"/>
                  </w14:solidFill>
                </w14:textFill>
              </w:rPr>
              <w:t>四川省司法厅机关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jc w:val="center"/>
        </w:trPr>
        <w:tc>
          <w:tcPr>
            <w:tcW w:w="31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项目预算</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执行情况</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 xml:space="preserve"> 预算数：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482.71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 xml:space="preserve"> 执行数：</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475.86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jc w:val="center"/>
        </w:trPr>
        <w:tc>
          <w:tcPr>
            <w:tcW w:w="31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财政拨款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482.71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财政拨款</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475.86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jc w:val="center"/>
        </w:trPr>
        <w:tc>
          <w:tcPr>
            <w:tcW w:w="31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其他资金</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其他资金</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7" w:hRule="atLeast"/>
          <w:jc w:val="center"/>
        </w:trPr>
        <w:tc>
          <w:tcPr>
            <w:tcW w:w="22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完成情况</w:t>
            </w:r>
          </w:p>
        </w:tc>
        <w:tc>
          <w:tcPr>
            <w:tcW w:w="3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预期目标</w:t>
            </w:r>
          </w:p>
        </w:tc>
        <w:tc>
          <w:tcPr>
            <w:tcW w:w="3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7" w:hRule="atLeast"/>
          <w:jc w:val="center"/>
        </w:trPr>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3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color w:val="000000" w:themeColor="text1"/>
                <w:kern w:val="2"/>
                <w:sz w:val="16"/>
                <w:szCs w:val="16"/>
                <w:lang w:val="en-US" w:eastAsia="zh-CN" w:bidi="ar-SA"/>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系统将有效整合全省司法行政、监狱、戒毒系统现有资源，全面展示我省司法行政机关“执法为民、服务群众”良好形象。</w:t>
            </w:r>
          </w:p>
        </w:tc>
        <w:tc>
          <w:tcPr>
            <w:tcW w:w="3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系统将有效整合全省司法行政、监狱、戒毒系统现有资源，全面展示我省司法行政机关“执法为民、服务群众”良好形象。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jc w:val="center"/>
        </w:trPr>
        <w:tc>
          <w:tcPr>
            <w:tcW w:w="221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年度绩效指标完成情况</w:t>
            </w:r>
          </w:p>
        </w:tc>
        <w:tc>
          <w:tcPr>
            <w:tcW w:w="953" w:type="dxa"/>
            <w:tcBorders>
              <w:top w:val="single" w:color="000000"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15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6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8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预期指标值</w:t>
            </w:r>
          </w:p>
        </w:tc>
        <w:tc>
          <w:tcPr>
            <w:tcW w:w="196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2213" w:type="dxa"/>
            <w:vMerge w:val="continue"/>
            <w:tcBorders>
              <w:left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9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数量指标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亲情帮教远程会见系统项目建成系统数量</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通过软件与硬件终端想换结合胡组网建设方式，利用有限的资金一次性快速建成覆盖省市县乡四级司法行政机关的无死角远程会见探访系统。</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通过软件与硬件终端想换结合胡组网建设方式，利用有限的资金一次性快速建成覆盖省市县乡四级司法行政机关的无死角远程会见探访系统。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2213" w:type="dxa"/>
            <w:vMerge w:val="continue"/>
            <w:tcBorders>
              <w:left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9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时效指标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亲情帮教远程会见系统建成时间</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2021年12月31日前完成项目建设</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2021年12月31日前完成项目建设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2213" w:type="dxa"/>
            <w:vMerge w:val="continue"/>
            <w:tcBorders>
              <w:left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9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效益</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社会效益</w:t>
            </w:r>
          </w:p>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亲情帮教远程会见系统社会效益</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亲情帮教远程会见系统建成后服务群众，方便百姓。全面展示我省司法行政机关“执法为民、服务群众”良好形象。</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亲情帮教远程会见系统建成后服务群众，方便百姓。全面展示我省司法行政机关“执法为民、服务群众”良好形象。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2213" w:type="dxa"/>
            <w:vMerge w:val="continue"/>
            <w:tcBorders>
              <w:left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9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可持续影响指标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亲情帮教远程会见系统覆盖面</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亲情帮教远程会见系统覆盖全省所有监狱、戒毒所、21个市州、183个县级公共法律服务中心、2000个片区司法所</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亲情帮教远程会见系统覆盖全省所有监狱、戒毒所、21个市州、183个县级公共法律服务中心、2000个片区司法所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0" w:hRule="atLeast"/>
          <w:jc w:val="center"/>
        </w:trPr>
        <w:tc>
          <w:tcPr>
            <w:tcW w:w="22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95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满意</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度指标</w:t>
            </w:r>
          </w:p>
        </w:tc>
        <w:tc>
          <w:tcPr>
            <w:tcW w:w="11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满意度指标</w:t>
            </w:r>
          </w:p>
        </w:tc>
        <w:tc>
          <w:tcPr>
            <w:tcW w:w="16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亲情帮教远程会见系统受众人群满意度</w:t>
            </w:r>
          </w:p>
        </w:tc>
        <w:tc>
          <w:tcPr>
            <w:tcW w:w="184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亲情帮教远程会见系统受众人群满意度达到95%</w:t>
            </w:r>
          </w:p>
        </w:tc>
        <w:tc>
          <w:tcPr>
            <w:tcW w:w="196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亲情帮教远程会见系统受众人群满意度达到95%</w:t>
            </w:r>
          </w:p>
        </w:tc>
      </w:tr>
    </w:tbl>
    <w:p>
      <w:pPr>
        <w:rPr>
          <w:color w:val="000000" w:themeColor="text1"/>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4176" w:hanging="3890" w:hangingChars="1300"/>
        <w:jc w:val="center"/>
        <w:textAlignment w:val="cente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4176" w:hanging="3890" w:hangingChars="1300"/>
        <w:jc w:val="center"/>
        <w:textAlignment w:val="cente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pPr>
      <w: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t>2021年100万元以上（含）特定目标类部门预算项目绩效目标自评</w:t>
      </w:r>
    </w:p>
    <w:p>
      <w:pPr>
        <w:bidi w:val="0"/>
        <w:jc w:val="center"/>
        <w:rPr>
          <w:rFonts w:hint="eastAsia" w:ascii="宋体" w:hAnsi="宋体" w:cs="宋体"/>
          <w:b w:val="0"/>
          <w:bCs/>
          <w:i w:val="0"/>
          <w:color w:val="000000" w:themeColor="text1"/>
          <w:sz w:val="32"/>
          <w:szCs w:val="32"/>
          <w:highlight w:val="none"/>
          <w:u w:val="none"/>
          <w:lang w:val="en-US" w:eastAsia="zh-CN"/>
          <w14:textFill>
            <w14:solidFill>
              <w14:schemeClr w14:val="tx1"/>
            </w14:solidFill>
          </w14:textFill>
        </w:rPr>
      </w:pPr>
      <w:r>
        <w:rPr>
          <w:rFonts w:hint="eastAsia" w:ascii="宋体" w:hAnsi="宋体" w:cs="宋体"/>
          <w:b w:val="0"/>
          <w:bCs/>
          <w:i w:val="0"/>
          <w:color w:val="000000" w:themeColor="text1"/>
          <w:sz w:val="32"/>
          <w:szCs w:val="32"/>
          <w:highlight w:val="none"/>
          <w:u w:val="none"/>
          <w:lang w:val="en-US" w:eastAsia="zh-CN"/>
          <w14:textFill>
            <w14:solidFill>
              <w14:schemeClr w14:val="tx1"/>
            </w14:solidFill>
          </w14:textFill>
        </w:rPr>
        <w:t>（“12348”藏汉双语法网四川子系统）</w:t>
      </w:r>
    </w:p>
    <w:p>
      <w:pPr>
        <w:bidi w:val="0"/>
        <w:rPr>
          <w:color w:val="000000" w:themeColor="text1"/>
          <w14:textFill>
            <w14:solidFill>
              <w14:schemeClr w14:val="tx1"/>
            </w14:solidFill>
          </w14:textFill>
        </w:rPr>
      </w:pPr>
    </w:p>
    <w:tbl>
      <w:tblPr>
        <w:tblStyle w:val="14"/>
        <w:tblW w:w="981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13"/>
        <w:gridCol w:w="953"/>
        <w:gridCol w:w="1155"/>
        <w:gridCol w:w="1680"/>
        <w:gridCol w:w="1845"/>
        <w:gridCol w:w="19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4" w:hRule="atLeast"/>
          <w:jc w:val="center"/>
        </w:trPr>
        <w:tc>
          <w:tcPr>
            <w:tcW w:w="3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主管部门及代码</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四川省司法厅-207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实施单位</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sz w:val="16"/>
                <w:szCs w:val="16"/>
                <w:highlight w:val="none"/>
                <w:u w:val="none"/>
                <w14:textFill>
                  <w14:solidFill>
                    <w14:schemeClr w14:val="tx1"/>
                  </w14:solidFill>
                </w14:textFill>
              </w:rPr>
              <w:t>四川省司法厅机关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jc w:val="center"/>
        </w:trPr>
        <w:tc>
          <w:tcPr>
            <w:tcW w:w="31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项目预算</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执行情况</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 xml:space="preserve"> 预算数：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294.49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 xml:space="preserve"> 执行数：</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293.74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jc w:val="center"/>
        </w:trPr>
        <w:tc>
          <w:tcPr>
            <w:tcW w:w="31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财政拨款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294.49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财政拨款</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293.74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jc w:val="center"/>
        </w:trPr>
        <w:tc>
          <w:tcPr>
            <w:tcW w:w="31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其他资金</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其他资金</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7" w:hRule="atLeast"/>
          <w:jc w:val="center"/>
        </w:trPr>
        <w:tc>
          <w:tcPr>
            <w:tcW w:w="22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完成情况</w:t>
            </w:r>
          </w:p>
        </w:tc>
        <w:tc>
          <w:tcPr>
            <w:tcW w:w="3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预期目标</w:t>
            </w:r>
          </w:p>
        </w:tc>
        <w:tc>
          <w:tcPr>
            <w:tcW w:w="3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7" w:hRule="atLeast"/>
          <w:jc w:val="center"/>
        </w:trPr>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378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color w:val="000000" w:themeColor="text1"/>
                <w:kern w:val="2"/>
                <w:sz w:val="16"/>
                <w:szCs w:val="16"/>
                <w:lang w:val="en-US" w:eastAsia="zh-CN" w:bidi="ar-SA"/>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实现12348四川法网服务功能的拓展延伸，整合四川省公共法律服务资源，面向公众提供公平、普惠、精准的法律服务。</w:t>
            </w:r>
          </w:p>
        </w:tc>
        <w:tc>
          <w:tcPr>
            <w:tcW w:w="381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实现12348四川法网服务功能的拓展延伸，整合四川省公共法律服务资源，面向公众提供公平、普惠、精准的法律服务。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jc w:val="center"/>
        </w:trPr>
        <w:tc>
          <w:tcPr>
            <w:tcW w:w="221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年度绩效指标完成情况</w:t>
            </w:r>
          </w:p>
        </w:tc>
        <w:tc>
          <w:tcPr>
            <w:tcW w:w="953" w:type="dxa"/>
            <w:tcBorders>
              <w:top w:val="single" w:color="000000"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15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6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8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预期指标值</w:t>
            </w:r>
          </w:p>
        </w:tc>
        <w:tc>
          <w:tcPr>
            <w:tcW w:w="196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2213" w:type="dxa"/>
            <w:vMerge w:val="continue"/>
            <w:tcBorders>
              <w:left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9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数量指标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完成建设的数量</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建设“12348”藏汉双语法网四川子平台门户网站1个。建设“12348”藏汉双语法网四川子平台移动端系统1个。建设“12348”藏汉双语法网四川子平台后台管理系统1个</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建设“12348”藏汉双语法网四川子平台门户网站1个。建设“12348”藏汉双语法网四川子平台移动端系统1个。建设“12348”藏汉双语法网四川子平台后台管理系统1个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18" w:hRule="atLeast"/>
          <w:jc w:val="center"/>
        </w:trPr>
        <w:tc>
          <w:tcPr>
            <w:tcW w:w="2213" w:type="dxa"/>
            <w:vMerge w:val="continue"/>
            <w:tcBorders>
              <w:left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9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质量指标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“12348”藏汉双语法网四川子系统项目建设质量</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“12348”藏汉双语法网四川子系统建设完成后，实现设定目标：实现12348四川法网服务功能的拓展延伸，整合四川省公共法律服务资源，面向公众提供公平、普惠、精准的法律服务。</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“12348”藏汉双语法网四川子系统建设完成后，实现设定目标：实现12348四川法网服务功能的拓展延伸，整合四川省公共法律服务资源，面向公众提供公平、普惠、精准的法律服务。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1" w:hRule="atLeast"/>
          <w:jc w:val="center"/>
        </w:trPr>
        <w:tc>
          <w:tcPr>
            <w:tcW w:w="2213" w:type="dxa"/>
            <w:vMerge w:val="continue"/>
            <w:tcBorders>
              <w:left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9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时效指标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“12348”藏汉双语法网四川子系统项目完成时间</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2021年12月31日以前完成项目年度计划，根据合同完成支付。</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2021年12月31日以前完成项目年度计划，根据合同完成支付。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6" w:hRule="atLeast"/>
          <w:jc w:val="center"/>
        </w:trPr>
        <w:tc>
          <w:tcPr>
            <w:tcW w:w="2213" w:type="dxa"/>
            <w:vMerge w:val="continue"/>
            <w:tcBorders>
              <w:left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9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可持续影响指标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项目覆盖范围</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“12348”藏汉法网四川子平台覆盖司法行政各项服务业务</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“12348”藏汉法网四川子平台覆盖司法行政各项服务业务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5" w:hRule="atLeast"/>
          <w:jc w:val="center"/>
        </w:trPr>
        <w:tc>
          <w:tcPr>
            <w:tcW w:w="22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95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满意</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度指标</w:t>
            </w:r>
          </w:p>
        </w:tc>
        <w:tc>
          <w:tcPr>
            <w:tcW w:w="11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满意度指标</w:t>
            </w:r>
          </w:p>
        </w:tc>
        <w:tc>
          <w:tcPr>
            <w:tcW w:w="16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服务对象满意度</w:t>
            </w:r>
          </w:p>
        </w:tc>
        <w:tc>
          <w:tcPr>
            <w:tcW w:w="184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服务对象满意度达到90%以上。</w:t>
            </w:r>
          </w:p>
        </w:tc>
        <w:tc>
          <w:tcPr>
            <w:tcW w:w="196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服务对象满意度达到90%以上。</w:t>
            </w:r>
          </w:p>
        </w:tc>
      </w:tr>
    </w:tbl>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4176" w:hanging="3890" w:hangingChars="1300"/>
        <w:jc w:val="center"/>
        <w:textAlignment w:val="cente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pPr>
      <w: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t>2021年100万元以上（含）特定目标类部门预算项目绩效目标自评</w:t>
      </w: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val="0"/>
          <w:bCs/>
          <w:i w:val="0"/>
          <w:color w:val="000000" w:themeColor="text1"/>
          <w:sz w:val="32"/>
          <w:szCs w:val="32"/>
          <w:highlight w:val="none"/>
          <w:u w:val="none"/>
          <w:lang w:val="en-US" w:eastAsia="zh-CN"/>
          <w14:textFill>
            <w14:solidFill>
              <w14:schemeClr w14:val="tx1"/>
            </w14:solidFill>
          </w14:textFill>
        </w:rPr>
      </w:pPr>
      <w:r>
        <w:rPr>
          <w:rFonts w:hint="eastAsia" w:ascii="宋体" w:hAnsi="宋体" w:cs="宋体"/>
          <w:b w:val="0"/>
          <w:bCs/>
          <w:i w:val="0"/>
          <w:color w:val="000000" w:themeColor="text1"/>
          <w:sz w:val="32"/>
          <w:szCs w:val="32"/>
          <w:highlight w:val="none"/>
          <w:u w:val="none"/>
          <w:lang w:val="en-US" w:eastAsia="zh-CN"/>
          <w14:textFill>
            <w14:solidFill>
              <w14:schemeClr w14:val="tx1"/>
            </w14:solidFill>
          </w14:textFill>
        </w:rPr>
        <w:t>（智能辅助办案语音识别系统）</w:t>
      </w:r>
    </w:p>
    <w:p>
      <w:pPr>
        <w:bidi w:val="0"/>
        <w:rPr>
          <w:color w:val="000000" w:themeColor="text1"/>
          <w14:textFill>
            <w14:solidFill>
              <w14:schemeClr w14:val="tx1"/>
            </w14:solidFill>
          </w14:textFill>
        </w:rPr>
      </w:pPr>
    </w:p>
    <w:tbl>
      <w:tblPr>
        <w:tblStyle w:val="14"/>
        <w:tblW w:w="981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13"/>
        <w:gridCol w:w="953"/>
        <w:gridCol w:w="1155"/>
        <w:gridCol w:w="1680"/>
        <w:gridCol w:w="1845"/>
        <w:gridCol w:w="19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4" w:hRule="atLeast"/>
          <w:jc w:val="center"/>
        </w:trPr>
        <w:tc>
          <w:tcPr>
            <w:tcW w:w="3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主管部门及代码</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四川省司法厅-207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实施单位</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sz w:val="16"/>
                <w:szCs w:val="16"/>
                <w:highlight w:val="none"/>
                <w:u w:val="none"/>
                <w14:textFill>
                  <w14:solidFill>
                    <w14:schemeClr w14:val="tx1"/>
                  </w14:solidFill>
                </w14:textFill>
              </w:rPr>
              <w:t>四川省司法厅机关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jc w:val="center"/>
        </w:trPr>
        <w:tc>
          <w:tcPr>
            <w:tcW w:w="31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项目预算</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执行情况</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 xml:space="preserve"> 预算数：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686.46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 xml:space="preserve"> 执行数：</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685.43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jc w:val="center"/>
        </w:trPr>
        <w:tc>
          <w:tcPr>
            <w:tcW w:w="31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财政拨款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686.46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财政拨款</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685.43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jc w:val="center"/>
        </w:trPr>
        <w:tc>
          <w:tcPr>
            <w:tcW w:w="31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其他资金</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其他资金</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7" w:hRule="atLeast"/>
          <w:jc w:val="center"/>
        </w:trPr>
        <w:tc>
          <w:tcPr>
            <w:tcW w:w="22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完成情况</w:t>
            </w:r>
          </w:p>
        </w:tc>
        <w:tc>
          <w:tcPr>
            <w:tcW w:w="3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预期目标</w:t>
            </w:r>
          </w:p>
        </w:tc>
        <w:tc>
          <w:tcPr>
            <w:tcW w:w="3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7" w:hRule="atLeast"/>
          <w:jc w:val="center"/>
        </w:trPr>
        <w:tc>
          <w:tcPr>
            <w:tcW w:w="221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3788"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color w:val="000000" w:themeColor="text1"/>
                <w:kern w:val="2"/>
                <w:sz w:val="16"/>
                <w:szCs w:val="16"/>
                <w:lang w:val="en-US" w:eastAsia="zh-CN" w:bidi="ar-SA"/>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四川省司法行政智能辅助办案语音识别系统建设遵循“数据集中、统一平台、智能识别、综合服务”的建设方向，建设面向公共法律服务、人民调解、社区矫正等业务的智能语音识别系统，实现人机语音交互，提高公共法律服务效率，实现工作智能化。</w:t>
            </w:r>
          </w:p>
        </w:tc>
        <w:tc>
          <w:tcPr>
            <w:tcW w:w="381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四川省司法行政智能辅助办案语音识别系统建设遵循“数据集中、统一平台、智能识别、综合服务”的建设方向，建设面向公共法律服务、人民调解、社区矫正等业务的智能语音识别系统，实现人机语音交互，提高公共法律服务效率，实现工作智能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jc w:val="center"/>
        </w:trPr>
        <w:tc>
          <w:tcPr>
            <w:tcW w:w="22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年度绩效指标完成情况</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一级</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二级</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三级</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预期指标值</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22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9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完成</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1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数量指标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四川省司法行政智能辅助办案语音识别系统建成系统数量</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项目完成后建成智能笔录系统、智能会议系统</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项目完成后建成智能笔录系统、智能会议系统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22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9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四川省司法行政智能辅助办案语音识别系统建成平台数量</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项目完成后建成智能语音基础平台、智能语音服务平台、</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项目完成后建成智能语音基础平台、智能语音服务平台、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22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9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质量指标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四川省司法行政智能辅助办案语音识别系统项目建成后实现</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四川省司法行政智能辅助办案语音识别系统项目建设完成后，实现设定目标：人机语音交互，提高公共法律服务效率，实现工作智能化。</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四川省司法行政智能辅助办案语音识别系统项目建设完成后，实现设定目标：实现人机语音交互，提高公共法律服务效率，实现工作智能化。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22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9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时效指标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四川省司法行政智能辅助办案语音识别系统项目完成时间</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2021年12月31日以前完成项目年度计划，根据合同完成支付。</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2021年12月31日以前完成项目年度计划，根据合同完成支付。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35" w:hRule="atLeast"/>
          <w:jc w:val="center"/>
        </w:trPr>
        <w:tc>
          <w:tcPr>
            <w:tcW w:w="22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9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可持续影响指标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四川省司法行政智能辅助办案语音识别系统覆盖范围</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建设省、市州、区县、乡镇四级语音识别分析管理，呈现一个多级别多层次的信息架构，为司法厅及下辖司法局（所）建设面向海量调解语音的智能转录应用系统</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建设省、市州、区县、乡镇四级语音识别分析管理，呈现一个多级别多层次的信息架构，为司法厅及下辖司法局（所）建设面向海量调解语音的智能转录应用系统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0" w:hRule="atLeast"/>
          <w:jc w:val="center"/>
        </w:trPr>
        <w:tc>
          <w:tcPr>
            <w:tcW w:w="22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满意</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度指标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满意度指标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系统受众人群满意度</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系统受众人群满意度达到90%以上。</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系统受众人群满意度达到90%以上。</w:t>
            </w:r>
          </w:p>
        </w:tc>
      </w:tr>
    </w:tbl>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4176" w:hanging="3968" w:hangingChars="1300"/>
        <w:jc w:val="center"/>
        <w:textAlignment w:val="center"/>
        <w:rPr>
          <w:rFonts w:hint="eastAsia" w:ascii="宋体" w:hAnsi="宋体" w:eastAsia="宋体" w:cs="宋体"/>
          <w:b/>
          <w:i w:val="0"/>
          <w:color w:val="000000" w:themeColor="text1"/>
          <w:spacing w:val="-6"/>
          <w:w w:val="99"/>
          <w:sz w:val="32"/>
          <w:szCs w:val="32"/>
          <w:highlight w:val="none"/>
          <w:u w:val="none"/>
          <w:lang w:val="en-US" w:eastAsia="zh-CN"/>
          <w14:textFill>
            <w14:solidFill>
              <w14:schemeClr w14:val="tx1"/>
            </w14:solidFill>
          </w14:textFill>
        </w:rPr>
      </w:pPr>
      <w:r>
        <w:rPr>
          <w:rFonts w:hint="eastAsia" w:ascii="宋体" w:hAnsi="宋体" w:eastAsia="宋体" w:cs="宋体"/>
          <w:b/>
          <w:i w:val="0"/>
          <w:color w:val="000000" w:themeColor="text1"/>
          <w:spacing w:val="-6"/>
          <w:w w:val="99"/>
          <w:sz w:val="32"/>
          <w:szCs w:val="32"/>
          <w:highlight w:val="none"/>
          <w:u w:val="none"/>
          <w:lang w:val="en-US" w:eastAsia="zh-CN"/>
          <w14:textFill>
            <w14:solidFill>
              <w14:schemeClr w14:val="tx1"/>
            </w14:solidFill>
          </w14:textFill>
        </w:rPr>
        <w:t>2021年100万元以上（含）特定目标类部门预算项目绩效目标自评</w:t>
      </w: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val="0"/>
          <w:bCs/>
          <w:i w:val="0"/>
          <w:color w:val="000000" w:themeColor="text1"/>
          <w:sz w:val="32"/>
          <w:szCs w:val="32"/>
          <w:highlight w:val="none"/>
          <w:u w:val="none"/>
          <w:lang w:val="en-US" w:eastAsia="zh-CN"/>
          <w14:textFill>
            <w14:solidFill>
              <w14:schemeClr w14:val="tx1"/>
            </w14:solidFill>
          </w14:textFill>
        </w:rPr>
      </w:pPr>
      <w:r>
        <w:rPr>
          <w:rFonts w:hint="eastAsia" w:ascii="宋体" w:hAnsi="宋体" w:cs="宋体"/>
          <w:b w:val="0"/>
          <w:bCs/>
          <w:i w:val="0"/>
          <w:color w:val="000000" w:themeColor="text1"/>
          <w:sz w:val="32"/>
          <w:szCs w:val="32"/>
          <w:highlight w:val="none"/>
          <w:u w:val="none"/>
          <w:lang w:val="en-US" w:eastAsia="zh-CN"/>
          <w14:textFill>
            <w14:solidFill>
              <w14:schemeClr w14:val="tx1"/>
            </w14:solidFill>
          </w14:textFill>
        </w:rPr>
        <w:t>（重点业务应用系统）</w:t>
      </w:r>
    </w:p>
    <w:p>
      <w:pPr>
        <w:rPr>
          <w:color w:val="000000" w:themeColor="text1"/>
          <w14:textFill>
            <w14:solidFill>
              <w14:schemeClr w14:val="tx1"/>
            </w14:solidFill>
          </w14:textFill>
        </w:rPr>
      </w:pPr>
    </w:p>
    <w:tbl>
      <w:tblPr>
        <w:tblStyle w:val="14"/>
        <w:tblW w:w="981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13"/>
        <w:gridCol w:w="953"/>
        <w:gridCol w:w="1155"/>
        <w:gridCol w:w="1680"/>
        <w:gridCol w:w="1845"/>
        <w:gridCol w:w="19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4" w:hRule="atLeast"/>
          <w:jc w:val="center"/>
        </w:trPr>
        <w:tc>
          <w:tcPr>
            <w:tcW w:w="3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主管部门及代码</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四川省司法厅-207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实施单位</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sz w:val="16"/>
                <w:szCs w:val="16"/>
                <w:highlight w:val="none"/>
                <w:u w:val="none"/>
                <w14:textFill>
                  <w14:solidFill>
                    <w14:schemeClr w14:val="tx1"/>
                  </w14:solidFill>
                </w14:textFill>
              </w:rPr>
              <w:t>四川省司法厅机关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jc w:val="center"/>
        </w:trPr>
        <w:tc>
          <w:tcPr>
            <w:tcW w:w="31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项目预算</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执行情况</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 xml:space="preserve"> 预算数：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278.58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 xml:space="preserve"> 执行数：</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277.77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jc w:val="center"/>
        </w:trPr>
        <w:tc>
          <w:tcPr>
            <w:tcW w:w="31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财政拨款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278.58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财政拨款</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277.77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jc w:val="center"/>
        </w:trPr>
        <w:tc>
          <w:tcPr>
            <w:tcW w:w="31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其他资金</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其他资金</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7" w:hRule="atLeast"/>
          <w:jc w:val="center"/>
        </w:trPr>
        <w:tc>
          <w:tcPr>
            <w:tcW w:w="22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完成情况</w:t>
            </w:r>
          </w:p>
        </w:tc>
        <w:tc>
          <w:tcPr>
            <w:tcW w:w="3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预期目标</w:t>
            </w:r>
          </w:p>
        </w:tc>
        <w:tc>
          <w:tcPr>
            <w:tcW w:w="3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7" w:hRule="atLeast"/>
          <w:jc w:val="center"/>
        </w:trPr>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378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color w:val="000000" w:themeColor="text1"/>
                <w:kern w:val="2"/>
                <w:sz w:val="16"/>
                <w:szCs w:val="16"/>
                <w:lang w:val="en-US" w:eastAsia="zh-CN" w:bidi="ar-SA"/>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按照司法部新要求、新规范对现有业务系统进行完善升级。</w:t>
            </w:r>
          </w:p>
        </w:tc>
        <w:tc>
          <w:tcPr>
            <w:tcW w:w="381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按照司法部新要求、新规范对现有业务系统进行完善升级。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jc w:val="center"/>
        </w:trPr>
        <w:tc>
          <w:tcPr>
            <w:tcW w:w="221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年度绩效指标完成情况</w:t>
            </w:r>
          </w:p>
        </w:tc>
        <w:tc>
          <w:tcPr>
            <w:tcW w:w="953" w:type="dxa"/>
            <w:tcBorders>
              <w:top w:val="single" w:color="000000"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15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6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8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预期指标值</w:t>
            </w:r>
          </w:p>
        </w:tc>
        <w:tc>
          <w:tcPr>
            <w:tcW w:w="196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2213" w:type="dxa"/>
            <w:vMerge w:val="continue"/>
            <w:tcBorders>
              <w:left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9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1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数量指标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重点业务应用系统项目完成建设的数量</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完成建设仲裁业务管理系统1套、公共法律服务诚信公益平台1套</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完成建设仲裁业务管理系统1套、公共法律服务诚信公益平台1套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2213" w:type="dxa"/>
            <w:vMerge w:val="continue"/>
            <w:tcBorders>
              <w:left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9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重点业务应用系统改造系统的数量</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移动协同办公系统改造、智能移动调解系统改造、业务系统改造、司法行政工作平台国产办公软件兼容性改造等</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移动协同办公系统改造、智能移动调解系统改造、业务系统改造、司法行政工作平台国产办公软件兼容性改造等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2213" w:type="dxa"/>
            <w:vMerge w:val="continue"/>
            <w:tcBorders>
              <w:left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9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质量指标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重点业务应用系统项目建设质量</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重点业务应用系统建设完成后，实现设定目标</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重点业务应用系统建设完成后，实现设定目标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2213" w:type="dxa"/>
            <w:vMerge w:val="continue"/>
            <w:tcBorders>
              <w:left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9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时效指标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重点业务应用系统项目完成时间</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2021年12月31日以前完成项目年度计划，根据合同完成支付。</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2021年12月31日以前完成项目年度计划，根据合同完成支付。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2213" w:type="dxa"/>
            <w:vMerge w:val="continue"/>
            <w:tcBorders>
              <w:left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9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可持续影响指标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重点业务应用系统项目覆盖范围</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重点业务应用系统覆盖司法行政各项服务业务</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重点业务应用系统覆盖司法行政各项服务业务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7" w:hRule="atLeast"/>
          <w:jc w:val="center"/>
        </w:trPr>
        <w:tc>
          <w:tcPr>
            <w:tcW w:w="22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95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满意</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度指标</w:t>
            </w:r>
          </w:p>
        </w:tc>
        <w:tc>
          <w:tcPr>
            <w:tcW w:w="11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满意度指标</w:t>
            </w:r>
          </w:p>
        </w:tc>
        <w:tc>
          <w:tcPr>
            <w:tcW w:w="16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重点业务应用系统服务对象满意度</w:t>
            </w:r>
          </w:p>
        </w:tc>
        <w:tc>
          <w:tcPr>
            <w:tcW w:w="184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spacing w:val="-6"/>
                <w:kern w:val="0"/>
                <w:sz w:val="16"/>
                <w:szCs w:val="16"/>
                <w:u w:val="none"/>
                <w:lang w:val="en-US" w:eastAsia="zh-CN" w:bidi="ar"/>
                <w14:textFill>
                  <w14:solidFill>
                    <w14:schemeClr w14:val="tx1"/>
                  </w14:solidFill>
                </w14:textFill>
              </w:rPr>
              <w:t>重点业务应用系统服务对象满意度达到90%以上。</w:t>
            </w:r>
          </w:p>
        </w:tc>
        <w:tc>
          <w:tcPr>
            <w:tcW w:w="196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spacing w:val="-6"/>
                <w:kern w:val="0"/>
                <w:sz w:val="16"/>
                <w:szCs w:val="16"/>
                <w:u w:val="none"/>
                <w:lang w:val="en-US" w:eastAsia="zh-CN" w:bidi="ar"/>
                <w14:textFill>
                  <w14:solidFill>
                    <w14:schemeClr w14:val="tx1"/>
                  </w14:solidFill>
                </w14:textFill>
              </w:rPr>
              <w:t>重点业务应用系统服务对象满意度达到90%以上。</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4176" w:hanging="4176" w:hangingChars="1300"/>
        <w:jc w:val="left"/>
        <w:textAlignment w:val="center"/>
        <w:rPr>
          <w:rFonts w:hint="eastAsia" w:ascii="宋体" w:hAnsi="宋体" w:eastAsia="宋体" w:cs="宋体"/>
          <w:b/>
          <w:i w:val="0"/>
          <w:color w:val="000000" w:themeColor="text1"/>
          <w:sz w:val="32"/>
          <w:szCs w:val="32"/>
          <w:highlight w:val="none"/>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4176" w:hanging="4176" w:hangingChars="1300"/>
        <w:jc w:val="left"/>
        <w:textAlignment w:val="center"/>
        <w:rPr>
          <w:rFonts w:hint="eastAsia" w:ascii="宋体" w:hAnsi="宋体" w:eastAsia="宋体" w:cs="宋体"/>
          <w:b/>
          <w:i w:val="0"/>
          <w:color w:val="000000" w:themeColor="text1"/>
          <w:sz w:val="32"/>
          <w:szCs w:val="32"/>
          <w:highlight w:val="none"/>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4176" w:hanging="3890" w:hangingChars="1300"/>
        <w:jc w:val="left"/>
        <w:textAlignment w:val="cente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4176" w:hanging="3890" w:hangingChars="1300"/>
        <w:jc w:val="center"/>
        <w:textAlignment w:val="cente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pPr>
      <w: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t>2021年100万元以上（含）特定目标类部门预算项目绩效目标自评</w:t>
      </w:r>
    </w:p>
    <w:p>
      <w:pPr>
        <w:jc w:val="center"/>
        <w:rPr>
          <w:rFonts w:hint="eastAsia" w:ascii="宋体" w:hAnsi="宋体" w:cs="宋体"/>
          <w:b w:val="0"/>
          <w:bCs/>
          <w:i w:val="0"/>
          <w:color w:val="000000" w:themeColor="text1"/>
          <w:sz w:val="32"/>
          <w:szCs w:val="32"/>
          <w:highlight w:val="none"/>
          <w:u w:val="none"/>
          <w:lang w:val="en-US" w:eastAsia="zh-CN"/>
          <w14:textFill>
            <w14:solidFill>
              <w14:schemeClr w14:val="tx1"/>
            </w14:solidFill>
          </w14:textFill>
        </w:rPr>
      </w:pPr>
      <w:r>
        <w:rPr>
          <w:rFonts w:hint="eastAsia" w:ascii="宋体" w:hAnsi="宋体" w:cs="宋体"/>
          <w:b w:val="0"/>
          <w:bCs/>
          <w:i w:val="0"/>
          <w:color w:val="000000" w:themeColor="text1"/>
          <w:sz w:val="32"/>
          <w:szCs w:val="32"/>
          <w:highlight w:val="none"/>
          <w:u w:val="none"/>
          <w:lang w:val="en-US" w:eastAsia="zh-CN"/>
          <w14:textFill>
            <w14:solidFill>
              <w14:schemeClr w14:val="tx1"/>
            </w14:solidFill>
          </w14:textFill>
        </w:rPr>
        <w:t>（行政执法综合管理监督信息系统）</w:t>
      </w:r>
    </w:p>
    <w:p>
      <w:pPr>
        <w:bidi w:val="0"/>
        <w:rPr>
          <w:color w:val="000000" w:themeColor="text1"/>
          <w14:textFill>
            <w14:solidFill>
              <w14:schemeClr w14:val="tx1"/>
            </w14:solidFill>
          </w14:textFill>
        </w:rPr>
      </w:pPr>
    </w:p>
    <w:tbl>
      <w:tblPr>
        <w:tblStyle w:val="14"/>
        <w:tblW w:w="981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13"/>
        <w:gridCol w:w="953"/>
        <w:gridCol w:w="1155"/>
        <w:gridCol w:w="1680"/>
        <w:gridCol w:w="1845"/>
        <w:gridCol w:w="19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4" w:hRule="atLeast"/>
          <w:jc w:val="center"/>
        </w:trPr>
        <w:tc>
          <w:tcPr>
            <w:tcW w:w="3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主管部门及代码</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四川省司法厅-207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实施单位</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sz w:val="16"/>
                <w:szCs w:val="16"/>
                <w:highlight w:val="none"/>
                <w:u w:val="none"/>
                <w14:textFill>
                  <w14:solidFill>
                    <w14:schemeClr w14:val="tx1"/>
                  </w14:solidFill>
                </w14:textFill>
              </w:rPr>
              <w:t>四川省司法厅机关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jc w:val="center"/>
        </w:trPr>
        <w:tc>
          <w:tcPr>
            <w:tcW w:w="31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项目预算</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执行情况</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 xml:space="preserve"> 预算数：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128.35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 xml:space="preserve"> 执行数：</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51.45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jc w:val="center"/>
        </w:trPr>
        <w:tc>
          <w:tcPr>
            <w:tcW w:w="31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财政拨款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128.35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财政拨款</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51.45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jc w:val="center"/>
        </w:trPr>
        <w:tc>
          <w:tcPr>
            <w:tcW w:w="31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其他资金</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其他资金</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7" w:hRule="atLeast"/>
          <w:jc w:val="center"/>
        </w:trPr>
        <w:tc>
          <w:tcPr>
            <w:tcW w:w="22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完成情况</w:t>
            </w:r>
          </w:p>
        </w:tc>
        <w:tc>
          <w:tcPr>
            <w:tcW w:w="3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预期目标</w:t>
            </w:r>
          </w:p>
        </w:tc>
        <w:tc>
          <w:tcPr>
            <w:tcW w:w="3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7" w:hRule="atLeast"/>
          <w:jc w:val="center"/>
        </w:trPr>
        <w:tc>
          <w:tcPr>
            <w:tcW w:w="221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3788" w:type="dxa"/>
            <w:gridSpan w:val="3"/>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eastAsia" w:ascii="宋体" w:hAnsi="宋体" w:eastAsia="宋体" w:cs="宋体"/>
                <w:color w:val="000000" w:themeColor="text1"/>
                <w:kern w:val="2"/>
                <w:sz w:val="16"/>
                <w:szCs w:val="16"/>
                <w:lang w:val="en-US" w:eastAsia="zh-CN" w:bidi="ar-SA"/>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建立覆盖全省的行政执法监督平台，通过监督平台多角度全方位对我省行政执法情况进行监督，规范我省行政执法主体的执法行为，对其是否作为，作为是否合理，程序是否合法等情况进行全面监督，对行政执法情况进行分析考核，提升行政执法质量，促进行政执法环境建设。</w:t>
            </w:r>
          </w:p>
        </w:tc>
        <w:tc>
          <w:tcPr>
            <w:tcW w:w="3812" w:type="dxa"/>
            <w:gridSpan w:val="2"/>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建立覆盖全省的行政执法监督平台，通过监督平台多角度全方位对我省行政执法情况进行监督，规范我省行政执法主体的执法行为，对其是否作为，作为是否合理，程序是否合法等情况进行全面监督，对行政执法情况进行分析考核，提升行政执法质量，促进行政执法环境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jc w:val="center"/>
        </w:trPr>
        <w:tc>
          <w:tcPr>
            <w:tcW w:w="22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年度绩效指标完成情况</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一级</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二级</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三级</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预期指标值</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22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9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1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数量指标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行政执法综合管理监督信息系统建成系统数量</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项目建成执法监督系统、行政执法人员和行政执法监督人员管理系统等。</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项目建成执法监督系统、行政执法人员和行政执法监督人员管理系统等。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22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9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行政执法综合管理监督信息系统建成网站数量</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建立全省行政执法监督统一门户的网站，主要包括执法监督动态、执法主体、执法人员、执法职权、法律法规依据、在线投诉、公众参与等栏目</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建立全省行政执法监督统一门户的网站，主要包括执法监督动态、执法主体、执法人员、执法职权、法律法规依据、在线投诉、公众参与等栏目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22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9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质量指标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行政执法综合管理监督信息系统项目完成情况</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行政执法综合管理监督信息系统项目完成后实现既定目标，建立覆盖全省的行政执法监督平台，通过监督平台多角度全方位对我省行政执法情况进行监督，规范我省行政执法主体的执法行为，对其是否作为，作为是否合理，程序是否合法等情况进行全面监督，对行政执法情况进行分析考核，提升行政执法质量，促进行政执法环境建设。</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行政执法综合管理监督信息系统项目完成后实现既定目标，建立覆盖全省的行政执法监督平台，通过监督平台多角度全方位对我省行政执法情况进行监督，规范我省行政执法主体的执法行为，对其是否作为，作为是否合理，程序是否合法等情况进行全面监督，对行政执法情况进行分析考核，提升行政执法质量，促进行政执法环境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22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9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时效指标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行政执法综合管理监督信息系统完成时间</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2021年12月31日以前完成项目年度计划，根据合同完成支付。</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2021年12月31日以前完成项目年度计划，根据合同完成支付。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22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9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可持续影响指标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行政执法综合管理监督信息系统覆盖面</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行政执法综合管理监督信息系统覆盖省市县三级级行政执法</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行政执法综合管理监督信息系统覆盖省市县三级级行政执法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0" w:hRule="atLeast"/>
          <w:jc w:val="center"/>
        </w:trPr>
        <w:tc>
          <w:tcPr>
            <w:tcW w:w="22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满意</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度指标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满意度指标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行政执法综合管理监督信息系统受众人群满意度</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行政执法综合管理监督信息系统受众人群满意度达到95%</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行政执法综合管理监督信息系统受众人群满意度达到95%</w:t>
            </w:r>
          </w:p>
        </w:tc>
      </w:tr>
    </w:tbl>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4176" w:hanging="3890" w:hangingChars="1300"/>
        <w:jc w:val="center"/>
        <w:textAlignment w:val="cente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4176" w:hanging="3890" w:hangingChars="1300"/>
        <w:jc w:val="center"/>
        <w:textAlignment w:val="cente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4176" w:hanging="3890" w:hangingChars="1300"/>
        <w:jc w:val="center"/>
        <w:textAlignment w:val="cente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4176" w:hanging="3890" w:hangingChars="1300"/>
        <w:jc w:val="center"/>
        <w:textAlignment w:val="cente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4176" w:hanging="3890" w:hangingChars="1300"/>
        <w:jc w:val="center"/>
        <w:textAlignment w:val="cente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4176" w:hanging="3890" w:hangingChars="1300"/>
        <w:jc w:val="center"/>
        <w:textAlignment w:val="cente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4176" w:hanging="3890" w:hangingChars="1300"/>
        <w:jc w:val="center"/>
        <w:textAlignment w:val="cente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4176" w:hanging="3890" w:hangingChars="1300"/>
        <w:jc w:val="center"/>
        <w:textAlignment w:val="cente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4176" w:hanging="3890" w:hangingChars="1300"/>
        <w:jc w:val="center"/>
        <w:textAlignment w:val="cente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4176" w:hanging="3890" w:hangingChars="1300"/>
        <w:jc w:val="center"/>
        <w:textAlignment w:val="cente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pPr>
      <w:r>
        <w:rPr>
          <w:rFonts w:hint="eastAsia" w:ascii="宋体" w:hAnsi="宋体" w:eastAsia="宋体" w:cs="宋体"/>
          <w:b/>
          <w:i w:val="0"/>
          <w:color w:val="000000" w:themeColor="text1"/>
          <w:spacing w:val="-11"/>
          <w:sz w:val="32"/>
          <w:szCs w:val="32"/>
          <w:highlight w:val="none"/>
          <w:u w:val="none"/>
          <w:lang w:val="en-US" w:eastAsia="zh-CN"/>
          <w14:textFill>
            <w14:solidFill>
              <w14:schemeClr w14:val="tx1"/>
            </w14:solidFill>
          </w14:textFill>
        </w:rPr>
        <w:t>2021年100万元以上（含）特定目标类部门预算项目绩效目标自评</w:t>
      </w: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b w:val="0"/>
          <w:bCs/>
          <w:i w:val="0"/>
          <w:color w:val="000000" w:themeColor="text1"/>
          <w:sz w:val="32"/>
          <w:szCs w:val="32"/>
          <w:highlight w:val="none"/>
          <w:u w:val="none"/>
          <w:lang w:val="en-US" w:eastAsia="zh-CN"/>
          <w14:textFill>
            <w14:solidFill>
              <w14:schemeClr w14:val="tx1"/>
            </w14:solidFill>
          </w14:textFill>
        </w:rPr>
      </w:pPr>
      <w:r>
        <w:rPr>
          <w:rFonts w:hint="eastAsia" w:ascii="宋体" w:hAnsi="宋体" w:cs="宋体"/>
          <w:b w:val="0"/>
          <w:bCs/>
          <w:i w:val="0"/>
          <w:color w:val="000000" w:themeColor="text1"/>
          <w:sz w:val="32"/>
          <w:szCs w:val="32"/>
          <w:highlight w:val="none"/>
          <w:u w:val="none"/>
          <w:lang w:val="en-US" w:eastAsia="zh-CN"/>
          <w14:textFill>
            <w14:solidFill>
              <w14:schemeClr w14:val="tx1"/>
            </w14:solidFill>
          </w14:textFill>
        </w:rPr>
        <w:t>（数字集群通信项目）</w:t>
      </w:r>
    </w:p>
    <w:p>
      <w:pPr>
        <w:bidi w:val="0"/>
        <w:rPr>
          <w:color w:val="000000" w:themeColor="text1"/>
          <w14:textFill>
            <w14:solidFill>
              <w14:schemeClr w14:val="tx1"/>
            </w14:solidFill>
          </w14:textFill>
        </w:rPr>
      </w:pPr>
    </w:p>
    <w:tbl>
      <w:tblPr>
        <w:tblStyle w:val="14"/>
        <w:tblW w:w="981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13"/>
        <w:gridCol w:w="953"/>
        <w:gridCol w:w="1155"/>
        <w:gridCol w:w="1514"/>
        <w:gridCol w:w="2011"/>
        <w:gridCol w:w="19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4" w:hRule="atLeast"/>
          <w:jc w:val="center"/>
        </w:trPr>
        <w:tc>
          <w:tcPr>
            <w:tcW w:w="3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主管部门及代码</w:t>
            </w:r>
          </w:p>
        </w:tc>
        <w:tc>
          <w:tcPr>
            <w:tcW w:w="2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四川省司法厅-207</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实施单位</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sz w:val="16"/>
                <w:szCs w:val="16"/>
                <w:highlight w:val="none"/>
                <w:u w:val="none"/>
                <w14:textFill>
                  <w14:solidFill>
                    <w14:schemeClr w14:val="tx1"/>
                  </w14:solidFill>
                </w14:textFill>
              </w:rPr>
              <w:t>四川省司法厅机关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jc w:val="center"/>
        </w:trPr>
        <w:tc>
          <w:tcPr>
            <w:tcW w:w="31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项目预算</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执行情况</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 xml:space="preserve"> 预算数：</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270.00</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 xml:space="preserve"> 执行数：</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265.64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jc w:val="center"/>
        </w:trPr>
        <w:tc>
          <w:tcPr>
            <w:tcW w:w="31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财政拨款</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270.00</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财政拨款</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265.64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31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其他资金</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其他资金</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6" w:hRule="atLeast"/>
          <w:jc w:val="center"/>
        </w:trPr>
        <w:tc>
          <w:tcPr>
            <w:tcW w:w="22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完成情况</w:t>
            </w:r>
          </w:p>
        </w:tc>
        <w:tc>
          <w:tcPr>
            <w:tcW w:w="36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预期目标</w:t>
            </w:r>
          </w:p>
        </w:tc>
        <w:tc>
          <w:tcPr>
            <w:tcW w:w="3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99" w:hRule="atLeast"/>
          <w:jc w:val="center"/>
        </w:trPr>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36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color w:val="000000" w:themeColor="text1"/>
                <w:kern w:val="2"/>
                <w:sz w:val="16"/>
                <w:szCs w:val="16"/>
                <w:lang w:val="en-US" w:eastAsia="zh-CN" w:bidi="ar-SA"/>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实现应急指挥调度在移动端的扩展和延伸，进一步健全省司法厅日常综合指挥调度管控、突发事件预警和应急保障机制。</w:t>
            </w:r>
          </w:p>
        </w:tc>
        <w:tc>
          <w:tcPr>
            <w:tcW w:w="3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实现应急指挥调度在移动端的扩展和延伸，进一步健全省司法厅日常综合指挥调度管控、突发事件预警和应急保障机制。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jc w:val="center"/>
        </w:trPr>
        <w:tc>
          <w:tcPr>
            <w:tcW w:w="221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年度绩效指标完成情况</w:t>
            </w:r>
          </w:p>
        </w:tc>
        <w:tc>
          <w:tcPr>
            <w:tcW w:w="953" w:type="dxa"/>
            <w:tcBorders>
              <w:top w:val="single" w:color="000000"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15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51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201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预期指标值</w:t>
            </w:r>
          </w:p>
        </w:tc>
        <w:tc>
          <w:tcPr>
            <w:tcW w:w="196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8" w:hRule="atLeast"/>
          <w:jc w:val="center"/>
        </w:trPr>
        <w:tc>
          <w:tcPr>
            <w:tcW w:w="2213" w:type="dxa"/>
            <w:vMerge w:val="continue"/>
            <w:tcBorders>
              <w:left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9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数量指标</w:t>
            </w:r>
          </w:p>
        </w:tc>
        <w:tc>
          <w:tcPr>
            <w:tcW w:w="15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建设覆盖厅机关的数字集群通信设备</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200个左右</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200个左右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0" w:hRule="atLeast"/>
          <w:jc w:val="center"/>
        </w:trPr>
        <w:tc>
          <w:tcPr>
            <w:tcW w:w="2213" w:type="dxa"/>
            <w:vMerge w:val="continue"/>
            <w:tcBorders>
              <w:left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9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质量指标</w:t>
            </w:r>
          </w:p>
        </w:tc>
        <w:tc>
          <w:tcPr>
            <w:tcW w:w="15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项目建设质量符合司法部指挥中心建设标准</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100%</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2213" w:type="dxa"/>
            <w:vMerge w:val="continue"/>
            <w:tcBorders>
              <w:left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9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时效指标</w:t>
            </w:r>
          </w:p>
        </w:tc>
        <w:tc>
          <w:tcPr>
            <w:tcW w:w="15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数字集群通信项目建成时间</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2021年12月31日以前完成项目年度计划，根据合同完成支付。</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2021年12月31日以前完成项目年度计划，根据合同完成支付。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4" w:hRule="atLeast"/>
          <w:jc w:val="center"/>
        </w:trPr>
        <w:tc>
          <w:tcPr>
            <w:tcW w:w="2213" w:type="dxa"/>
            <w:vMerge w:val="continue"/>
            <w:tcBorders>
              <w:left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9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可持续影响指标</w:t>
            </w:r>
          </w:p>
        </w:tc>
        <w:tc>
          <w:tcPr>
            <w:tcW w:w="15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数字集群通信项目覆盖面</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数字集群通信项目覆盖省司法厅</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数字集群通信项目覆盖省司法厅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8" w:hRule="atLeast"/>
          <w:jc w:val="center"/>
        </w:trPr>
        <w:tc>
          <w:tcPr>
            <w:tcW w:w="22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95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满意</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度指标</w:t>
            </w:r>
          </w:p>
        </w:tc>
        <w:tc>
          <w:tcPr>
            <w:tcW w:w="11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满意度指标</w:t>
            </w:r>
          </w:p>
        </w:tc>
        <w:tc>
          <w:tcPr>
            <w:tcW w:w="151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数字集群通信项目受众人群满意度</w:t>
            </w:r>
          </w:p>
        </w:tc>
        <w:tc>
          <w:tcPr>
            <w:tcW w:w="201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数字集群通信项目受众人群满意度达到95%以上</w:t>
            </w:r>
          </w:p>
        </w:tc>
        <w:tc>
          <w:tcPr>
            <w:tcW w:w="196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数字集群通信项目受众人群满意度达到95%以上</w:t>
            </w:r>
          </w:p>
        </w:tc>
      </w:tr>
    </w:tbl>
    <w:p>
      <w:pPr>
        <w:rPr>
          <w:color w:val="000000" w:themeColor="text1"/>
          <w14:textFill>
            <w14:solidFill>
              <w14:schemeClr w14:val="tx1"/>
            </w14:solidFill>
          </w14:textFill>
        </w:rPr>
      </w:pPr>
    </w:p>
    <w:p>
      <w:pPr>
        <w:keepNext w:val="0"/>
        <w:keepLines w:val="0"/>
        <w:widowControl/>
        <w:suppressLineNumbers w:val="0"/>
        <w:spacing w:beforeAutospacing="0"/>
        <w:ind w:left="4176" w:hanging="4176" w:hangingChars="1300"/>
        <w:jc w:val="left"/>
        <w:textAlignment w:val="center"/>
        <w:rPr>
          <w:rFonts w:hint="eastAsia" w:ascii="宋体" w:hAnsi="宋体" w:eastAsia="宋体" w:cs="宋体"/>
          <w:b/>
          <w:i w:val="0"/>
          <w:color w:val="000000" w:themeColor="text1"/>
          <w:sz w:val="32"/>
          <w:szCs w:val="32"/>
          <w:highlight w:val="none"/>
          <w:u w:val="none"/>
          <w:lang w:val="en-US" w:eastAsia="zh-CN"/>
          <w14:textFill>
            <w14:solidFill>
              <w14:schemeClr w14:val="tx1"/>
            </w14:solidFill>
          </w14:textFill>
        </w:rPr>
      </w:pPr>
    </w:p>
    <w:p>
      <w:pPr>
        <w:keepNext w:val="0"/>
        <w:keepLines w:val="0"/>
        <w:widowControl/>
        <w:suppressLineNumbers w:val="0"/>
        <w:spacing w:beforeAutospacing="0"/>
        <w:ind w:left="4176" w:hanging="4176" w:hangingChars="1300"/>
        <w:jc w:val="left"/>
        <w:textAlignment w:val="center"/>
        <w:rPr>
          <w:rFonts w:hint="eastAsia" w:ascii="宋体" w:hAnsi="宋体" w:eastAsia="宋体" w:cs="宋体"/>
          <w:b/>
          <w:i w:val="0"/>
          <w:color w:val="000000" w:themeColor="text1"/>
          <w:sz w:val="32"/>
          <w:szCs w:val="32"/>
          <w:highlight w:val="none"/>
          <w:u w:val="none"/>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000000" w:themeColor="text1"/>
          <w:spacing w:val="-1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000000" w:themeColor="text1"/>
          <w:spacing w:val="-11"/>
          <w:sz w:val="32"/>
          <w:szCs w:val="32"/>
          <w:lang w:val="en-US" w:eastAsia="zh-CN"/>
          <w14:textFill>
            <w14:solidFill>
              <w14:schemeClr w14:val="tx1"/>
            </w14:solidFill>
          </w14:textFill>
        </w:rPr>
      </w:pPr>
      <w:r>
        <w:rPr>
          <w:rFonts w:hint="eastAsia" w:ascii="宋体" w:hAnsi="宋体" w:eastAsia="宋体" w:cs="宋体"/>
          <w:b/>
          <w:bCs/>
          <w:color w:val="000000" w:themeColor="text1"/>
          <w:spacing w:val="-11"/>
          <w:sz w:val="32"/>
          <w:szCs w:val="32"/>
          <w:lang w:val="en-US" w:eastAsia="zh-CN"/>
          <w14:textFill>
            <w14:solidFill>
              <w14:schemeClr w14:val="tx1"/>
            </w14:solidFill>
          </w14:textFill>
        </w:rPr>
        <w:t>2021年100万元以上（含）特定目标类部门预算项目绩效目标自评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（省级预算内基本建设资金）</w:t>
      </w:r>
    </w:p>
    <w:p>
      <w:pPr>
        <w:bidi w:val="0"/>
        <w:rPr>
          <w:rFonts w:hint="eastAsia"/>
          <w:color w:val="000000" w:themeColor="text1"/>
          <w14:textFill>
            <w14:solidFill>
              <w14:schemeClr w14:val="tx1"/>
            </w14:solidFill>
          </w14:textFill>
        </w:rPr>
      </w:pPr>
    </w:p>
    <w:tbl>
      <w:tblPr>
        <w:tblStyle w:val="14"/>
        <w:tblW w:w="981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13"/>
        <w:gridCol w:w="953"/>
        <w:gridCol w:w="1155"/>
        <w:gridCol w:w="1680"/>
        <w:gridCol w:w="1845"/>
        <w:gridCol w:w="19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4" w:hRule="atLeast"/>
          <w:jc w:val="center"/>
        </w:trPr>
        <w:tc>
          <w:tcPr>
            <w:tcW w:w="3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主管部门及代码</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四川省司法厅-207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实施单位</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sz w:val="16"/>
                <w:szCs w:val="16"/>
                <w:highlight w:val="none"/>
                <w:u w:val="none"/>
                <w14:textFill>
                  <w14:solidFill>
                    <w14:schemeClr w14:val="tx1"/>
                  </w14:solidFill>
                </w14:textFill>
              </w:rPr>
              <w:t>四川省司法厅机关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jc w:val="center"/>
        </w:trPr>
        <w:tc>
          <w:tcPr>
            <w:tcW w:w="31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项目预算</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执行情况</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 xml:space="preserve"> 预算数：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751.00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 xml:space="preserve"> 执行数：</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300.58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jc w:val="center"/>
        </w:trPr>
        <w:tc>
          <w:tcPr>
            <w:tcW w:w="31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财政拨款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751.00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财政拨款</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pPr>
            <w:r>
              <w:rPr>
                <w:rFonts w:hint="eastAsia" w:ascii="宋体" w:hAnsi="宋体" w:eastAsia="宋体" w:cs="宋体"/>
                <w:i w:val="0"/>
                <w:color w:val="000000" w:themeColor="text1"/>
                <w:sz w:val="16"/>
                <w:szCs w:val="16"/>
                <w:highlight w:val="none"/>
                <w:u w:val="none"/>
                <w:lang w:val="en-US" w:eastAsia="zh-CN"/>
                <w14:textFill>
                  <w14:solidFill>
                    <w14:schemeClr w14:val="tx1"/>
                  </w14:solidFill>
                </w14:textFill>
              </w:rPr>
              <w:t>300.58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jc w:val="center"/>
        </w:trPr>
        <w:tc>
          <w:tcPr>
            <w:tcW w:w="31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其他资金</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其他资金</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7" w:hRule="atLeast"/>
          <w:jc w:val="center"/>
        </w:trPr>
        <w:tc>
          <w:tcPr>
            <w:tcW w:w="22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完成情况</w:t>
            </w:r>
          </w:p>
        </w:tc>
        <w:tc>
          <w:tcPr>
            <w:tcW w:w="3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预期目标</w:t>
            </w:r>
          </w:p>
        </w:tc>
        <w:tc>
          <w:tcPr>
            <w:tcW w:w="3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7" w:hRule="atLeast"/>
          <w:jc w:val="center"/>
        </w:trPr>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378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color w:val="000000" w:themeColor="text1"/>
                <w:kern w:val="2"/>
                <w:sz w:val="16"/>
                <w:szCs w:val="16"/>
                <w:lang w:val="en-US" w:eastAsia="zh-CN" w:bidi="ar-SA"/>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消除厅机关办公楼部分隐患，优化办公场所布局，完善办公和业务用房功能，实现集中办公，更好为人民群众服务。具体完成以下内容：厅机关1号办公楼整体维修改造；3号办公楼修补；办公区立体车库改建功能用房；办公场所室外环境改造等。</w:t>
            </w:r>
          </w:p>
        </w:tc>
        <w:tc>
          <w:tcPr>
            <w:tcW w:w="381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消除厅机关办公楼部分隐患，优化办公场所布局，完善办公和业务用房功能，实现集中办公，更好为人民群众服务。具体完成以下内容：厅机关1号办公楼整体维修改造；3号办公楼修补；办公区立体车库改建功能用房；办公场所室外环境改造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jc w:val="center"/>
        </w:trPr>
        <w:tc>
          <w:tcPr>
            <w:tcW w:w="221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年度绩效指标完成情况</w:t>
            </w:r>
          </w:p>
        </w:tc>
        <w:tc>
          <w:tcPr>
            <w:tcW w:w="953" w:type="dxa"/>
            <w:tcBorders>
              <w:top w:val="single" w:color="000000"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15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6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8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预期指标值</w:t>
            </w:r>
          </w:p>
        </w:tc>
        <w:tc>
          <w:tcPr>
            <w:tcW w:w="196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2213" w:type="dxa"/>
            <w:vMerge w:val="continue"/>
            <w:tcBorders>
              <w:left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9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指标</w:t>
            </w:r>
          </w:p>
        </w:tc>
        <w:tc>
          <w:tcPr>
            <w:tcW w:w="11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数量指标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项目维修范围1号楼建筑面积</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5060平方米</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5060平方米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2213" w:type="dxa"/>
            <w:vMerge w:val="continue"/>
            <w:tcBorders>
              <w:left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9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项目维修范围3号楼建筑面积</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940平方米</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940平方米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2213" w:type="dxa"/>
            <w:vMerge w:val="continue"/>
            <w:tcBorders>
              <w:left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9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总平面</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约1600平方米</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约1600平方米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2213" w:type="dxa"/>
            <w:vMerge w:val="continue"/>
            <w:tcBorders>
              <w:left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9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时效指标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项目完成时间</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2021年12月31日以前完成年度计划目标</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完成阶段性维修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2213" w:type="dxa"/>
            <w:vMerge w:val="continue"/>
            <w:tcBorders>
              <w:left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9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可持续影响指标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消除部分隐患，改善厅机关办公条件。</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结合实际进行功能、结构、消防、节能减排的改造</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结合实际进行功能、结构、消防、节能减排的</w:t>
            </w:r>
          </w:p>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jc w:val="center"/>
        </w:trPr>
        <w:tc>
          <w:tcPr>
            <w:tcW w:w="22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95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满意</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度指标</w:t>
            </w:r>
          </w:p>
        </w:tc>
        <w:tc>
          <w:tcPr>
            <w:tcW w:w="11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满意度指标</w:t>
            </w:r>
          </w:p>
        </w:tc>
        <w:tc>
          <w:tcPr>
            <w:tcW w:w="16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工作人员以及办事群众对办公场所满意度</w:t>
            </w:r>
          </w:p>
        </w:tc>
        <w:tc>
          <w:tcPr>
            <w:tcW w:w="184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spacing w:val="-6"/>
                <w:kern w:val="0"/>
                <w:sz w:val="16"/>
                <w:szCs w:val="16"/>
                <w:u w:val="none"/>
                <w:lang w:val="en-US" w:eastAsia="zh-CN" w:bidi="ar"/>
                <w14:textFill>
                  <w14:solidFill>
                    <w14:schemeClr w14:val="tx1"/>
                  </w14:solidFill>
                </w14:textFill>
              </w:rPr>
              <w:t>工作人员以及办事群众对办公场所满意度达到90%</w:t>
            </w:r>
          </w:p>
        </w:tc>
        <w:tc>
          <w:tcPr>
            <w:tcW w:w="196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spacing w:val="-6"/>
                <w:kern w:val="0"/>
                <w:sz w:val="16"/>
                <w:szCs w:val="16"/>
                <w:u w:val="none"/>
                <w:lang w:val="en-US" w:eastAsia="zh-CN" w:bidi="ar"/>
                <w14:textFill>
                  <w14:solidFill>
                    <w14:schemeClr w14:val="tx1"/>
                  </w14:solidFill>
                </w14:textFill>
              </w:rPr>
              <w:t>工作人员以及办事群众对办公场所满意度达到90%</w:t>
            </w:r>
          </w:p>
        </w:tc>
      </w:tr>
    </w:tbl>
    <w:p>
      <w:pPr>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rFonts w:hint="eastAsia" w:ascii="宋体" w:hAnsi="宋体" w:eastAsia="宋体" w:cs="宋体"/>
          <w:b/>
          <w:color w:val="000000" w:themeColor="text1"/>
          <w:sz w:val="32"/>
          <w:szCs w:val="32"/>
          <w14:textFill>
            <w14:solidFill>
              <w14:schemeClr w14:val="tx1"/>
            </w14:solidFill>
          </w14:textFill>
        </w:rPr>
      </w:pPr>
    </w:p>
    <w:p>
      <w:pPr>
        <w:bidi w:val="0"/>
        <w:rPr>
          <w:rFonts w:hint="eastAsia" w:ascii="宋体" w:hAnsi="宋体" w:eastAsia="宋体" w:cs="宋体"/>
          <w:b/>
          <w:color w:val="000000" w:themeColor="text1"/>
          <w:sz w:val="32"/>
          <w:szCs w:val="32"/>
          <w14:textFill>
            <w14:solidFill>
              <w14:schemeClr w14:val="tx1"/>
            </w14:solidFill>
          </w14:textFill>
        </w:rPr>
      </w:pPr>
    </w:p>
    <w:p>
      <w:pPr>
        <w:bidi w:val="0"/>
        <w:rPr>
          <w:rFonts w:hint="eastAsia" w:ascii="宋体" w:hAnsi="宋体" w:eastAsia="宋体" w:cs="宋体"/>
          <w:b/>
          <w:color w:val="000000" w:themeColor="text1"/>
          <w:sz w:val="32"/>
          <w:szCs w:val="32"/>
          <w14:textFill>
            <w14:solidFill>
              <w14:schemeClr w14:val="tx1"/>
            </w14:solidFill>
          </w14:textFill>
        </w:rPr>
      </w:pPr>
    </w:p>
    <w:p>
      <w:pPr>
        <w:bidi w:val="0"/>
        <w:rPr>
          <w:rFonts w:hint="eastAsia" w:ascii="宋体" w:hAnsi="宋体" w:eastAsia="宋体" w:cs="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color w:val="000000" w:themeColor="text1"/>
          <w:spacing w:val="-11"/>
          <w:sz w:val="32"/>
          <w:szCs w:val="32"/>
          <w14:textFill>
            <w14:solidFill>
              <w14:schemeClr w14:val="tx1"/>
            </w14:solidFill>
          </w14:textFill>
        </w:rPr>
      </w:pPr>
      <w:r>
        <w:rPr>
          <w:rFonts w:hint="eastAsia" w:ascii="宋体" w:hAnsi="宋体" w:eastAsia="宋体" w:cs="宋体"/>
          <w:b/>
          <w:color w:val="000000" w:themeColor="text1"/>
          <w:spacing w:val="-11"/>
          <w:sz w:val="32"/>
          <w:szCs w:val="32"/>
          <w14:textFill>
            <w14:solidFill>
              <w14:schemeClr w14:val="tx1"/>
            </w14:solidFill>
          </w14:textFill>
        </w:rPr>
        <w:t>2021年100万元以上（含）特定目标类部门预算项目绩效目标自评</w:t>
      </w:r>
    </w:p>
    <w:p>
      <w:pPr>
        <w:bidi w:val="0"/>
        <w:rPr>
          <w:color w:val="000000" w:themeColor="text1"/>
          <w14:textFill>
            <w14:solidFill>
              <w14:schemeClr w14:val="tx1"/>
            </w14:solidFill>
          </w14:textFill>
        </w:rPr>
      </w:pPr>
    </w:p>
    <w:tbl>
      <w:tblPr>
        <w:tblStyle w:val="14"/>
        <w:tblW w:w="9513" w:type="dxa"/>
        <w:jc w:val="center"/>
        <w:tblInd w:w="93"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108" w:type="dxa"/>
          <w:bottom w:w="0" w:type="dxa"/>
          <w:right w:w="108" w:type="dxa"/>
        </w:tblCellMar>
      </w:tblPr>
      <w:tblGrid>
        <w:gridCol w:w="1120"/>
        <w:gridCol w:w="1148"/>
        <w:gridCol w:w="1391"/>
        <w:gridCol w:w="461"/>
        <w:gridCol w:w="1434"/>
        <w:gridCol w:w="1650"/>
        <w:gridCol w:w="2309"/>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108" w:type="dxa"/>
            <w:bottom w:w="0" w:type="dxa"/>
            <w:right w:w="108" w:type="dxa"/>
          </w:tblCellMar>
        </w:tblPrEx>
        <w:trPr>
          <w:trHeight w:val="439" w:hRule="atLeast"/>
          <w:jc w:val="center"/>
        </w:trPr>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项目名称</w:t>
            </w:r>
          </w:p>
        </w:tc>
        <w:tc>
          <w:tcPr>
            <w:tcW w:w="7245"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学生活动工作经费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840" w:hRule="atLeast"/>
          <w:jc w:val="center"/>
        </w:trPr>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主管部门及代码</w:t>
            </w:r>
          </w:p>
        </w:tc>
        <w:tc>
          <w:tcPr>
            <w:tcW w:w="3286"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四川省司法厅</w:t>
            </w:r>
          </w:p>
        </w:tc>
        <w:tc>
          <w:tcPr>
            <w:tcW w:w="1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实施单位</w:t>
            </w:r>
          </w:p>
        </w:tc>
        <w:tc>
          <w:tcPr>
            <w:tcW w:w="23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四川司法警官职业学院</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15" w:hRule="atLeast"/>
          <w:jc w:val="center"/>
        </w:trPr>
        <w:tc>
          <w:tcPr>
            <w:tcW w:w="226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项目预算</w:t>
            </w:r>
            <w:r>
              <w:rPr>
                <w:rFonts w:hint="eastAsia" w:ascii="宋体" w:hAnsi="宋体" w:eastAsia="宋体" w:cs="宋体"/>
                <w:color w:val="000000" w:themeColor="text1"/>
                <w:kern w:val="0"/>
                <w:sz w:val="16"/>
                <w:szCs w:val="16"/>
                <w14:textFill>
                  <w14:solidFill>
                    <w14:schemeClr w14:val="tx1"/>
                  </w14:solidFill>
                </w14:textFill>
              </w:rPr>
              <w:br w:type="textWrapping"/>
            </w:r>
            <w:r>
              <w:rPr>
                <w:rFonts w:hint="eastAsia" w:ascii="宋体" w:hAnsi="宋体" w:eastAsia="宋体" w:cs="宋体"/>
                <w:color w:val="000000" w:themeColor="text1"/>
                <w:kern w:val="0"/>
                <w:sz w:val="16"/>
                <w:szCs w:val="16"/>
                <w14:textFill>
                  <w14:solidFill>
                    <w14:schemeClr w14:val="tx1"/>
                  </w14:solidFill>
                </w14:textFill>
              </w:rPr>
              <w:t>执行情况</w:t>
            </w:r>
            <w:r>
              <w:rPr>
                <w:rFonts w:hint="eastAsia" w:ascii="宋体" w:hAnsi="宋体" w:eastAsia="宋体" w:cs="宋体"/>
                <w:color w:val="000000" w:themeColor="text1"/>
                <w:kern w:val="0"/>
                <w:sz w:val="16"/>
                <w:szCs w:val="16"/>
                <w14:textFill>
                  <w14:solidFill>
                    <w14:schemeClr w14:val="tx1"/>
                  </w14:solidFill>
                </w14:textFill>
              </w:rPr>
              <w:br w:type="textWrapping"/>
            </w:r>
            <w:r>
              <w:rPr>
                <w:rFonts w:hint="eastAsia" w:ascii="宋体" w:hAnsi="宋体" w:eastAsia="宋体" w:cs="宋体"/>
                <w:color w:val="000000" w:themeColor="text1"/>
                <w:kern w:val="0"/>
                <w:sz w:val="16"/>
                <w:szCs w:val="16"/>
                <w14:textFill>
                  <w14:solidFill>
                    <w14:schemeClr w14:val="tx1"/>
                  </w14:solidFill>
                </w14:textFill>
              </w:rPr>
              <w:t>（万元）</w:t>
            </w:r>
          </w:p>
        </w:tc>
        <w:tc>
          <w:tcPr>
            <w:tcW w:w="1852"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ind w:firstLine="160" w:firstLineChars="100"/>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预算数：</w:t>
            </w:r>
          </w:p>
        </w:tc>
        <w:tc>
          <w:tcPr>
            <w:tcW w:w="14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200.00</w:t>
            </w:r>
          </w:p>
        </w:tc>
        <w:tc>
          <w:tcPr>
            <w:tcW w:w="1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ind w:firstLine="160" w:firstLineChars="100"/>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执行数：</w:t>
            </w:r>
          </w:p>
        </w:tc>
        <w:tc>
          <w:tcPr>
            <w:tcW w:w="23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righ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167.33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810" w:hRule="atLeast"/>
          <w:jc w:val="center"/>
        </w:trPr>
        <w:tc>
          <w:tcPr>
            <w:tcW w:w="226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left"/>
              <w:rPr>
                <w:rFonts w:hint="eastAsia" w:ascii="宋体" w:hAnsi="宋体" w:eastAsia="宋体" w:cs="宋体"/>
                <w:color w:val="000000" w:themeColor="text1"/>
                <w:kern w:val="0"/>
                <w:sz w:val="16"/>
                <w:szCs w:val="16"/>
                <w14:textFill>
                  <w14:solidFill>
                    <w14:schemeClr w14:val="tx1"/>
                  </w14:solidFill>
                </w14:textFill>
              </w:rPr>
            </w:pPr>
          </w:p>
        </w:tc>
        <w:tc>
          <w:tcPr>
            <w:tcW w:w="1852"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其中：</w:t>
            </w:r>
          </w:p>
          <w:p>
            <w:pPr>
              <w:keepNext w:val="0"/>
              <w:keepLines w:val="0"/>
              <w:pageBreakBefore w:val="0"/>
              <w:widowControl/>
              <w:kinsoku/>
              <w:wordWrap/>
              <w:overflowPunct/>
              <w:topLinePunct w:val="0"/>
              <w:autoSpaceDE/>
              <w:autoSpaceDN/>
              <w:bidi w:val="0"/>
              <w:spacing w:line="280" w:lineRule="exact"/>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财政拨款</w:t>
            </w:r>
          </w:p>
        </w:tc>
        <w:tc>
          <w:tcPr>
            <w:tcW w:w="14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50.00</w:t>
            </w:r>
          </w:p>
        </w:tc>
        <w:tc>
          <w:tcPr>
            <w:tcW w:w="1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其中：</w:t>
            </w:r>
          </w:p>
          <w:p>
            <w:pPr>
              <w:keepNext w:val="0"/>
              <w:keepLines w:val="0"/>
              <w:pageBreakBefore w:val="0"/>
              <w:widowControl/>
              <w:kinsoku/>
              <w:wordWrap/>
              <w:overflowPunct/>
              <w:topLinePunct w:val="0"/>
              <w:autoSpaceDE/>
              <w:autoSpaceDN/>
              <w:bidi w:val="0"/>
              <w:spacing w:line="280" w:lineRule="exact"/>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财政拨款</w:t>
            </w:r>
          </w:p>
        </w:tc>
        <w:tc>
          <w:tcPr>
            <w:tcW w:w="23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righ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49.85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73" w:hRule="atLeast"/>
          <w:jc w:val="center"/>
        </w:trPr>
        <w:tc>
          <w:tcPr>
            <w:tcW w:w="226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left"/>
              <w:rPr>
                <w:rFonts w:hint="eastAsia" w:ascii="宋体" w:hAnsi="宋体" w:eastAsia="宋体" w:cs="宋体"/>
                <w:color w:val="000000" w:themeColor="text1"/>
                <w:kern w:val="0"/>
                <w:sz w:val="16"/>
                <w:szCs w:val="16"/>
                <w14:textFill>
                  <w14:solidFill>
                    <w14:schemeClr w14:val="tx1"/>
                  </w14:solidFill>
                </w14:textFill>
              </w:rPr>
            </w:pPr>
          </w:p>
        </w:tc>
        <w:tc>
          <w:tcPr>
            <w:tcW w:w="1852"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其他资金</w:t>
            </w:r>
          </w:p>
        </w:tc>
        <w:tc>
          <w:tcPr>
            <w:tcW w:w="14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150.00</w:t>
            </w:r>
          </w:p>
        </w:tc>
        <w:tc>
          <w:tcPr>
            <w:tcW w:w="1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xml:space="preserve">其他资金        </w:t>
            </w:r>
          </w:p>
        </w:tc>
        <w:tc>
          <w:tcPr>
            <w:tcW w:w="23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righ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117.48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39" w:hRule="atLeast"/>
          <w:jc w:val="center"/>
        </w:trPr>
        <w:tc>
          <w:tcPr>
            <w:tcW w:w="112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年度总体目标完成情况</w:t>
            </w:r>
          </w:p>
        </w:tc>
        <w:tc>
          <w:tcPr>
            <w:tcW w:w="4434"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预期目标</w:t>
            </w:r>
          </w:p>
        </w:tc>
        <w:tc>
          <w:tcPr>
            <w:tcW w:w="395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目标实际完成情况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074" w:hRule="atLeast"/>
          <w:jc w:val="center"/>
        </w:trPr>
        <w:tc>
          <w:tcPr>
            <w:tcW w:w="11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left"/>
              <w:rPr>
                <w:rFonts w:hint="eastAsia" w:ascii="宋体" w:hAnsi="宋体" w:eastAsia="宋体" w:cs="宋体"/>
                <w:color w:val="000000" w:themeColor="text1"/>
                <w:kern w:val="0"/>
                <w:sz w:val="16"/>
                <w:szCs w:val="16"/>
                <w14:textFill>
                  <w14:solidFill>
                    <w14:schemeClr w14:val="tx1"/>
                  </w14:solidFill>
                </w14:textFill>
              </w:rPr>
            </w:pPr>
          </w:p>
        </w:tc>
        <w:tc>
          <w:tcPr>
            <w:tcW w:w="4434"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both"/>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加强大学生思想政治教育，弘扬社会主义核心价值观，建立“法治、人文、和谐、美丽、活力”德校园文化风貌，为学生提供更多更好的展示学生才艺、交流情感、促进学习的平台，开展丰富多彩的文艺、文化、体育活动，建设打造学生喜闻乐见的精品社团，为学生服务。</w:t>
            </w:r>
          </w:p>
        </w:tc>
        <w:tc>
          <w:tcPr>
            <w:tcW w:w="3959"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both"/>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深入学习贯彻党的十九届六中全会精神、习近平总书记在庆祝中国共产党成立100周年大会上的讲话等系列重要精神，开展了“学四史”主题教育活动、庆祝建党一百周年“学党史 强信念 跟党走”系列活动。全年总计开展文化、艺术、体育、思政、志愿服务等活动109场。开展“青春心向党 永远跟党走”第三届大学生艺术节系列活动19场，学生覆盖率100%。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15" w:hRule="atLeast"/>
          <w:jc w:val="center"/>
        </w:trPr>
        <w:tc>
          <w:tcPr>
            <w:tcW w:w="1120" w:type="dxa"/>
            <w:vMerge w:val="restart"/>
            <w:tcBorders>
              <w:top w:val="nil"/>
              <w:left w:val="single" w:color="auto"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年度绩效指标完成情况</w:t>
            </w:r>
          </w:p>
        </w:tc>
        <w:tc>
          <w:tcPr>
            <w:tcW w:w="1148" w:type="dxa"/>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一级指标</w:t>
            </w:r>
          </w:p>
        </w:tc>
        <w:tc>
          <w:tcPr>
            <w:tcW w:w="139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二级</w:t>
            </w:r>
          </w:p>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指标</w:t>
            </w:r>
          </w:p>
        </w:tc>
        <w:tc>
          <w:tcPr>
            <w:tcW w:w="189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三级</w:t>
            </w:r>
          </w:p>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指标</w:t>
            </w:r>
          </w:p>
        </w:tc>
        <w:tc>
          <w:tcPr>
            <w:tcW w:w="1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预期指</w:t>
            </w:r>
          </w:p>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标值</w:t>
            </w:r>
          </w:p>
        </w:tc>
        <w:tc>
          <w:tcPr>
            <w:tcW w:w="23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实际完成指标值</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750" w:hRule="atLeast"/>
          <w:jc w:val="center"/>
        </w:trPr>
        <w:tc>
          <w:tcPr>
            <w:tcW w:w="1120" w:type="dxa"/>
            <w:vMerge w:val="continue"/>
            <w:tcBorders>
              <w:top w:val="nil"/>
              <w:left w:val="single" w:color="auto"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1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完成指标</w:t>
            </w:r>
          </w:p>
        </w:tc>
        <w:tc>
          <w:tcPr>
            <w:tcW w:w="139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数量指标</w:t>
            </w:r>
          </w:p>
        </w:tc>
        <w:tc>
          <w:tcPr>
            <w:tcW w:w="189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开展二课堂,拓展学生综合素质能力</w:t>
            </w:r>
          </w:p>
        </w:tc>
        <w:tc>
          <w:tcPr>
            <w:tcW w:w="1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完成各类学生文化活动项目50个</w:t>
            </w:r>
          </w:p>
        </w:tc>
        <w:tc>
          <w:tcPr>
            <w:tcW w:w="23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完成各类学生文化活动项目109个</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59" w:hRule="atLeast"/>
          <w:jc w:val="center"/>
        </w:trPr>
        <w:tc>
          <w:tcPr>
            <w:tcW w:w="1120" w:type="dxa"/>
            <w:vMerge w:val="continue"/>
            <w:tcBorders>
              <w:top w:val="nil"/>
              <w:left w:val="single" w:color="auto"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14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39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质量指标</w:t>
            </w:r>
          </w:p>
        </w:tc>
        <w:tc>
          <w:tcPr>
            <w:tcW w:w="189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23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57" w:hRule="atLeast"/>
          <w:jc w:val="center"/>
        </w:trPr>
        <w:tc>
          <w:tcPr>
            <w:tcW w:w="1120" w:type="dxa"/>
            <w:vMerge w:val="continue"/>
            <w:tcBorders>
              <w:top w:val="nil"/>
              <w:left w:val="single" w:color="auto"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14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39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时效指标</w:t>
            </w:r>
          </w:p>
        </w:tc>
        <w:tc>
          <w:tcPr>
            <w:tcW w:w="189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23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94" w:hRule="atLeast"/>
          <w:jc w:val="center"/>
        </w:trPr>
        <w:tc>
          <w:tcPr>
            <w:tcW w:w="1120" w:type="dxa"/>
            <w:vMerge w:val="continue"/>
            <w:tcBorders>
              <w:top w:val="nil"/>
              <w:left w:val="single" w:color="auto"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14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39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成本指标</w:t>
            </w:r>
          </w:p>
        </w:tc>
        <w:tc>
          <w:tcPr>
            <w:tcW w:w="189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按照项目预算控制成本</w:t>
            </w:r>
          </w:p>
        </w:tc>
        <w:tc>
          <w:tcPr>
            <w:tcW w:w="1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项目成本控制在150万以内</w:t>
            </w:r>
          </w:p>
        </w:tc>
        <w:tc>
          <w:tcPr>
            <w:tcW w:w="23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59.34万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53" w:hRule="atLeast"/>
          <w:jc w:val="center"/>
        </w:trPr>
        <w:tc>
          <w:tcPr>
            <w:tcW w:w="1120" w:type="dxa"/>
            <w:vMerge w:val="continue"/>
            <w:tcBorders>
              <w:top w:val="nil"/>
              <w:left w:val="single" w:color="auto"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1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效益指标</w:t>
            </w:r>
          </w:p>
        </w:tc>
        <w:tc>
          <w:tcPr>
            <w:tcW w:w="139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经济效益指标</w:t>
            </w:r>
          </w:p>
        </w:tc>
        <w:tc>
          <w:tcPr>
            <w:tcW w:w="189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23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21" w:hRule="atLeast"/>
          <w:jc w:val="center"/>
        </w:trPr>
        <w:tc>
          <w:tcPr>
            <w:tcW w:w="1120" w:type="dxa"/>
            <w:vMerge w:val="continue"/>
            <w:tcBorders>
              <w:top w:val="nil"/>
              <w:left w:val="single" w:color="auto"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14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39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社会效益指标</w:t>
            </w:r>
          </w:p>
        </w:tc>
        <w:tc>
          <w:tcPr>
            <w:tcW w:w="189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职业教育受益学生</w:t>
            </w:r>
          </w:p>
        </w:tc>
        <w:tc>
          <w:tcPr>
            <w:tcW w:w="1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各类学生文化活动受益学生4000余名</w:t>
            </w:r>
          </w:p>
        </w:tc>
        <w:tc>
          <w:tcPr>
            <w:tcW w:w="23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各类学生文化活动受益学生4100余名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09" w:hRule="atLeast"/>
          <w:jc w:val="center"/>
        </w:trPr>
        <w:tc>
          <w:tcPr>
            <w:tcW w:w="1120" w:type="dxa"/>
            <w:vMerge w:val="continue"/>
            <w:tcBorders>
              <w:top w:val="nil"/>
              <w:left w:val="single" w:color="auto"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14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39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生态效益指标</w:t>
            </w:r>
          </w:p>
        </w:tc>
        <w:tc>
          <w:tcPr>
            <w:tcW w:w="189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23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04" w:hRule="atLeast"/>
          <w:jc w:val="center"/>
        </w:trPr>
        <w:tc>
          <w:tcPr>
            <w:tcW w:w="1120" w:type="dxa"/>
            <w:vMerge w:val="continue"/>
            <w:tcBorders>
              <w:top w:val="nil"/>
              <w:left w:val="single" w:color="auto"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14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39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可持续影响指标</w:t>
            </w:r>
          </w:p>
        </w:tc>
        <w:tc>
          <w:tcPr>
            <w:tcW w:w="189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23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680" w:hRule="atLeast"/>
          <w:jc w:val="center"/>
        </w:trPr>
        <w:tc>
          <w:tcPr>
            <w:tcW w:w="1120" w:type="dxa"/>
            <w:vMerge w:val="continue"/>
            <w:tcBorders>
              <w:top w:val="nil"/>
              <w:left w:val="single" w:color="auto"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14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满意度指标</w:t>
            </w:r>
          </w:p>
        </w:tc>
        <w:tc>
          <w:tcPr>
            <w:tcW w:w="139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满意度指标</w:t>
            </w:r>
          </w:p>
        </w:tc>
        <w:tc>
          <w:tcPr>
            <w:tcW w:w="189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师生综合满意度</w:t>
            </w:r>
          </w:p>
        </w:tc>
        <w:tc>
          <w:tcPr>
            <w:tcW w:w="1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学生活动师生满意度达到80%</w:t>
            </w:r>
          </w:p>
        </w:tc>
        <w:tc>
          <w:tcPr>
            <w:tcW w:w="23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学生活动师生满意度95%</w:t>
            </w:r>
          </w:p>
        </w:tc>
      </w:tr>
    </w:tbl>
    <w:p>
      <w:pPr>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color w:val="000000" w:themeColor="text1"/>
          <w:spacing w:val="-11"/>
          <w:sz w:val="32"/>
          <w:szCs w:val="32"/>
          <w14:textFill>
            <w14:solidFill>
              <w14:schemeClr w14:val="tx1"/>
            </w14:solidFill>
          </w14:textFill>
        </w:rPr>
      </w:pPr>
      <w:r>
        <w:rPr>
          <w:rFonts w:hint="eastAsia" w:ascii="宋体" w:hAnsi="宋体" w:eastAsia="宋体" w:cs="宋体"/>
          <w:b/>
          <w:color w:val="000000" w:themeColor="text1"/>
          <w:spacing w:val="-11"/>
          <w:sz w:val="32"/>
          <w:szCs w:val="32"/>
          <w14:textFill>
            <w14:solidFill>
              <w14:schemeClr w14:val="tx1"/>
            </w14:solidFill>
          </w14:textFill>
        </w:rPr>
        <w:t>2021年100万元以上（含）特定目标类部门预算项目绩效目标自评</w:t>
      </w:r>
    </w:p>
    <w:p>
      <w:pPr>
        <w:bidi w:val="0"/>
        <w:rPr>
          <w:rFonts w:hint="eastAsia"/>
          <w:color w:val="000000" w:themeColor="text1"/>
          <w14:textFill>
            <w14:solidFill>
              <w14:schemeClr w14:val="tx1"/>
            </w14:solidFill>
          </w14:textFill>
        </w:rPr>
      </w:pPr>
    </w:p>
    <w:tbl>
      <w:tblPr>
        <w:tblStyle w:val="14"/>
        <w:tblpPr w:leftFromText="180" w:rightFromText="180" w:vertAnchor="text" w:horzAnchor="page" w:tblpX="1355" w:tblpY="313"/>
        <w:tblOverlap w:val="never"/>
        <w:tblW w:w="9500" w:type="dxa"/>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108" w:type="dxa"/>
          <w:bottom w:w="0" w:type="dxa"/>
          <w:right w:w="108" w:type="dxa"/>
        </w:tblCellMar>
      </w:tblPr>
      <w:tblGrid>
        <w:gridCol w:w="1120"/>
        <w:gridCol w:w="1300"/>
        <w:gridCol w:w="1480"/>
        <w:gridCol w:w="840"/>
        <w:gridCol w:w="960"/>
        <w:gridCol w:w="1403"/>
        <w:gridCol w:w="2397"/>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108" w:type="dxa"/>
            <w:bottom w:w="0" w:type="dxa"/>
            <w:right w:w="108" w:type="dxa"/>
          </w:tblCellMar>
        </w:tblPrEx>
        <w:trPr>
          <w:trHeight w:val="439" w:hRule="atLeast"/>
        </w:trPr>
        <w:tc>
          <w:tcPr>
            <w:tcW w:w="24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项目名称</w:t>
            </w:r>
          </w:p>
        </w:tc>
        <w:tc>
          <w:tcPr>
            <w:tcW w:w="708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教学活动及招生就业经费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7" w:hRule="atLeast"/>
        </w:trPr>
        <w:tc>
          <w:tcPr>
            <w:tcW w:w="24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主管部门及代码</w:t>
            </w:r>
          </w:p>
        </w:tc>
        <w:tc>
          <w:tcPr>
            <w:tcW w:w="32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四川省司法厅</w:t>
            </w:r>
          </w:p>
        </w:tc>
        <w:tc>
          <w:tcPr>
            <w:tcW w:w="140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实施单位</w:t>
            </w:r>
          </w:p>
        </w:tc>
        <w:tc>
          <w:tcPr>
            <w:tcW w:w="239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四川司法警官职业学院</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70" w:hRule="atLeast"/>
        </w:trPr>
        <w:tc>
          <w:tcPr>
            <w:tcW w:w="24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项目预算</w:t>
            </w:r>
            <w:r>
              <w:rPr>
                <w:rFonts w:hint="eastAsia" w:ascii="宋体" w:hAnsi="宋体" w:eastAsia="宋体" w:cs="宋体"/>
                <w:color w:val="000000" w:themeColor="text1"/>
                <w:kern w:val="0"/>
                <w:sz w:val="16"/>
                <w:szCs w:val="16"/>
                <w14:textFill>
                  <w14:solidFill>
                    <w14:schemeClr w14:val="tx1"/>
                  </w14:solidFill>
                </w14:textFill>
              </w:rPr>
              <w:br w:type="textWrapping"/>
            </w:r>
            <w:r>
              <w:rPr>
                <w:rFonts w:hint="eastAsia" w:ascii="宋体" w:hAnsi="宋体" w:eastAsia="宋体" w:cs="宋体"/>
                <w:color w:val="000000" w:themeColor="text1"/>
                <w:kern w:val="0"/>
                <w:sz w:val="16"/>
                <w:szCs w:val="16"/>
                <w14:textFill>
                  <w14:solidFill>
                    <w14:schemeClr w14:val="tx1"/>
                  </w14:solidFill>
                </w14:textFill>
              </w:rPr>
              <w:t>执行情况</w:t>
            </w:r>
            <w:r>
              <w:rPr>
                <w:rFonts w:hint="eastAsia" w:ascii="宋体" w:hAnsi="宋体" w:eastAsia="宋体" w:cs="宋体"/>
                <w:color w:val="000000" w:themeColor="text1"/>
                <w:kern w:val="0"/>
                <w:sz w:val="16"/>
                <w:szCs w:val="16"/>
                <w14:textFill>
                  <w14:solidFill>
                    <w14:schemeClr w14:val="tx1"/>
                  </w14:solidFill>
                </w14:textFill>
              </w:rPr>
              <w:br w:type="textWrapping"/>
            </w:r>
            <w:r>
              <w:rPr>
                <w:rFonts w:hint="eastAsia" w:ascii="宋体" w:hAnsi="宋体" w:eastAsia="宋体" w:cs="宋体"/>
                <w:color w:val="000000" w:themeColor="text1"/>
                <w:kern w:val="0"/>
                <w:sz w:val="16"/>
                <w:szCs w:val="16"/>
                <w14:textFill>
                  <w14:solidFill>
                    <w14:schemeClr w14:val="tx1"/>
                  </w14:solidFill>
                </w14:textFill>
              </w:rPr>
              <w:t>（万元）</w:t>
            </w:r>
          </w:p>
        </w:tc>
        <w:tc>
          <w:tcPr>
            <w:tcW w:w="2320" w:type="dxa"/>
            <w:gridSpan w:val="2"/>
            <w:tcBorders>
              <w:top w:val="single" w:color="auto" w:sz="4" w:space="0"/>
              <w:left w:val="nil"/>
              <w:bottom w:val="single" w:color="auto" w:sz="4" w:space="0"/>
              <w:right w:val="single" w:color="000000" w:sz="4" w:space="0"/>
            </w:tcBorders>
            <w:shd w:val="clear" w:color="auto" w:fill="auto"/>
            <w:vAlign w:val="center"/>
          </w:tcPr>
          <w:p>
            <w:pPr>
              <w:widowControl/>
              <w:ind w:firstLine="160" w:firstLineChars="100"/>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预算数：</w:t>
            </w:r>
          </w:p>
        </w:tc>
        <w:tc>
          <w:tcPr>
            <w:tcW w:w="9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480.00</w:t>
            </w:r>
          </w:p>
        </w:tc>
        <w:tc>
          <w:tcPr>
            <w:tcW w:w="1403" w:type="dxa"/>
            <w:tcBorders>
              <w:top w:val="nil"/>
              <w:left w:val="nil"/>
              <w:bottom w:val="single" w:color="auto" w:sz="4" w:space="0"/>
              <w:right w:val="single" w:color="auto" w:sz="4" w:space="0"/>
            </w:tcBorders>
            <w:shd w:val="clear" w:color="auto" w:fill="auto"/>
            <w:vAlign w:val="center"/>
          </w:tcPr>
          <w:p>
            <w:pPr>
              <w:widowControl/>
              <w:ind w:firstLine="160" w:firstLineChars="100"/>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执行数：</w:t>
            </w:r>
          </w:p>
        </w:tc>
        <w:tc>
          <w:tcPr>
            <w:tcW w:w="2397"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221.19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90" w:hRule="atLeast"/>
        </w:trPr>
        <w:tc>
          <w:tcPr>
            <w:tcW w:w="242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23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其中：</w:t>
            </w:r>
          </w:p>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财政拨款</w:t>
            </w:r>
          </w:p>
        </w:tc>
        <w:tc>
          <w:tcPr>
            <w:tcW w:w="9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183.00</w:t>
            </w:r>
          </w:p>
        </w:tc>
        <w:tc>
          <w:tcPr>
            <w:tcW w:w="140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其中：</w:t>
            </w:r>
          </w:p>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财政拨款</w:t>
            </w:r>
          </w:p>
        </w:tc>
        <w:tc>
          <w:tcPr>
            <w:tcW w:w="2397"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182.99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42" w:hRule="atLeast"/>
        </w:trPr>
        <w:tc>
          <w:tcPr>
            <w:tcW w:w="242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23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其他资金</w:t>
            </w:r>
          </w:p>
        </w:tc>
        <w:tc>
          <w:tcPr>
            <w:tcW w:w="9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297.00</w:t>
            </w:r>
          </w:p>
        </w:tc>
        <w:tc>
          <w:tcPr>
            <w:tcW w:w="140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其他资金</w:t>
            </w:r>
          </w:p>
        </w:tc>
        <w:tc>
          <w:tcPr>
            <w:tcW w:w="2397"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38.20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39" w:hRule="atLeast"/>
        </w:trPr>
        <w:tc>
          <w:tcPr>
            <w:tcW w:w="11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年度总体目标完成情况</w:t>
            </w:r>
          </w:p>
        </w:tc>
        <w:tc>
          <w:tcPr>
            <w:tcW w:w="45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预期目标</w:t>
            </w:r>
          </w:p>
        </w:tc>
        <w:tc>
          <w:tcPr>
            <w:tcW w:w="38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目标实际完成情况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996" w:hRule="atLeast"/>
        </w:trPr>
        <w:tc>
          <w:tcPr>
            <w:tcW w:w="11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45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完成在校4000余名学生的日常教学工作、招生就业工作，保证职业教育质量稳步提升</w:t>
            </w:r>
          </w:p>
        </w:tc>
        <w:tc>
          <w:tcPr>
            <w:tcW w:w="3800"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专业建设再上新台阶。积极申报四川省高水平高职学校和高水平专业群建设计划，成功入围四川省高水平高职学校建设培育单位，刑事执行专业群获建设立项。成功申报大数据技术和智能安防运营管理两个新专业。</w:t>
            </w:r>
            <w:r>
              <w:rPr>
                <w:rFonts w:hint="eastAsia" w:ascii="宋体" w:hAnsi="宋体" w:eastAsia="宋体" w:cs="宋体"/>
                <w:color w:val="000000" w:themeColor="text1"/>
                <w:kern w:val="0"/>
                <w:sz w:val="16"/>
                <w:szCs w:val="16"/>
                <w14:textFill>
                  <w14:solidFill>
                    <w14:schemeClr w14:val="tx1"/>
                  </w14:solidFill>
                </w14:textFill>
              </w:rPr>
              <w:br w:type="textWrapping"/>
            </w:r>
            <w:r>
              <w:rPr>
                <w:rFonts w:hint="eastAsia" w:ascii="宋体" w:hAnsi="宋体" w:eastAsia="宋体" w:cs="宋体"/>
                <w:color w:val="000000" w:themeColor="text1"/>
                <w:kern w:val="0"/>
                <w:sz w:val="16"/>
                <w:szCs w:val="16"/>
                <w14:textFill>
                  <w14:solidFill>
                    <w14:schemeClr w14:val="tx1"/>
                  </w14:solidFill>
                </w14:textFill>
              </w:rPr>
              <w:t>2.课程建设增添新硕果。《人民调解实务》被教育部评为国家级课程思政示范课，《强制隔离戒毒人员教育矫治》被行指委评为部级课程思政示范课。</w:t>
            </w:r>
            <w:r>
              <w:rPr>
                <w:rFonts w:hint="eastAsia" w:ascii="宋体" w:hAnsi="宋体" w:eastAsia="宋体" w:cs="宋体"/>
                <w:color w:val="000000" w:themeColor="text1"/>
                <w:kern w:val="0"/>
                <w:sz w:val="16"/>
                <w:szCs w:val="16"/>
                <w14:textFill>
                  <w14:solidFill>
                    <w14:schemeClr w14:val="tx1"/>
                  </w14:solidFill>
                </w14:textFill>
              </w:rPr>
              <w:br w:type="textWrapping"/>
            </w:r>
            <w:r>
              <w:rPr>
                <w:rFonts w:hint="eastAsia" w:ascii="宋体" w:hAnsi="宋体" w:eastAsia="宋体" w:cs="宋体"/>
                <w:color w:val="000000" w:themeColor="text1"/>
                <w:kern w:val="0"/>
                <w:sz w:val="16"/>
                <w:szCs w:val="16"/>
                <w14:textFill>
                  <w14:solidFill>
                    <w14:schemeClr w14:val="tx1"/>
                  </w14:solidFill>
                </w14:textFill>
              </w:rPr>
              <w:t>3.教学大赛取得新成绩。教师团队参加2021年四川省和全国司法职业院校教师教学能力大赛，荣获省赛二等奖2个、三等奖2个、行指委大赛二等奖2个、三等奖2个。</w:t>
            </w:r>
            <w:r>
              <w:rPr>
                <w:rFonts w:hint="eastAsia" w:ascii="宋体" w:hAnsi="宋体" w:eastAsia="宋体" w:cs="宋体"/>
                <w:color w:val="000000" w:themeColor="text1"/>
                <w:kern w:val="0"/>
                <w:sz w:val="16"/>
                <w:szCs w:val="16"/>
                <w14:textFill>
                  <w14:solidFill>
                    <w14:schemeClr w14:val="tx1"/>
                  </w14:solidFill>
                </w14:textFill>
              </w:rPr>
              <w:br w:type="textWrapping"/>
            </w:r>
            <w:r>
              <w:rPr>
                <w:rFonts w:hint="eastAsia" w:ascii="宋体" w:hAnsi="宋体" w:eastAsia="宋体" w:cs="宋体"/>
                <w:color w:val="000000" w:themeColor="text1"/>
                <w:kern w:val="0"/>
                <w:sz w:val="16"/>
                <w:szCs w:val="16"/>
                <w14:textFill>
                  <w14:solidFill>
                    <w14:schemeClr w14:val="tx1"/>
                  </w14:solidFill>
                </w14:textFill>
              </w:rPr>
              <w:t>4.人才培养取得新成效。2021年有323人“专升本”升入本科院校就读，与2020年同比增加32.38%，占毕业生总数22.2%，排在全省高职院校前八。学生荣获全国学生“学宪法、讲宪法”四川赛区高校总决赛冠军，全省大学生国家安全暨人民防线知识与技能竞赛一等奖，全国高校大学生讲思政课省级展示二等奖，全省大学生计算机作品大赛1个二等奖、1个三等奖等多项殊荣。学院刑事司法系立项为“三全育人”综合改革试点院（系）。</w:t>
            </w:r>
            <w:r>
              <w:rPr>
                <w:rFonts w:hint="eastAsia" w:ascii="宋体" w:hAnsi="宋体" w:eastAsia="宋体" w:cs="宋体"/>
                <w:color w:val="000000" w:themeColor="text1"/>
                <w:kern w:val="0"/>
                <w:sz w:val="16"/>
                <w:szCs w:val="16"/>
                <w14:textFill>
                  <w14:solidFill>
                    <w14:schemeClr w14:val="tx1"/>
                  </w14:solidFill>
                </w14:textFill>
              </w:rPr>
              <w:br w:type="textWrapping"/>
            </w:r>
            <w:r>
              <w:rPr>
                <w:rFonts w:hint="eastAsia" w:ascii="宋体" w:hAnsi="宋体" w:eastAsia="宋体" w:cs="宋体"/>
                <w:color w:val="000000" w:themeColor="text1"/>
                <w:kern w:val="0"/>
                <w:sz w:val="16"/>
                <w:szCs w:val="16"/>
                <w14:textFill>
                  <w14:solidFill>
                    <w14:schemeClr w14:val="tx1"/>
                  </w14:solidFill>
                </w14:textFill>
              </w:rPr>
              <w:t>5.“1+X”证书试点取得新突破。完成智慧安防系统实施与运维职业技能等级证书的申报，学院成为教育部“1+X”证书试点院校，是该证书省内唯一考核站点。目前学院首批27人参加该证书的中级等级考试，26人通过，通过率为96.3%，居全国司法警官院校之首。</w:t>
            </w:r>
            <w:r>
              <w:rPr>
                <w:rFonts w:hint="eastAsia" w:ascii="宋体" w:hAnsi="宋体" w:eastAsia="宋体" w:cs="宋体"/>
                <w:color w:val="000000" w:themeColor="text1"/>
                <w:kern w:val="0"/>
                <w:sz w:val="16"/>
                <w:szCs w:val="16"/>
                <w14:textFill>
                  <w14:solidFill>
                    <w14:schemeClr w14:val="tx1"/>
                  </w14:solidFill>
                </w14:textFill>
              </w:rPr>
              <w:br w:type="textWrapping"/>
            </w:r>
            <w:r>
              <w:rPr>
                <w:rFonts w:hint="eastAsia" w:ascii="宋体" w:hAnsi="宋体" w:eastAsia="宋体" w:cs="宋体"/>
                <w:color w:val="000000" w:themeColor="text1"/>
                <w:kern w:val="0"/>
                <w:sz w:val="16"/>
                <w:szCs w:val="16"/>
                <w14:textFill>
                  <w14:solidFill>
                    <w14:schemeClr w14:val="tx1"/>
                  </w14:solidFill>
                </w14:textFill>
              </w:rPr>
              <w:t>6.教学成果奖实现零的突破。《司法行政警察类专业虚拟仿真实训教学探索与实践》、《"一战到底"式警务技能课程改革与实践》获得首届职业教育教学成果奖省级二等奖。</w:t>
            </w:r>
            <w:r>
              <w:rPr>
                <w:rFonts w:hint="eastAsia" w:ascii="宋体" w:hAnsi="宋体" w:eastAsia="宋体" w:cs="宋体"/>
                <w:color w:val="000000" w:themeColor="text1"/>
                <w:kern w:val="0"/>
                <w:sz w:val="16"/>
                <w:szCs w:val="16"/>
                <w14:textFill>
                  <w14:solidFill>
                    <w14:schemeClr w14:val="tx1"/>
                  </w14:solidFill>
                </w14:textFill>
              </w:rPr>
              <w:br w:type="textWrapping"/>
            </w:r>
            <w:r>
              <w:rPr>
                <w:rFonts w:hint="eastAsia" w:ascii="宋体" w:hAnsi="宋体" w:eastAsia="宋体" w:cs="宋体"/>
                <w:color w:val="000000" w:themeColor="text1"/>
                <w:kern w:val="0"/>
                <w:sz w:val="16"/>
                <w:szCs w:val="16"/>
                <w14:textFill>
                  <w14:solidFill>
                    <w14:schemeClr w14:val="tx1"/>
                  </w14:solidFill>
                </w14:textFill>
              </w:rPr>
              <w:t>7.首次承接行业技能大赛。组织申报全国司法职业教育实务技能大赛举办事宜，草拟行指委2021年全国司法职业教育实务大赛通知，完成了学院总方案设计和各个赛项的线上线下比赛方案，目前各项目仍在备赛中。</w:t>
            </w:r>
            <w:r>
              <w:rPr>
                <w:rFonts w:hint="eastAsia" w:ascii="宋体" w:hAnsi="宋体" w:eastAsia="宋体" w:cs="宋体"/>
                <w:color w:val="000000" w:themeColor="text1"/>
                <w:kern w:val="0"/>
                <w:sz w:val="16"/>
                <w:szCs w:val="16"/>
                <w14:textFill>
                  <w14:solidFill>
                    <w14:schemeClr w14:val="tx1"/>
                  </w14:solidFill>
                </w14:textFill>
              </w:rPr>
              <w:br w:type="textWrapping"/>
            </w:r>
            <w:r>
              <w:rPr>
                <w:rFonts w:hint="eastAsia" w:ascii="宋体" w:hAnsi="宋体" w:eastAsia="宋体" w:cs="宋体"/>
                <w:color w:val="000000" w:themeColor="text1"/>
                <w:kern w:val="0"/>
                <w:sz w:val="16"/>
                <w:szCs w:val="16"/>
                <w14:textFill>
                  <w14:solidFill>
                    <w14:schemeClr w14:val="tx1"/>
                  </w14:solidFill>
                </w14:textFill>
              </w:rPr>
              <w:t>8.提质培优稳步推进。提质培优行动计划学院共承接16个大项、21个小项的提质培优任务（项目），计划投入总金额4320万元。2021年已投入经费1087.97万元，完成百分比为25.18%。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108" w:type="dxa"/>
            <w:bottom w:w="0" w:type="dxa"/>
            <w:right w:w="108" w:type="dxa"/>
          </w:tblCellMar>
        </w:tblPrEx>
        <w:trPr>
          <w:trHeight w:val="439" w:hRule="atLeast"/>
        </w:trPr>
        <w:tc>
          <w:tcPr>
            <w:tcW w:w="1120" w:type="dxa"/>
            <w:vMerge w:val="restart"/>
            <w:tcBorders>
              <w:top w:val="single" w:color="auto" w:sz="4" w:space="0"/>
              <w:left w:val="single" w:color="auto" w:sz="4" w:space="0"/>
              <w:bottom w:val="single" w:color="000000" w:sz="4" w:space="0"/>
              <w:right w:val="nil"/>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年度绩效指标完成情况</w:t>
            </w:r>
          </w:p>
        </w:tc>
        <w:tc>
          <w:tcPr>
            <w:tcW w:w="130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一级</w:t>
            </w:r>
          </w:p>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指标</w:t>
            </w:r>
          </w:p>
        </w:tc>
        <w:tc>
          <w:tcPr>
            <w:tcW w:w="148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二级</w:t>
            </w:r>
          </w:p>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指标</w:t>
            </w:r>
          </w:p>
        </w:tc>
        <w:tc>
          <w:tcPr>
            <w:tcW w:w="18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三级</w:t>
            </w:r>
          </w:p>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指标</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预期指</w:t>
            </w:r>
          </w:p>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标值</w:t>
            </w:r>
          </w:p>
        </w:tc>
        <w:tc>
          <w:tcPr>
            <w:tcW w:w="2397"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实际完成指标值</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80" w:hRule="atLeast"/>
        </w:trPr>
        <w:tc>
          <w:tcPr>
            <w:tcW w:w="1120" w:type="dxa"/>
            <w:vMerge w:val="continue"/>
            <w:tcBorders>
              <w:top w:val="nil"/>
              <w:left w:val="single" w:color="auto" w:sz="4" w:space="0"/>
              <w:bottom w:val="single" w:color="000000" w:sz="4" w:space="0"/>
              <w:right w:val="nil"/>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3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完成</w:t>
            </w:r>
          </w:p>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指标</w:t>
            </w:r>
          </w:p>
        </w:tc>
        <w:tc>
          <w:tcPr>
            <w:tcW w:w="1480"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数量指标</w:t>
            </w:r>
          </w:p>
        </w:tc>
        <w:tc>
          <w:tcPr>
            <w:tcW w:w="1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生均拨款</w:t>
            </w:r>
          </w:p>
        </w:tc>
        <w:tc>
          <w:tcPr>
            <w:tcW w:w="1403"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生均拨款达到1.2万元</w:t>
            </w:r>
          </w:p>
        </w:tc>
        <w:tc>
          <w:tcPr>
            <w:tcW w:w="2397"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生均拨款达到1.2万元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210" w:hRule="atLeast"/>
        </w:trPr>
        <w:tc>
          <w:tcPr>
            <w:tcW w:w="1120" w:type="dxa"/>
            <w:vMerge w:val="continue"/>
            <w:tcBorders>
              <w:top w:val="nil"/>
              <w:left w:val="single" w:color="auto" w:sz="4" w:space="0"/>
              <w:bottom w:val="single" w:color="000000" w:sz="4" w:space="0"/>
              <w:right w:val="nil"/>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30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480"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质量指标</w:t>
            </w:r>
          </w:p>
        </w:tc>
        <w:tc>
          <w:tcPr>
            <w:tcW w:w="180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专业课程建设</w:t>
            </w:r>
          </w:p>
        </w:tc>
        <w:tc>
          <w:tcPr>
            <w:tcW w:w="1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对新建专业进行调研，完成院级精品课2门，编写教材2本</w:t>
            </w:r>
          </w:p>
        </w:tc>
        <w:tc>
          <w:tcPr>
            <w:tcW w:w="239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积极申报四川省高水平高职学校和高水平专业群建设计划，成功入围四川省高水平高职学校建设培育单位，刑事执行专业群获建设立项。成功申报大数据技术和智能安防运营管理2个新专业。</w:t>
            </w:r>
            <w:r>
              <w:rPr>
                <w:rFonts w:hint="eastAsia" w:ascii="宋体" w:hAnsi="宋体" w:eastAsia="宋体" w:cs="宋体"/>
                <w:color w:val="000000" w:themeColor="text1"/>
                <w:kern w:val="0"/>
                <w:sz w:val="16"/>
                <w:szCs w:val="16"/>
                <w14:textFill>
                  <w14:solidFill>
                    <w14:schemeClr w14:val="tx1"/>
                  </w14:solidFill>
                </w14:textFill>
              </w:rPr>
              <w:br w:type="textWrapping"/>
            </w:r>
            <w:r>
              <w:rPr>
                <w:rFonts w:hint="eastAsia" w:ascii="宋体" w:hAnsi="宋体" w:eastAsia="宋体" w:cs="宋体"/>
                <w:color w:val="000000" w:themeColor="text1"/>
                <w:kern w:val="0"/>
                <w:sz w:val="16"/>
                <w:szCs w:val="16"/>
                <w14:textFill>
                  <w14:solidFill>
                    <w14:schemeClr w14:val="tx1"/>
                  </w14:solidFill>
                </w14:textFill>
              </w:rPr>
              <w:t>《人民调解实务》被教育部评为国家级课程思政示范课，《强制隔离戒毒人员教育矫治》被行指委评为部级课程思政示范课。积极开展校企双元合作开发的职业教育教材建设工作，校监双元合作开发《监狱人民警察警务技能训练大纲》，完成《监狱人民警察警务技能训练教材（公共科目）》编制。</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80" w:hRule="atLeast"/>
        </w:trPr>
        <w:tc>
          <w:tcPr>
            <w:tcW w:w="1120" w:type="dxa"/>
            <w:vMerge w:val="continue"/>
            <w:tcBorders>
              <w:top w:val="nil"/>
              <w:left w:val="single" w:color="auto" w:sz="4" w:space="0"/>
              <w:bottom w:val="single" w:color="000000" w:sz="4" w:space="0"/>
              <w:right w:val="nil"/>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30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480"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时效指标</w:t>
            </w:r>
          </w:p>
        </w:tc>
        <w:tc>
          <w:tcPr>
            <w:tcW w:w="180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239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45" w:hRule="atLeast"/>
        </w:trPr>
        <w:tc>
          <w:tcPr>
            <w:tcW w:w="1120" w:type="dxa"/>
            <w:vMerge w:val="continue"/>
            <w:tcBorders>
              <w:top w:val="nil"/>
              <w:left w:val="single" w:color="auto" w:sz="4" w:space="0"/>
              <w:bottom w:val="single" w:color="000000" w:sz="4" w:space="0"/>
              <w:right w:val="nil"/>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30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480"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成本指标</w:t>
            </w:r>
          </w:p>
        </w:tc>
        <w:tc>
          <w:tcPr>
            <w:tcW w:w="180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按照项目预算控制</w:t>
            </w:r>
          </w:p>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成本</w:t>
            </w:r>
          </w:p>
        </w:tc>
        <w:tc>
          <w:tcPr>
            <w:tcW w:w="1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项目成本控制在242万以内</w:t>
            </w:r>
          </w:p>
        </w:tc>
        <w:tc>
          <w:tcPr>
            <w:tcW w:w="239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项目成本控制在242万以内</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40" w:hRule="atLeast"/>
        </w:trPr>
        <w:tc>
          <w:tcPr>
            <w:tcW w:w="1120" w:type="dxa"/>
            <w:vMerge w:val="continue"/>
            <w:tcBorders>
              <w:top w:val="nil"/>
              <w:left w:val="single" w:color="auto" w:sz="4" w:space="0"/>
              <w:bottom w:val="single" w:color="000000" w:sz="4" w:space="0"/>
              <w:right w:val="nil"/>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3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效益</w:t>
            </w:r>
          </w:p>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指标</w:t>
            </w:r>
          </w:p>
        </w:tc>
        <w:tc>
          <w:tcPr>
            <w:tcW w:w="1480"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经济效益指标</w:t>
            </w:r>
          </w:p>
        </w:tc>
        <w:tc>
          <w:tcPr>
            <w:tcW w:w="180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为经济社会发展提供技术技能型人才</w:t>
            </w:r>
          </w:p>
        </w:tc>
        <w:tc>
          <w:tcPr>
            <w:tcW w:w="1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专业人才达到400余人</w:t>
            </w:r>
          </w:p>
        </w:tc>
        <w:tc>
          <w:tcPr>
            <w:tcW w:w="239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提供技术技能型人才450人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765" w:hRule="atLeast"/>
        </w:trPr>
        <w:tc>
          <w:tcPr>
            <w:tcW w:w="1120" w:type="dxa"/>
            <w:vMerge w:val="continue"/>
            <w:tcBorders>
              <w:top w:val="nil"/>
              <w:left w:val="single" w:color="auto" w:sz="4" w:space="0"/>
              <w:bottom w:val="single" w:color="000000" w:sz="4" w:space="0"/>
              <w:right w:val="nil"/>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30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480"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社会效益指标</w:t>
            </w:r>
          </w:p>
        </w:tc>
        <w:tc>
          <w:tcPr>
            <w:tcW w:w="180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职业教育受益学生</w:t>
            </w:r>
          </w:p>
        </w:tc>
        <w:tc>
          <w:tcPr>
            <w:tcW w:w="1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每年职业教育受益学生达到1300余人</w:t>
            </w:r>
          </w:p>
        </w:tc>
        <w:tc>
          <w:tcPr>
            <w:tcW w:w="239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每年职业教育受益学生达到1380人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80" w:hRule="atLeast"/>
        </w:trPr>
        <w:tc>
          <w:tcPr>
            <w:tcW w:w="1120" w:type="dxa"/>
            <w:vMerge w:val="continue"/>
            <w:tcBorders>
              <w:top w:val="nil"/>
              <w:left w:val="single" w:color="auto" w:sz="4" w:space="0"/>
              <w:bottom w:val="single" w:color="000000" w:sz="4" w:space="0"/>
              <w:right w:val="nil"/>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30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480"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生态效益指标</w:t>
            </w:r>
          </w:p>
        </w:tc>
        <w:tc>
          <w:tcPr>
            <w:tcW w:w="180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239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80" w:hRule="atLeast"/>
        </w:trPr>
        <w:tc>
          <w:tcPr>
            <w:tcW w:w="1120" w:type="dxa"/>
            <w:vMerge w:val="continue"/>
            <w:tcBorders>
              <w:top w:val="nil"/>
              <w:left w:val="single" w:color="auto" w:sz="4" w:space="0"/>
              <w:bottom w:val="single" w:color="000000" w:sz="4" w:space="0"/>
              <w:right w:val="nil"/>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30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480"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可持续影响指标</w:t>
            </w:r>
          </w:p>
        </w:tc>
        <w:tc>
          <w:tcPr>
            <w:tcW w:w="180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影响青少年（学生）</w:t>
            </w:r>
          </w:p>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数量</w:t>
            </w:r>
          </w:p>
        </w:tc>
        <w:tc>
          <w:tcPr>
            <w:tcW w:w="1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影响学生人数4200余人</w:t>
            </w:r>
          </w:p>
        </w:tc>
        <w:tc>
          <w:tcPr>
            <w:tcW w:w="239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影响学生人数约4204人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215" w:hRule="atLeast"/>
        </w:trPr>
        <w:tc>
          <w:tcPr>
            <w:tcW w:w="1120" w:type="dxa"/>
            <w:vMerge w:val="continue"/>
            <w:tcBorders>
              <w:top w:val="nil"/>
              <w:left w:val="single" w:color="auto" w:sz="4" w:space="0"/>
              <w:bottom w:val="single" w:color="000000" w:sz="4" w:space="0"/>
              <w:right w:val="nil"/>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300" w:type="dxa"/>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满意</w:t>
            </w:r>
          </w:p>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度指标</w:t>
            </w:r>
          </w:p>
        </w:tc>
        <w:tc>
          <w:tcPr>
            <w:tcW w:w="1480"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满意度指标</w:t>
            </w:r>
          </w:p>
        </w:tc>
        <w:tc>
          <w:tcPr>
            <w:tcW w:w="1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学校师生及主管部门满意度</w:t>
            </w:r>
          </w:p>
        </w:tc>
        <w:tc>
          <w:tcPr>
            <w:tcW w:w="1403"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师生及主管部门满意度达到80%</w:t>
            </w:r>
          </w:p>
        </w:tc>
        <w:tc>
          <w:tcPr>
            <w:tcW w:w="2397" w:type="dxa"/>
            <w:tcBorders>
              <w:top w:val="nil"/>
              <w:left w:val="nil"/>
              <w:bottom w:val="single" w:color="000000" w:sz="4" w:space="0"/>
              <w:right w:val="single" w:color="000000" w:sz="4" w:space="0"/>
            </w:tcBorders>
            <w:shd w:val="clear" w:color="auto" w:fill="auto"/>
            <w:vAlign w:val="center"/>
          </w:tcPr>
          <w:p>
            <w:pPr>
              <w:widowControl/>
              <w:spacing w:line="320" w:lineRule="exact"/>
              <w:jc w:val="both"/>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据第三方调研机构数据显示：在校生满意度85.60%；毕业生满意度80%；教职工满意度87.65%；用人单位满意度84.68；家长满意度85.62.</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color w:val="000000" w:themeColor="text1"/>
          <w:spacing w:val="-11"/>
          <w:sz w:val="32"/>
          <w:szCs w:val="32"/>
          <w14:textFill>
            <w14:solidFill>
              <w14:schemeClr w14:val="tx1"/>
            </w14:solidFill>
          </w14:textFill>
        </w:rPr>
      </w:pPr>
      <w:r>
        <w:rPr>
          <w:rFonts w:hint="eastAsia" w:ascii="宋体" w:hAnsi="宋体" w:eastAsia="宋体" w:cs="宋体"/>
          <w:b/>
          <w:color w:val="000000" w:themeColor="text1"/>
          <w:spacing w:val="-11"/>
          <w:sz w:val="32"/>
          <w:szCs w:val="32"/>
          <w14:textFill>
            <w14:solidFill>
              <w14:schemeClr w14:val="tx1"/>
            </w14:solidFill>
          </w14:textFill>
        </w:rPr>
        <w:t>2021年100万元以上（含）特定目标类部门预算项目绩效目标自评</w:t>
      </w:r>
    </w:p>
    <w:p>
      <w:pPr>
        <w:bidi w:val="0"/>
        <w:rPr>
          <w:rFonts w:hint="eastAsia"/>
          <w:color w:val="000000" w:themeColor="text1"/>
          <w14:textFill>
            <w14:solidFill>
              <w14:schemeClr w14:val="tx1"/>
            </w14:solidFill>
          </w14:textFill>
        </w:rPr>
      </w:pPr>
    </w:p>
    <w:tbl>
      <w:tblPr>
        <w:tblStyle w:val="14"/>
        <w:tblW w:w="9654" w:type="dxa"/>
        <w:jc w:val="center"/>
        <w:tblInd w:w="93"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108" w:type="dxa"/>
          <w:bottom w:w="0" w:type="dxa"/>
          <w:right w:w="108" w:type="dxa"/>
        </w:tblCellMar>
      </w:tblPr>
      <w:tblGrid>
        <w:gridCol w:w="1120"/>
        <w:gridCol w:w="1250"/>
        <w:gridCol w:w="1418"/>
        <w:gridCol w:w="622"/>
        <w:gridCol w:w="992"/>
        <w:gridCol w:w="1701"/>
        <w:gridCol w:w="2551"/>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108" w:type="dxa"/>
            <w:bottom w:w="0" w:type="dxa"/>
            <w:right w:w="108" w:type="dxa"/>
          </w:tblCellMar>
        </w:tblPrEx>
        <w:trPr>
          <w:trHeight w:val="1080" w:hRule="atLeast"/>
          <w:jc w:val="center"/>
        </w:trPr>
        <w:tc>
          <w:tcPr>
            <w:tcW w:w="23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项目名称</w:t>
            </w:r>
          </w:p>
        </w:tc>
        <w:tc>
          <w:tcPr>
            <w:tcW w:w="7284"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2021年现代质量教育提升计划——监所突发事件处置虚拟仿真实训中心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795" w:hRule="atLeast"/>
          <w:jc w:val="center"/>
        </w:trPr>
        <w:tc>
          <w:tcPr>
            <w:tcW w:w="23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主管部门及代码</w:t>
            </w:r>
          </w:p>
        </w:tc>
        <w:tc>
          <w:tcPr>
            <w:tcW w:w="3032"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四川省司法厅</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实施单位</w:t>
            </w:r>
          </w:p>
        </w:tc>
        <w:tc>
          <w:tcPr>
            <w:tcW w:w="25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四川司法警官职业学院</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39" w:hRule="atLeast"/>
          <w:jc w:val="center"/>
        </w:trPr>
        <w:tc>
          <w:tcPr>
            <w:tcW w:w="237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项目预算</w:t>
            </w:r>
            <w:r>
              <w:rPr>
                <w:rFonts w:hint="eastAsia" w:ascii="宋体" w:hAnsi="宋体" w:eastAsia="宋体" w:cs="宋体"/>
                <w:color w:val="000000" w:themeColor="text1"/>
                <w:kern w:val="0"/>
                <w:sz w:val="16"/>
                <w:szCs w:val="16"/>
                <w14:textFill>
                  <w14:solidFill>
                    <w14:schemeClr w14:val="tx1"/>
                  </w14:solidFill>
                </w14:textFill>
              </w:rPr>
              <w:br w:type="textWrapping"/>
            </w:r>
            <w:r>
              <w:rPr>
                <w:rFonts w:hint="eastAsia" w:ascii="宋体" w:hAnsi="宋体" w:eastAsia="宋体" w:cs="宋体"/>
                <w:color w:val="000000" w:themeColor="text1"/>
                <w:kern w:val="0"/>
                <w:sz w:val="16"/>
                <w:szCs w:val="16"/>
                <w14:textFill>
                  <w14:solidFill>
                    <w14:schemeClr w14:val="tx1"/>
                  </w14:solidFill>
                </w14:textFill>
              </w:rPr>
              <w:t>执行情况</w:t>
            </w:r>
            <w:r>
              <w:rPr>
                <w:rFonts w:hint="eastAsia" w:ascii="宋体" w:hAnsi="宋体" w:eastAsia="宋体" w:cs="宋体"/>
                <w:color w:val="000000" w:themeColor="text1"/>
                <w:kern w:val="0"/>
                <w:sz w:val="16"/>
                <w:szCs w:val="16"/>
                <w14:textFill>
                  <w14:solidFill>
                    <w14:schemeClr w14:val="tx1"/>
                  </w14:solidFill>
                </w14:textFill>
              </w:rPr>
              <w:br w:type="textWrapping"/>
            </w:r>
            <w:r>
              <w:rPr>
                <w:rFonts w:hint="eastAsia" w:ascii="宋体" w:hAnsi="宋体" w:eastAsia="宋体" w:cs="宋体"/>
                <w:color w:val="000000" w:themeColor="text1"/>
                <w:kern w:val="0"/>
                <w:sz w:val="16"/>
                <w:szCs w:val="16"/>
                <w14:textFill>
                  <w14:solidFill>
                    <w14:schemeClr w14:val="tx1"/>
                  </w14:solidFill>
                </w14:textFill>
              </w:rPr>
              <w:t>（万元）</w:t>
            </w:r>
          </w:p>
        </w:tc>
        <w:tc>
          <w:tcPr>
            <w:tcW w:w="2040"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xml:space="preserve"> 预算数：</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righ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110.00</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xml:space="preserve"> 执行数：</w:t>
            </w:r>
          </w:p>
        </w:tc>
        <w:tc>
          <w:tcPr>
            <w:tcW w:w="25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righ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109.80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39" w:hRule="atLeast"/>
          <w:jc w:val="center"/>
        </w:trPr>
        <w:tc>
          <w:tcPr>
            <w:tcW w:w="237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color w:val="000000" w:themeColor="text1"/>
                <w:kern w:val="0"/>
                <w:sz w:val="16"/>
                <w:szCs w:val="16"/>
                <w14:textFill>
                  <w14:solidFill>
                    <w14:schemeClr w14:val="tx1"/>
                  </w14:solidFill>
                </w14:textFill>
              </w:rPr>
            </w:pPr>
          </w:p>
        </w:tc>
        <w:tc>
          <w:tcPr>
            <w:tcW w:w="2040"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其中：</w:t>
            </w:r>
          </w:p>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财政拨款</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righ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110.00</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其中：</w:t>
            </w:r>
          </w:p>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财政拨款</w:t>
            </w:r>
          </w:p>
        </w:tc>
        <w:tc>
          <w:tcPr>
            <w:tcW w:w="25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righ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109.80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39" w:hRule="atLeast"/>
          <w:jc w:val="center"/>
        </w:trPr>
        <w:tc>
          <w:tcPr>
            <w:tcW w:w="237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color w:val="000000" w:themeColor="text1"/>
                <w:kern w:val="0"/>
                <w:sz w:val="16"/>
                <w:szCs w:val="16"/>
                <w14:textFill>
                  <w14:solidFill>
                    <w14:schemeClr w14:val="tx1"/>
                  </w14:solidFill>
                </w14:textFill>
              </w:rPr>
            </w:pPr>
          </w:p>
        </w:tc>
        <w:tc>
          <w:tcPr>
            <w:tcW w:w="2040"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其他资金</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320" w:firstLineChars="200"/>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0</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其他资金</w:t>
            </w:r>
          </w:p>
        </w:tc>
        <w:tc>
          <w:tcPr>
            <w:tcW w:w="25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righ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39" w:hRule="atLeast"/>
          <w:jc w:val="center"/>
        </w:trPr>
        <w:tc>
          <w:tcPr>
            <w:tcW w:w="112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年度总体目标完成情况</w:t>
            </w:r>
          </w:p>
        </w:tc>
        <w:tc>
          <w:tcPr>
            <w:tcW w:w="4282"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预期目标</w:t>
            </w:r>
          </w:p>
        </w:tc>
        <w:tc>
          <w:tcPr>
            <w:tcW w:w="425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目标实际完成情况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793" w:hRule="atLeast"/>
          <w:jc w:val="center"/>
        </w:trPr>
        <w:tc>
          <w:tcPr>
            <w:tcW w:w="11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kern w:val="0"/>
                <w:sz w:val="16"/>
                <w:szCs w:val="16"/>
                <w14:textFill>
                  <w14:solidFill>
                    <w14:schemeClr w14:val="tx1"/>
                  </w14:solidFill>
                </w14:textFill>
              </w:rPr>
            </w:pPr>
          </w:p>
        </w:tc>
        <w:tc>
          <w:tcPr>
            <w:tcW w:w="4282"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提质培优项目子项目虚拟仿真实训中心在2021年通过专家论证，招标建设，在12月31日前保质完成。项目以四川司法警官职业学院虚拟仿真中心为平台，联合全国14家司法警官学院，打造搭建全国司法类虚拟仿真共建共享中心，实现司法类虚拟仿真资源共建共享。</w:t>
            </w:r>
          </w:p>
        </w:tc>
        <w:tc>
          <w:tcPr>
            <w:tcW w:w="4252"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项目完成四川司法警官职业学院虚拟仿真中心平台建设，搭建了全国司法类虚拟仿真共建共享中心。已经联合4家司法警官学院，正在联系其余学院。初步实现司法类虚拟仿真资源共建共享。</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39" w:hRule="atLeast"/>
          <w:jc w:val="center"/>
        </w:trPr>
        <w:tc>
          <w:tcPr>
            <w:tcW w:w="1120"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年度绩效指标完成情况</w:t>
            </w:r>
          </w:p>
        </w:tc>
        <w:tc>
          <w:tcPr>
            <w:tcW w:w="1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一级</w:t>
            </w:r>
          </w:p>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指标</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二级</w:t>
            </w:r>
          </w:p>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指标</w:t>
            </w:r>
          </w:p>
        </w:tc>
        <w:tc>
          <w:tcPr>
            <w:tcW w:w="161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三级</w:t>
            </w:r>
          </w:p>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指标</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预期指</w:t>
            </w:r>
          </w:p>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标值</w:t>
            </w:r>
          </w:p>
        </w:tc>
        <w:tc>
          <w:tcPr>
            <w:tcW w:w="25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实际完成指标值</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80" w:hRule="atLeast"/>
          <w:jc w:val="center"/>
        </w:trPr>
        <w:tc>
          <w:tcPr>
            <w:tcW w:w="1120"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25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完成</w:t>
            </w:r>
          </w:p>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指标</w:t>
            </w:r>
          </w:p>
        </w:tc>
        <w:tc>
          <w:tcPr>
            <w:tcW w:w="141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数量指标</w:t>
            </w:r>
          </w:p>
        </w:tc>
        <w:tc>
          <w:tcPr>
            <w:tcW w:w="161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建设实训室</w:t>
            </w:r>
          </w:p>
        </w:tc>
        <w:tc>
          <w:tcPr>
            <w:tcW w:w="170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建设虚拟仿真实训室</w:t>
            </w:r>
          </w:p>
        </w:tc>
        <w:tc>
          <w:tcPr>
            <w:tcW w:w="25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80" w:hRule="atLeast"/>
          <w:jc w:val="center"/>
        </w:trPr>
        <w:tc>
          <w:tcPr>
            <w:tcW w:w="1120"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250" w:type="dxa"/>
            <w:vMerge w:val="continue"/>
            <w:tcBorders>
              <w:top w:val="nil"/>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41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质量指标</w:t>
            </w:r>
          </w:p>
        </w:tc>
        <w:tc>
          <w:tcPr>
            <w:tcW w:w="161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教育教学改革加快推进信息技术与教育教学的深度融合</w:t>
            </w:r>
          </w:p>
        </w:tc>
        <w:tc>
          <w:tcPr>
            <w:tcW w:w="170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建设全国司法类虚拟仿真共建共享平台</w:t>
            </w:r>
          </w:p>
        </w:tc>
        <w:tc>
          <w:tcPr>
            <w:tcW w:w="25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80" w:hRule="atLeast"/>
          <w:jc w:val="center"/>
        </w:trPr>
        <w:tc>
          <w:tcPr>
            <w:tcW w:w="1120"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25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41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时效指标</w:t>
            </w:r>
          </w:p>
        </w:tc>
        <w:tc>
          <w:tcPr>
            <w:tcW w:w="161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项目完成进度</w:t>
            </w:r>
          </w:p>
        </w:tc>
        <w:tc>
          <w:tcPr>
            <w:tcW w:w="170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完成时间12月31日</w:t>
            </w:r>
          </w:p>
        </w:tc>
        <w:tc>
          <w:tcPr>
            <w:tcW w:w="25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80" w:hRule="atLeast"/>
          <w:jc w:val="center"/>
        </w:trPr>
        <w:tc>
          <w:tcPr>
            <w:tcW w:w="1120"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25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41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成本指标</w:t>
            </w:r>
          </w:p>
        </w:tc>
        <w:tc>
          <w:tcPr>
            <w:tcW w:w="161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70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25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80" w:hRule="atLeast"/>
          <w:jc w:val="center"/>
        </w:trPr>
        <w:tc>
          <w:tcPr>
            <w:tcW w:w="1120"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25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效益</w:t>
            </w:r>
          </w:p>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指标</w:t>
            </w:r>
          </w:p>
        </w:tc>
        <w:tc>
          <w:tcPr>
            <w:tcW w:w="141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经济效益指标</w:t>
            </w:r>
          </w:p>
        </w:tc>
        <w:tc>
          <w:tcPr>
            <w:tcW w:w="161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为经济社会发展提供技术技能型人才</w:t>
            </w:r>
          </w:p>
        </w:tc>
        <w:tc>
          <w:tcPr>
            <w:tcW w:w="170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专业人才培训</w:t>
            </w:r>
          </w:p>
        </w:tc>
        <w:tc>
          <w:tcPr>
            <w:tcW w:w="25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80" w:hRule="atLeast"/>
          <w:jc w:val="center"/>
        </w:trPr>
        <w:tc>
          <w:tcPr>
            <w:tcW w:w="1120"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25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41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社会效益指标</w:t>
            </w:r>
          </w:p>
        </w:tc>
        <w:tc>
          <w:tcPr>
            <w:tcW w:w="161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职业教育受益学生</w:t>
            </w:r>
          </w:p>
        </w:tc>
        <w:tc>
          <w:tcPr>
            <w:tcW w:w="170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spacing w:val="-6"/>
                <w:w w:val="99"/>
                <w:kern w:val="0"/>
                <w:sz w:val="16"/>
                <w:szCs w:val="16"/>
                <w14:textFill>
                  <w14:solidFill>
                    <w14:schemeClr w14:val="tx1"/>
                  </w14:solidFill>
                </w14:textFill>
              </w:rPr>
              <w:t>收益学生不低于1000人</w:t>
            </w:r>
          </w:p>
        </w:tc>
        <w:tc>
          <w:tcPr>
            <w:tcW w:w="25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80" w:hRule="atLeast"/>
          <w:jc w:val="center"/>
        </w:trPr>
        <w:tc>
          <w:tcPr>
            <w:tcW w:w="1120"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25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41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生态效益指标</w:t>
            </w:r>
          </w:p>
        </w:tc>
        <w:tc>
          <w:tcPr>
            <w:tcW w:w="161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70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25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80" w:hRule="atLeast"/>
          <w:jc w:val="center"/>
        </w:trPr>
        <w:tc>
          <w:tcPr>
            <w:tcW w:w="1120"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25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41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可持续影响指标</w:t>
            </w:r>
          </w:p>
        </w:tc>
        <w:tc>
          <w:tcPr>
            <w:tcW w:w="161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影响青少年（学生）数量</w:t>
            </w:r>
          </w:p>
        </w:tc>
        <w:tc>
          <w:tcPr>
            <w:tcW w:w="170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spacing w:val="-6"/>
                <w:w w:val="99"/>
                <w:kern w:val="0"/>
                <w:sz w:val="16"/>
                <w:szCs w:val="16"/>
                <w14:textFill>
                  <w14:solidFill>
                    <w14:schemeClr w14:val="tx1"/>
                  </w14:solidFill>
                </w14:textFill>
              </w:rPr>
              <w:t>收益学生不低于1000人</w:t>
            </w:r>
          </w:p>
        </w:tc>
        <w:tc>
          <w:tcPr>
            <w:tcW w:w="25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80" w:hRule="atLeast"/>
          <w:jc w:val="center"/>
        </w:trPr>
        <w:tc>
          <w:tcPr>
            <w:tcW w:w="1120" w:type="dxa"/>
            <w:vMerge w:val="continue"/>
            <w:tcBorders>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2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满意</w:t>
            </w:r>
          </w:p>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度指标</w:t>
            </w:r>
          </w:p>
        </w:tc>
        <w:tc>
          <w:tcPr>
            <w:tcW w:w="141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满意度指标</w:t>
            </w:r>
          </w:p>
        </w:tc>
        <w:tc>
          <w:tcPr>
            <w:tcW w:w="161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师生综合满意度</w:t>
            </w:r>
          </w:p>
        </w:tc>
        <w:tc>
          <w:tcPr>
            <w:tcW w:w="170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师生综合满意度不低于95%</w:t>
            </w:r>
          </w:p>
        </w:tc>
        <w:tc>
          <w:tcPr>
            <w:tcW w:w="25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100%</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color w:val="000000" w:themeColor="text1"/>
          <w:spacing w:val="-11"/>
          <w:sz w:val="32"/>
          <w:szCs w:val="32"/>
          <w14:textFill>
            <w14:solidFill>
              <w14:schemeClr w14:val="tx1"/>
            </w14:solidFill>
          </w14:textFill>
        </w:rPr>
      </w:pPr>
      <w:r>
        <w:rPr>
          <w:rFonts w:hint="eastAsia" w:ascii="宋体" w:hAnsi="宋体" w:eastAsia="宋体" w:cs="宋体"/>
          <w:b/>
          <w:color w:val="000000" w:themeColor="text1"/>
          <w:spacing w:val="-11"/>
          <w:sz w:val="32"/>
          <w:szCs w:val="32"/>
          <w14:textFill>
            <w14:solidFill>
              <w14:schemeClr w14:val="tx1"/>
            </w14:solidFill>
          </w14:textFill>
        </w:rPr>
        <w:t>2021年100万元以上（含）特定目标类部门预算项目绩效目标自评</w:t>
      </w:r>
    </w:p>
    <w:p>
      <w:pPr>
        <w:bidi w:val="0"/>
        <w:rPr>
          <w:rFonts w:hint="eastAsia"/>
          <w:color w:val="000000" w:themeColor="text1"/>
          <w14:textFill>
            <w14:solidFill>
              <w14:schemeClr w14:val="tx1"/>
            </w14:solidFill>
          </w14:textFill>
        </w:rPr>
      </w:pPr>
    </w:p>
    <w:tbl>
      <w:tblPr>
        <w:tblStyle w:val="14"/>
        <w:tblW w:w="9480" w:type="dxa"/>
        <w:jc w:val="center"/>
        <w:tblInd w:w="93"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108" w:type="dxa"/>
          <w:bottom w:w="0" w:type="dxa"/>
          <w:right w:w="108" w:type="dxa"/>
        </w:tblCellMar>
      </w:tblPr>
      <w:tblGrid>
        <w:gridCol w:w="1074"/>
        <w:gridCol w:w="1074"/>
        <w:gridCol w:w="1310"/>
        <w:gridCol w:w="785"/>
        <w:gridCol w:w="936"/>
        <w:gridCol w:w="1957"/>
        <w:gridCol w:w="2344"/>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108" w:type="dxa"/>
            <w:bottom w:w="0" w:type="dxa"/>
            <w:right w:w="108" w:type="dxa"/>
          </w:tblCellMar>
        </w:tblPrEx>
        <w:trPr>
          <w:trHeight w:val="439" w:hRule="atLeast"/>
          <w:jc w:val="center"/>
        </w:trPr>
        <w:tc>
          <w:tcPr>
            <w:tcW w:w="21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项目名称</w:t>
            </w:r>
          </w:p>
        </w:tc>
        <w:tc>
          <w:tcPr>
            <w:tcW w:w="733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2021年现代质量教育提升计划</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45" w:hRule="atLeast"/>
          <w:jc w:val="center"/>
        </w:trPr>
        <w:tc>
          <w:tcPr>
            <w:tcW w:w="21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主管部门及代码</w:t>
            </w:r>
          </w:p>
        </w:tc>
        <w:tc>
          <w:tcPr>
            <w:tcW w:w="3031"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四川省司法厅</w:t>
            </w:r>
          </w:p>
        </w:tc>
        <w:tc>
          <w:tcPr>
            <w:tcW w:w="19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实施单位</w:t>
            </w:r>
          </w:p>
        </w:tc>
        <w:tc>
          <w:tcPr>
            <w:tcW w:w="234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四川司法警官职业学院</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39" w:hRule="atLeast"/>
          <w:jc w:val="center"/>
        </w:trPr>
        <w:tc>
          <w:tcPr>
            <w:tcW w:w="21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项目预算</w:t>
            </w:r>
            <w:r>
              <w:rPr>
                <w:rFonts w:hint="eastAsia" w:ascii="宋体" w:hAnsi="宋体" w:eastAsia="宋体" w:cs="宋体"/>
                <w:color w:val="000000" w:themeColor="text1"/>
                <w:kern w:val="0"/>
                <w:sz w:val="16"/>
                <w:szCs w:val="16"/>
                <w14:textFill>
                  <w14:solidFill>
                    <w14:schemeClr w14:val="tx1"/>
                  </w14:solidFill>
                </w14:textFill>
              </w:rPr>
              <w:br w:type="textWrapping"/>
            </w:r>
            <w:r>
              <w:rPr>
                <w:rFonts w:hint="eastAsia" w:ascii="宋体" w:hAnsi="宋体" w:eastAsia="宋体" w:cs="宋体"/>
                <w:color w:val="000000" w:themeColor="text1"/>
                <w:kern w:val="0"/>
                <w:sz w:val="16"/>
                <w:szCs w:val="16"/>
                <w14:textFill>
                  <w14:solidFill>
                    <w14:schemeClr w14:val="tx1"/>
                  </w14:solidFill>
                </w14:textFill>
              </w:rPr>
              <w:t>执行情况</w:t>
            </w:r>
            <w:r>
              <w:rPr>
                <w:rFonts w:hint="eastAsia" w:ascii="宋体" w:hAnsi="宋体" w:eastAsia="宋体" w:cs="宋体"/>
                <w:color w:val="000000" w:themeColor="text1"/>
                <w:kern w:val="0"/>
                <w:sz w:val="16"/>
                <w:szCs w:val="16"/>
                <w14:textFill>
                  <w14:solidFill>
                    <w14:schemeClr w14:val="tx1"/>
                  </w14:solidFill>
                </w14:textFill>
              </w:rPr>
              <w:br w:type="textWrapping"/>
            </w:r>
            <w:r>
              <w:rPr>
                <w:rFonts w:hint="eastAsia" w:ascii="宋体" w:hAnsi="宋体" w:eastAsia="宋体" w:cs="宋体"/>
                <w:color w:val="000000" w:themeColor="text1"/>
                <w:kern w:val="0"/>
                <w:sz w:val="16"/>
                <w:szCs w:val="16"/>
                <w14:textFill>
                  <w14:solidFill>
                    <w14:schemeClr w14:val="tx1"/>
                  </w14:solidFill>
                </w14:textFill>
              </w:rPr>
              <w:t>（万元）</w:t>
            </w:r>
          </w:p>
        </w:tc>
        <w:tc>
          <w:tcPr>
            <w:tcW w:w="209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xml:space="preserve"> 预算数：</w:t>
            </w: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109.00</w:t>
            </w:r>
          </w:p>
        </w:tc>
        <w:tc>
          <w:tcPr>
            <w:tcW w:w="195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xml:space="preserve"> 执行数：</w:t>
            </w:r>
          </w:p>
        </w:tc>
        <w:tc>
          <w:tcPr>
            <w:tcW w:w="2344"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38.87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39" w:hRule="atLeast"/>
          <w:jc w:val="center"/>
        </w:trPr>
        <w:tc>
          <w:tcPr>
            <w:tcW w:w="21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209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xml:space="preserve"> 其中：</w:t>
            </w:r>
          </w:p>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财政拨款</w:t>
            </w: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109.00</w:t>
            </w:r>
          </w:p>
        </w:tc>
        <w:tc>
          <w:tcPr>
            <w:tcW w:w="195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其中：</w:t>
            </w:r>
          </w:p>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财政拨款</w:t>
            </w:r>
          </w:p>
        </w:tc>
        <w:tc>
          <w:tcPr>
            <w:tcW w:w="2344"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38.87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39" w:hRule="atLeast"/>
          <w:jc w:val="center"/>
        </w:trPr>
        <w:tc>
          <w:tcPr>
            <w:tcW w:w="21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209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其他资金</w:t>
            </w:r>
          </w:p>
        </w:tc>
        <w:tc>
          <w:tcPr>
            <w:tcW w:w="936" w:type="dxa"/>
            <w:tcBorders>
              <w:top w:val="nil"/>
              <w:left w:val="nil"/>
              <w:bottom w:val="single" w:color="auto" w:sz="4" w:space="0"/>
              <w:right w:val="single" w:color="auto" w:sz="4" w:space="0"/>
            </w:tcBorders>
            <w:shd w:val="clear" w:color="auto" w:fill="auto"/>
            <w:vAlign w:val="center"/>
          </w:tcPr>
          <w:p>
            <w:pPr>
              <w:widowControl/>
              <w:ind w:firstLine="320" w:firstLineChars="200"/>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0</w:t>
            </w:r>
          </w:p>
        </w:tc>
        <w:tc>
          <w:tcPr>
            <w:tcW w:w="195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其他资金</w:t>
            </w:r>
          </w:p>
        </w:tc>
        <w:tc>
          <w:tcPr>
            <w:tcW w:w="2344"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39" w:hRule="atLeast"/>
          <w:jc w:val="center"/>
        </w:trPr>
        <w:tc>
          <w:tcPr>
            <w:tcW w:w="107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年</w:t>
            </w:r>
            <w:r>
              <w:rPr>
                <w:rFonts w:hint="eastAsia" w:ascii="宋体" w:hAnsi="宋体" w:eastAsia="宋体" w:cs="宋体"/>
                <w:color w:val="000000" w:themeColor="text1"/>
                <w:kern w:val="0"/>
                <w:sz w:val="16"/>
                <w:szCs w:val="16"/>
                <w14:textFill>
                  <w14:solidFill>
                    <w14:schemeClr w14:val="tx1"/>
                  </w14:solidFill>
                </w14:textFill>
              </w:rPr>
              <w:br w:type="textWrapping"/>
            </w:r>
            <w:r>
              <w:rPr>
                <w:rFonts w:hint="eastAsia" w:ascii="宋体" w:hAnsi="宋体" w:eastAsia="宋体" w:cs="宋体"/>
                <w:color w:val="000000" w:themeColor="text1"/>
                <w:kern w:val="0"/>
                <w:sz w:val="16"/>
                <w:szCs w:val="16"/>
                <w14:textFill>
                  <w14:solidFill>
                    <w14:schemeClr w14:val="tx1"/>
                  </w14:solidFill>
                </w14:textFill>
              </w:rPr>
              <w:t>度</w:t>
            </w:r>
            <w:r>
              <w:rPr>
                <w:rFonts w:hint="eastAsia" w:ascii="宋体" w:hAnsi="宋体" w:eastAsia="宋体" w:cs="宋体"/>
                <w:color w:val="000000" w:themeColor="text1"/>
                <w:kern w:val="0"/>
                <w:sz w:val="16"/>
                <w:szCs w:val="16"/>
                <w14:textFill>
                  <w14:solidFill>
                    <w14:schemeClr w14:val="tx1"/>
                  </w14:solidFill>
                </w14:textFill>
              </w:rPr>
              <w:br w:type="textWrapping"/>
            </w:r>
            <w:r>
              <w:rPr>
                <w:rFonts w:hint="eastAsia" w:ascii="宋体" w:hAnsi="宋体" w:eastAsia="宋体" w:cs="宋体"/>
                <w:color w:val="000000" w:themeColor="text1"/>
                <w:kern w:val="0"/>
                <w:sz w:val="16"/>
                <w:szCs w:val="16"/>
                <w14:textFill>
                  <w14:solidFill>
                    <w14:schemeClr w14:val="tx1"/>
                  </w14:solidFill>
                </w14:textFill>
              </w:rPr>
              <w:t>总</w:t>
            </w:r>
            <w:r>
              <w:rPr>
                <w:rFonts w:hint="eastAsia" w:ascii="宋体" w:hAnsi="宋体" w:eastAsia="宋体" w:cs="宋体"/>
                <w:color w:val="000000" w:themeColor="text1"/>
                <w:kern w:val="0"/>
                <w:sz w:val="16"/>
                <w:szCs w:val="16"/>
                <w14:textFill>
                  <w14:solidFill>
                    <w14:schemeClr w14:val="tx1"/>
                  </w14:solidFill>
                </w14:textFill>
              </w:rPr>
              <w:br w:type="textWrapping"/>
            </w:r>
            <w:r>
              <w:rPr>
                <w:rFonts w:hint="eastAsia" w:ascii="宋体" w:hAnsi="宋体" w:eastAsia="宋体" w:cs="宋体"/>
                <w:color w:val="000000" w:themeColor="text1"/>
                <w:kern w:val="0"/>
                <w:sz w:val="16"/>
                <w:szCs w:val="16"/>
                <w14:textFill>
                  <w14:solidFill>
                    <w14:schemeClr w14:val="tx1"/>
                  </w14:solidFill>
                </w14:textFill>
              </w:rPr>
              <w:t>体</w:t>
            </w:r>
            <w:r>
              <w:rPr>
                <w:rFonts w:hint="eastAsia" w:ascii="宋体" w:hAnsi="宋体" w:eastAsia="宋体" w:cs="宋体"/>
                <w:color w:val="000000" w:themeColor="text1"/>
                <w:kern w:val="0"/>
                <w:sz w:val="16"/>
                <w:szCs w:val="16"/>
                <w14:textFill>
                  <w14:solidFill>
                    <w14:schemeClr w14:val="tx1"/>
                  </w14:solidFill>
                </w14:textFill>
              </w:rPr>
              <w:br w:type="textWrapping"/>
            </w:r>
            <w:r>
              <w:rPr>
                <w:rFonts w:hint="eastAsia" w:ascii="宋体" w:hAnsi="宋体" w:eastAsia="宋体" w:cs="宋体"/>
                <w:color w:val="000000" w:themeColor="text1"/>
                <w:kern w:val="0"/>
                <w:sz w:val="16"/>
                <w:szCs w:val="16"/>
                <w14:textFill>
                  <w14:solidFill>
                    <w14:schemeClr w14:val="tx1"/>
                  </w14:solidFill>
                </w14:textFill>
              </w:rPr>
              <w:t>目</w:t>
            </w:r>
            <w:r>
              <w:rPr>
                <w:rFonts w:hint="eastAsia" w:ascii="宋体" w:hAnsi="宋体" w:eastAsia="宋体" w:cs="宋体"/>
                <w:color w:val="000000" w:themeColor="text1"/>
                <w:kern w:val="0"/>
                <w:sz w:val="16"/>
                <w:szCs w:val="16"/>
                <w14:textFill>
                  <w14:solidFill>
                    <w14:schemeClr w14:val="tx1"/>
                  </w14:solidFill>
                </w14:textFill>
              </w:rPr>
              <w:br w:type="textWrapping"/>
            </w:r>
            <w:r>
              <w:rPr>
                <w:rFonts w:hint="eastAsia" w:ascii="宋体" w:hAnsi="宋体" w:eastAsia="宋体" w:cs="宋体"/>
                <w:color w:val="000000" w:themeColor="text1"/>
                <w:kern w:val="0"/>
                <w:sz w:val="16"/>
                <w:szCs w:val="16"/>
                <w14:textFill>
                  <w14:solidFill>
                    <w14:schemeClr w14:val="tx1"/>
                  </w14:solidFill>
                </w14:textFill>
              </w:rPr>
              <w:t>标</w:t>
            </w:r>
            <w:r>
              <w:rPr>
                <w:rFonts w:hint="eastAsia" w:ascii="宋体" w:hAnsi="宋体" w:eastAsia="宋体" w:cs="宋体"/>
                <w:color w:val="000000" w:themeColor="text1"/>
                <w:kern w:val="0"/>
                <w:sz w:val="16"/>
                <w:szCs w:val="16"/>
                <w14:textFill>
                  <w14:solidFill>
                    <w14:schemeClr w14:val="tx1"/>
                  </w14:solidFill>
                </w14:textFill>
              </w:rPr>
              <w:br w:type="textWrapping"/>
            </w:r>
            <w:r>
              <w:rPr>
                <w:rFonts w:hint="eastAsia" w:ascii="宋体" w:hAnsi="宋体" w:eastAsia="宋体" w:cs="宋体"/>
                <w:color w:val="000000" w:themeColor="text1"/>
                <w:kern w:val="0"/>
                <w:sz w:val="16"/>
                <w:szCs w:val="16"/>
                <w14:textFill>
                  <w14:solidFill>
                    <w14:schemeClr w14:val="tx1"/>
                  </w14:solidFill>
                </w14:textFill>
              </w:rPr>
              <w:t>完</w:t>
            </w:r>
            <w:r>
              <w:rPr>
                <w:rFonts w:hint="eastAsia" w:ascii="宋体" w:hAnsi="宋体" w:eastAsia="宋体" w:cs="宋体"/>
                <w:color w:val="000000" w:themeColor="text1"/>
                <w:kern w:val="0"/>
                <w:sz w:val="16"/>
                <w:szCs w:val="16"/>
                <w14:textFill>
                  <w14:solidFill>
                    <w14:schemeClr w14:val="tx1"/>
                  </w14:solidFill>
                </w14:textFill>
              </w:rPr>
              <w:br w:type="textWrapping"/>
            </w:r>
            <w:r>
              <w:rPr>
                <w:rFonts w:hint="eastAsia" w:ascii="宋体" w:hAnsi="宋体" w:eastAsia="宋体" w:cs="宋体"/>
                <w:color w:val="000000" w:themeColor="text1"/>
                <w:kern w:val="0"/>
                <w:sz w:val="16"/>
                <w:szCs w:val="16"/>
                <w14:textFill>
                  <w14:solidFill>
                    <w14:schemeClr w14:val="tx1"/>
                  </w14:solidFill>
                </w14:textFill>
              </w:rPr>
              <w:t>成</w:t>
            </w:r>
            <w:r>
              <w:rPr>
                <w:rFonts w:hint="eastAsia" w:ascii="宋体" w:hAnsi="宋体" w:eastAsia="宋体" w:cs="宋体"/>
                <w:color w:val="000000" w:themeColor="text1"/>
                <w:kern w:val="0"/>
                <w:sz w:val="16"/>
                <w:szCs w:val="16"/>
                <w14:textFill>
                  <w14:solidFill>
                    <w14:schemeClr w14:val="tx1"/>
                  </w14:solidFill>
                </w14:textFill>
              </w:rPr>
              <w:br w:type="textWrapping"/>
            </w:r>
            <w:r>
              <w:rPr>
                <w:rFonts w:hint="eastAsia" w:ascii="宋体" w:hAnsi="宋体" w:eastAsia="宋体" w:cs="宋体"/>
                <w:color w:val="000000" w:themeColor="text1"/>
                <w:kern w:val="0"/>
                <w:sz w:val="16"/>
                <w:szCs w:val="16"/>
                <w14:textFill>
                  <w14:solidFill>
                    <w14:schemeClr w14:val="tx1"/>
                  </w14:solidFill>
                </w14:textFill>
              </w:rPr>
              <w:t>情</w:t>
            </w:r>
            <w:r>
              <w:rPr>
                <w:rFonts w:hint="eastAsia" w:ascii="宋体" w:hAnsi="宋体" w:eastAsia="宋体" w:cs="宋体"/>
                <w:color w:val="000000" w:themeColor="text1"/>
                <w:kern w:val="0"/>
                <w:sz w:val="16"/>
                <w:szCs w:val="16"/>
                <w14:textFill>
                  <w14:solidFill>
                    <w14:schemeClr w14:val="tx1"/>
                  </w14:solidFill>
                </w14:textFill>
              </w:rPr>
              <w:br w:type="textWrapping"/>
            </w:r>
            <w:r>
              <w:rPr>
                <w:rFonts w:hint="eastAsia" w:ascii="宋体" w:hAnsi="宋体" w:eastAsia="宋体" w:cs="宋体"/>
                <w:color w:val="000000" w:themeColor="text1"/>
                <w:kern w:val="0"/>
                <w:sz w:val="16"/>
                <w:szCs w:val="16"/>
                <w14:textFill>
                  <w14:solidFill>
                    <w14:schemeClr w14:val="tx1"/>
                  </w14:solidFill>
                </w14:textFill>
              </w:rPr>
              <w:t>况</w:t>
            </w:r>
          </w:p>
        </w:tc>
        <w:tc>
          <w:tcPr>
            <w:tcW w:w="410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预期目标</w:t>
            </w:r>
          </w:p>
        </w:tc>
        <w:tc>
          <w:tcPr>
            <w:tcW w:w="430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目标实际完成情况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715" w:hRule="atLeast"/>
          <w:jc w:val="center"/>
        </w:trPr>
        <w:tc>
          <w:tcPr>
            <w:tcW w:w="107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410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both"/>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提质培优项目子项目虚拟仿真实训中心在2021年通过专家论证，招标建设，在12月31日前保质完成。项目以四川司法警官职业学院虚拟仿真中心为平台，联合全国14家司法警官学院，打造搭建全国司法类虚拟仿真共建共享中心，实现司法类虚拟仿真资源共建共享。</w:t>
            </w:r>
          </w:p>
        </w:tc>
        <w:tc>
          <w:tcPr>
            <w:tcW w:w="43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both"/>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项目完成四川司法警官职业学院虚拟仿真中心平台建设，搭建了全国司法类虚拟仿真共建共享中心。已经联合4家司法警官学院，正在联系其余学院。初步实现司法类虚拟仿真资源共建共享。</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39" w:hRule="atLeast"/>
          <w:jc w:val="center"/>
        </w:trPr>
        <w:tc>
          <w:tcPr>
            <w:tcW w:w="1074" w:type="dxa"/>
            <w:vMerge w:val="restart"/>
            <w:tcBorders>
              <w:top w:val="nil"/>
              <w:left w:val="single" w:color="auto" w:sz="4" w:space="0"/>
              <w:right w:val="single" w:color="auto"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年度绩效指标完成情况</w:t>
            </w:r>
          </w:p>
        </w:tc>
        <w:tc>
          <w:tcPr>
            <w:tcW w:w="10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一级</w:t>
            </w:r>
          </w:p>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指标</w:t>
            </w:r>
          </w:p>
        </w:tc>
        <w:tc>
          <w:tcPr>
            <w:tcW w:w="13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二级</w:t>
            </w:r>
          </w:p>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指标</w:t>
            </w:r>
          </w:p>
        </w:tc>
        <w:tc>
          <w:tcPr>
            <w:tcW w:w="172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三级</w:t>
            </w:r>
          </w:p>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指标</w:t>
            </w:r>
          </w:p>
        </w:tc>
        <w:tc>
          <w:tcPr>
            <w:tcW w:w="195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预期指</w:t>
            </w:r>
          </w:p>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标值</w:t>
            </w:r>
          </w:p>
        </w:tc>
        <w:tc>
          <w:tcPr>
            <w:tcW w:w="234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实际完成指标值</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80" w:hRule="atLeast"/>
          <w:jc w:val="center"/>
        </w:trPr>
        <w:tc>
          <w:tcPr>
            <w:tcW w:w="1074" w:type="dxa"/>
            <w:vMerge w:val="continue"/>
            <w:tcBorders>
              <w:left w:val="single" w:color="auto" w:sz="4" w:space="0"/>
              <w:right w:val="single" w:color="auto"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07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完成</w:t>
            </w:r>
          </w:p>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指标</w:t>
            </w:r>
          </w:p>
        </w:tc>
        <w:tc>
          <w:tcPr>
            <w:tcW w:w="131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数量指标</w:t>
            </w:r>
          </w:p>
        </w:tc>
        <w:tc>
          <w:tcPr>
            <w:tcW w:w="172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建设实训室</w:t>
            </w:r>
          </w:p>
        </w:tc>
        <w:tc>
          <w:tcPr>
            <w:tcW w:w="195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建设虚拟仿真实训室</w:t>
            </w:r>
          </w:p>
        </w:tc>
        <w:tc>
          <w:tcPr>
            <w:tcW w:w="2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720" w:hRule="atLeast"/>
          <w:jc w:val="center"/>
        </w:trPr>
        <w:tc>
          <w:tcPr>
            <w:tcW w:w="1074" w:type="dxa"/>
            <w:vMerge w:val="continue"/>
            <w:tcBorders>
              <w:left w:val="single" w:color="auto" w:sz="4" w:space="0"/>
              <w:right w:val="single" w:color="auto"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074" w:type="dxa"/>
            <w:vMerge w:val="continue"/>
            <w:tcBorders>
              <w:top w:val="nil"/>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31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质量指标</w:t>
            </w:r>
          </w:p>
        </w:tc>
        <w:tc>
          <w:tcPr>
            <w:tcW w:w="172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教育教学改革加快推进信息技术与教育教学的深度融合</w:t>
            </w:r>
          </w:p>
        </w:tc>
        <w:tc>
          <w:tcPr>
            <w:tcW w:w="195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建设全国司法类虚拟仿真共建共享平台</w:t>
            </w:r>
          </w:p>
        </w:tc>
        <w:tc>
          <w:tcPr>
            <w:tcW w:w="2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80" w:hRule="atLeast"/>
          <w:jc w:val="center"/>
        </w:trPr>
        <w:tc>
          <w:tcPr>
            <w:tcW w:w="1074" w:type="dxa"/>
            <w:vMerge w:val="continue"/>
            <w:tcBorders>
              <w:left w:val="single" w:color="auto" w:sz="4" w:space="0"/>
              <w:right w:val="single" w:color="auto"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07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31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时效指标</w:t>
            </w:r>
          </w:p>
        </w:tc>
        <w:tc>
          <w:tcPr>
            <w:tcW w:w="172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项目完成进度</w:t>
            </w:r>
          </w:p>
        </w:tc>
        <w:tc>
          <w:tcPr>
            <w:tcW w:w="195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完成时间12月31日</w:t>
            </w:r>
          </w:p>
        </w:tc>
        <w:tc>
          <w:tcPr>
            <w:tcW w:w="2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80" w:hRule="atLeast"/>
          <w:jc w:val="center"/>
        </w:trPr>
        <w:tc>
          <w:tcPr>
            <w:tcW w:w="1074" w:type="dxa"/>
            <w:vMerge w:val="continue"/>
            <w:tcBorders>
              <w:left w:val="single" w:color="auto" w:sz="4" w:space="0"/>
              <w:right w:val="single" w:color="auto"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07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31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成本指标</w:t>
            </w:r>
          </w:p>
        </w:tc>
        <w:tc>
          <w:tcPr>
            <w:tcW w:w="172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95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2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15" w:hRule="atLeast"/>
          <w:jc w:val="center"/>
        </w:trPr>
        <w:tc>
          <w:tcPr>
            <w:tcW w:w="1074" w:type="dxa"/>
            <w:vMerge w:val="continue"/>
            <w:tcBorders>
              <w:left w:val="single" w:color="auto" w:sz="4" w:space="0"/>
              <w:right w:val="single" w:color="auto"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07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效益</w:t>
            </w:r>
          </w:p>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指标</w:t>
            </w:r>
          </w:p>
        </w:tc>
        <w:tc>
          <w:tcPr>
            <w:tcW w:w="131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经济效益指标</w:t>
            </w:r>
          </w:p>
        </w:tc>
        <w:tc>
          <w:tcPr>
            <w:tcW w:w="172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为经济社会发展提供技术技能型人才</w:t>
            </w:r>
          </w:p>
        </w:tc>
        <w:tc>
          <w:tcPr>
            <w:tcW w:w="195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专业人才培训</w:t>
            </w:r>
          </w:p>
        </w:tc>
        <w:tc>
          <w:tcPr>
            <w:tcW w:w="2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80" w:hRule="atLeast"/>
          <w:jc w:val="center"/>
        </w:trPr>
        <w:tc>
          <w:tcPr>
            <w:tcW w:w="1074" w:type="dxa"/>
            <w:vMerge w:val="continue"/>
            <w:tcBorders>
              <w:left w:val="single" w:color="auto" w:sz="4" w:space="0"/>
              <w:right w:val="single" w:color="auto"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07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31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社会效益指标</w:t>
            </w:r>
          </w:p>
        </w:tc>
        <w:tc>
          <w:tcPr>
            <w:tcW w:w="172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职业教育受益学生</w:t>
            </w:r>
          </w:p>
        </w:tc>
        <w:tc>
          <w:tcPr>
            <w:tcW w:w="195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收益学生不低于1000人</w:t>
            </w:r>
          </w:p>
        </w:tc>
        <w:tc>
          <w:tcPr>
            <w:tcW w:w="2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80" w:hRule="atLeast"/>
          <w:jc w:val="center"/>
        </w:trPr>
        <w:tc>
          <w:tcPr>
            <w:tcW w:w="1074" w:type="dxa"/>
            <w:vMerge w:val="continue"/>
            <w:tcBorders>
              <w:left w:val="single" w:color="auto" w:sz="4" w:space="0"/>
              <w:right w:val="single" w:color="auto"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074"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310"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生态效益指标</w:t>
            </w:r>
          </w:p>
        </w:tc>
        <w:tc>
          <w:tcPr>
            <w:tcW w:w="1721"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957"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2344"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80" w:hRule="atLeast"/>
          <w:jc w:val="center"/>
        </w:trPr>
        <w:tc>
          <w:tcPr>
            <w:tcW w:w="1074" w:type="dxa"/>
            <w:vMerge w:val="continue"/>
            <w:tcBorders>
              <w:left w:val="single" w:color="auto" w:sz="4" w:space="0"/>
              <w:right w:val="single" w:color="auto"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074"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310"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可持续影响</w:t>
            </w:r>
          </w:p>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指标</w:t>
            </w:r>
          </w:p>
        </w:tc>
        <w:tc>
          <w:tcPr>
            <w:tcW w:w="1721"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影响青少年（学生）数量</w:t>
            </w:r>
          </w:p>
        </w:tc>
        <w:tc>
          <w:tcPr>
            <w:tcW w:w="1957"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收益学生不低于1000人</w:t>
            </w:r>
          </w:p>
        </w:tc>
        <w:tc>
          <w:tcPr>
            <w:tcW w:w="2344"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80" w:hRule="atLeast"/>
          <w:jc w:val="center"/>
        </w:trPr>
        <w:tc>
          <w:tcPr>
            <w:tcW w:w="1074" w:type="dxa"/>
            <w:vMerge w:val="continue"/>
            <w:tcBorders>
              <w:left w:val="single" w:color="auto" w:sz="4" w:space="0"/>
              <w:bottom w:val="single" w:color="000000" w:sz="4" w:space="0"/>
              <w:right w:val="single" w:color="auto"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074"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满意度指标</w:t>
            </w:r>
          </w:p>
        </w:tc>
        <w:tc>
          <w:tcPr>
            <w:tcW w:w="1310"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满意度指标</w:t>
            </w:r>
          </w:p>
        </w:tc>
        <w:tc>
          <w:tcPr>
            <w:tcW w:w="1721"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师生综合满意度</w:t>
            </w:r>
          </w:p>
        </w:tc>
        <w:tc>
          <w:tcPr>
            <w:tcW w:w="1957"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师生综合满意度不低于95%</w:t>
            </w:r>
          </w:p>
        </w:tc>
        <w:tc>
          <w:tcPr>
            <w:tcW w:w="2344"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100%</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color w:val="000000" w:themeColor="text1"/>
          <w:spacing w:val="-11"/>
          <w:sz w:val="32"/>
          <w:szCs w:val="32"/>
          <w14:textFill>
            <w14:solidFill>
              <w14:schemeClr w14:val="tx1"/>
            </w14:solidFill>
          </w14:textFill>
        </w:rPr>
      </w:pPr>
      <w:r>
        <w:rPr>
          <w:rFonts w:hint="eastAsia" w:ascii="宋体" w:hAnsi="宋体" w:eastAsia="宋体" w:cs="宋体"/>
          <w:b/>
          <w:color w:val="000000" w:themeColor="text1"/>
          <w:spacing w:val="-11"/>
          <w:sz w:val="32"/>
          <w:szCs w:val="32"/>
          <w14:textFill>
            <w14:solidFill>
              <w14:schemeClr w14:val="tx1"/>
            </w14:solidFill>
          </w14:textFill>
        </w:rPr>
        <w:t>2021年100万元以上（含）特定目标类部门预算项目绩效目标自评</w:t>
      </w:r>
    </w:p>
    <w:p>
      <w:pPr>
        <w:bidi w:val="0"/>
        <w:rPr>
          <w:rFonts w:hint="eastAsia"/>
          <w:color w:val="000000" w:themeColor="text1"/>
          <w14:textFill>
            <w14:solidFill>
              <w14:schemeClr w14:val="tx1"/>
            </w14:solidFill>
          </w14:textFill>
        </w:rPr>
      </w:pPr>
    </w:p>
    <w:tbl>
      <w:tblPr>
        <w:tblStyle w:val="14"/>
        <w:tblW w:w="9988" w:type="dxa"/>
        <w:jc w:val="center"/>
        <w:tblInd w:w="-435" w:type="dxa"/>
        <w:tblLayout w:type="fixed"/>
        <w:tblCellMar>
          <w:top w:w="0" w:type="dxa"/>
          <w:left w:w="108" w:type="dxa"/>
          <w:bottom w:w="0" w:type="dxa"/>
          <w:right w:w="108" w:type="dxa"/>
        </w:tblCellMar>
      </w:tblPr>
      <w:tblGrid>
        <w:gridCol w:w="1648"/>
        <w:gridCol w:w="1224"/>
        <w:gridCol w:w="1389"/>
        <w:gridCol w:w="567"/>
        <w:gridCol w:w="936"/>
        <w:gridCol w:w="1625"/>
        <w:gridCol w:w="2599"/>
      </w:tblGrid>
      <w:tr>
        <w:tblPrEx>
          <w:tblLayout w:type="fixed"/>
          <w:tblCellMar>
            <w:top w:w="0" w:type="dxa"/>
            <w:left w:w="108" w:type="dxa"/>
            <w:bottom w:w="0" w:type="dxa"/>
            <w:right w:w="108" w:type="dxa"/>
          </w:tblCellMar>
        </w:tblPrEx>
        <w:trPr>
          <w:trHeight w:val="439" w:hRule="atLeast"/>
          <w:jc w:val="center"/>
        </w:trPr>
        <w:tc>
          <w:tcPr>
            <w:tcW w:w="28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项目名称</w:t>
            </w:r>
          </w:p>
        </w:tc>
        <w:tc>
          <w:tcPr>
            <w:tcW w:w="711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教学改革及研究经费</w:t>
            </w:r>
          </w:p>
        </w:tc>
      </w:tr>
      <w:tr>
        <w:tblPrEx>
          <w:tblLayout w:type="fixed"/>
          <w:tblCellMar>
            <w:top w:w="0" w:type="dxa"/>
            <w:left w:w="108" w:type="dxa"/>
            <w:bottom w:w="0" w:type="dxa"/>
            <w:right w:w="108" w:type="dxa"/>
          </w:tblCellMar>
        </w:tblPrEx>
        <w:trPr>
          <w:trHeight w:val="810" w:hRule="atLeast"/>
          <w:jc w:val="center"/>
        </w:trPr>
        <w:tc>
          <w:tcPr>
            <w:tcW w:w="28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主管部门及代码</w:t>
            </w:r>
          </w:p>
        </w:tc>
        <w:tc>
          <w:tcPr>
            <w:tcW w:w="2892"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四川省司法厅</w:t>
            </w:r>
          </w:p>
        </w:tc>
        <w:tc>
          <w:tcPr>
            <w:tcW w:w="16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实施单位</w:t>
            </w:r>
          </w:p>
        </w:tc>
        <w:tc>
          <w:tcPr>
            <w:tcW w:w="259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四川司法警官职业学院</w:t>
            </w:r>
          </w:p>
        </w:tc>
      </w:tr>
      <w:tr>
        <w:tblPrEx>
          <w:tblLayout w:type="fixed"/>
          <w:tblCellMar>
            <w:top w:w="0" w:type="dxa"/>
            <w:left w:w="108" w:type="dxa"/>
            <w:bottom w:w="0" w:type="dxa"/>
            <w:right w:w="108" w:type="dxa"/>
          </w:tblCellMar>
        </w:tblPrEx>
        <w:trPr>
          <w:trHeight w:val="439" w:hRule="atLeast"/>
          <w:jc w:val="center"/>
        </w:trPr>
        <w:tc>
          <w:tcPr>
            <w:tcW w:w="287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项目预算</w:t>
            </w:r>
            <w:r>
              <w:rPr>
                <w:rFonts w:hint="eastAsia" w:ascii="宋体" w:hAnsi="宋体" w:eastAsia="宋体" w:cs="宋体"/>
                <w:color w:val="000000" w:themeColor="text1"/>
                <w:kern w:val="0"/>
                <w:sz w:val="16"/>
                <w:szCs w:val="16"/>
                <w14:textFill>
                  <w14:solidFill>
                    <w14:schemeClr w14:val="tx1"/>
                  </w14:solidFill>
                </w14:textFill>
              </w:rPr>
              <w:br w:type="textWrapping"/>
            </w:r>
            <w:r>
              <w:rPr>
                <w:rFonts w:hint="eastAsia" w:ascii="宋体" w:hAnsi="宋体" w:eastAsia="宋体" w:cs="宋体"/>
                <w:color w:val="000000" w:themeColor="text1"/>
                <w:kern w:val="0"/>
                <w:sz w:val="16"/>
                <w:szCs w:val="16"/>
                <w14:textFill>
                  <w14:solidFill>
                    <w14:schemeClr w14:val="tx1"/>
                  </w14:solidFill>
                </w14:textFill>
              </w:rPr>
              <w:t>执行情况</w:t>
            </w:r>
            <w:r>
              <w:rPr>
                <w:rFonts w:hint="eastAsia" w:ascii="宋体" w:hAnsi="宋体" w:eastAsia="宋体" w:cs="宋体"/>
                <w:color w:val="000000" w:themeColor="text1"/>
                <w:kern w:val="0"/>
                <w:sz w:val="16"/>
                <w:szCs w:val="16"/>
                <w14:textFill>
                  <w14:solidFill>
                    <w14:schemeClr w14:val="tx1"/>
                  </w14:solidFill>
                </w14:textFill>
              </w:rPr>
              <w:br w:type="textWrapping"/>
            </w:r>
            <w:r>
              <w:rPr>
                <w:rFonts w:hint="eastAsia" w:ascii="宋体" w:hAnsi="宋体" w:eastAsia="宋体" w:cs="宋体"/>
                <w:color w:val="000000" w:themeColor="text1"/>
                <w:kern w:val="0"/>
                <w:sz w:val="16"/>
                <w:szCs w:val="16"/>
                <w14:textFill>
                  <w14:solidFill>
                    <w14:schemeClr w14:val="tx1"/>
                  </w14:solidFill>
                </w14:textFill>
              </w:rPr>
              <w:t>（万元）</w:t>
            </w:r>
          </w:p>
        </w:tc>
        <w:tc>
          <w:tcPr>
            <w:tcW w:w="195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xml:space="preserve"> 预算数：</w:t>
            </w: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110.00</w:t>
            </w:r>
          </w:p>
        </w:tc>
        <w:tc>
          <w:tcPr>
            <w:tcW w:w="162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xml:space="preserve"> 执行数：</w:t>
            </w:r>
          </w:p>
        </w:tc>
        <w:tc>
          <w:tcPr>
            <w:tcW w:w="2599"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73.85</w:t>
            </w:r>
          </w:p>
        </w:tc>
      </w:tr>
      <w:tr>
        <w:tblPrEx>
          <w:tblLayout w:type="fixed"/>
          <w:tblCellMar>
            <w:top w:w="0" w:type="dxa"/>
            <w:left w:w="108" w:type="dxa"/>
            <w:bottom w:w="0" w:type="dxa"/>
            <w:right w:w="108" w:type="dxa"/>
          </w:tblCellMar>
        </w:tblPrEx>
        <w:trPr>
          <w:trHeight w:val="439" w:hRule="atLeast"/>
          <w:jc w:val="center"/>
        </w:trPr>
        <w:tc>
          <w:tcPr>
            <w:tcW w:w="287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195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其中：</w:t>
            </w:r>
          </w:p>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财政拨款</w:t>
            </w:r>
          </w:p>
        </w:tc>
        <w:tc>
          <w:tcPr>
            <w:tcW w:w="936" w:type="dxa"/>
            <w:tcBorders>
              <w:top w:val="nil"/>
              <w:left w:val="nil"/>
              <w:bottom w:val="single" w:color="auto" w:sz="4" w:space="0"/>
              <w:right w:val="single" w:color="auto" w:sz="4" w:space="0"/>
            </w:tcBorders>
            <w:shd w:val="clear" w:color="auto" w:fill="auto"/>
            <w:vAlign w:val="center"/>
          </w:tcPr>
          <w:p>
            <w:pPr>
              <w:widowControl/>
              <w:ind w:firstLine="320" w:firstLineChars="200"/>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xml:space="preserve"> 0</w:t>
            </w:r>
          </w:p>
        </w:tc>
        <w:tc>
          <w:tcPr>
            <w:tcW w:w="162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其中：</w:t>
            </w:r>
          </w:p>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财政拨款</w:t>
            </w:r>
          </w:p>
        </w:tc>
        <w:tc>
          <w:tcPr>
            <w:tcW w:w="2599"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0　</w:t>
            </w:r>
          </w:p>
        </w:tc>
      </w:tr>
      <w:tr>
        <w:tblPrEx>
          <w:tblLayout w:type="fixed"/>
          <w:tblCellMar>
            <w:top w:w="0" w:type="dxa"/>
            <w:left w:w="108" w:type="dxa"/>
            <w:bottom w:w="0" w:type="dxa"/>
            <w:right w:w="108" w:type="dxa"/>
          </w:tblCellMar>
        </w:tblPrEx>
        <w:trPr>
          <w:trHeight w:val="439" w:hRule="atLeast"/>
          <w:jc w:val="center"/>
        </w:trPr>
        <w:tc>
          <w:tcPr>
            <w:tcW w:w="287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195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其他资金</w:t>
            </w: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110.00</w:t>
            </w:r>
          </w:p>
        </w:tc>
        <w:tc>
          <w:tcPr>
            <w:tcW w:w="162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其他资金</w:t>
            </w:r>
          </w:p>
        </w:tc>
        <w:tc>
          <w:tcPr>
            <w:tcW w:w="2599"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73.85</w:t>
            </w:r>
          </w:p>
        </w:tc>
      </w:tr>
      <w:tr>
        <w:tblPrEx>
          <w:tblLayout w:type="fixed"/>
          <w:tblCellMar>
            <w:top w:w="0" w:type="dxa"/>
            <w:left w:w="108" w:type="dxa"/>
            <w:bottom w:w="0" w:type="dxa"/>
            <w:right w:w="108" w:type="dxa"/>
          </w:tblCellMar>
        </w:tblPrEx>
        <w:trPr>
          <w:trHeight w:val="439" w:hRule="atLeast"/>
          <w:jc w:val="center"/>
        </w:trPr>
        <w:tc>
          <w:tcPr>
            <w:tcW w:w="164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年度总体目标完成情况</w:t>
            </w:r>
          </w:p>
        </w:tc>
        <w:tc>
          <w:tcPr>
            <w:tcW w:w="411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预期目标</w:t>
            </w:r>
          </w:p>
        </w:tc>
        <w:tc>
          <w:tcPr>
            <w:tcW w:w="422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目标实际完成情况</w:t>
            </w:r>
          </w:p>
        </w:tc>
      </w:tr>
      <w:tr>
        <w:tblPrEx>
          <w:tblLayout w:type="fixed"/>
          <w:tblCellMar>
            <w:top w:w="0" w:type="dxa"/>
            <w:left w:w="108" w:type="dxa"/>
            <w:bottom w:w="0" w:type="dxa"/>
            <w:right w:w="108" w:type="dxa"/>
          </w:tblCellMar>
        </w:tblPrEx>
        <w:trPr>
          <w:trHeight w:val="2347" w:hRule="atLeast"/>
          <w:jc w:val="center"/>
        </w:trPr>
        <w:tc>
          <w:tcPr>
            <w:tcW w:w="164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411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both"/>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完成学院课题调研，提高学院教师教学质量水平，完成学院内部教学信息化质量管理平台建设，顺利通过教育厅教育工作诊断与改进复核。</w:t>
            </w:r>
          </w:p>
        </w:tc>
        <w:tc>
          <w:tcPr>
            <w:tcW w:w="422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both"/>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完成学院课题调研56项，显著提高学院教师教学质量水平，已经建成学院内部教学信息化质量管理平台1个，科研项目100%过教育厅教育工作诊断与改进复核。</w:t>
            </w:r>
          </w:p>
        </w:tc>
      </w:tr>
      <w:tr>
        <w:tblPrEx>
          <w:tblLayout w:type="fixed"/>
          <w:tblCellMar>
            <w:top w:w="0" w:type="dxa"/>
            <w:left w:w="108" w:type="dxa"/>
            <w:bottom w:w="0" w:type="dxa"/>
            <w:right w:w="108" w:type="dxa"/>
          </w:tblCellMar>
        </w:tblPrEx>
        <w:trPr>
          <w:trHeight w:val="439" w:hRule="atLeast"/>
          <w:jc w:val="center"/>
        </w:trPr>
        <w:tc>
          <w:tcPr>
            <w:tcW w:w="164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年度绩效指标完成情况</w:t>
            </w:r>
          </w:p>
        </w:tc>
        <w:tc>
          <w:tcPr>
            <w:tcW w:w="12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一级</w:t>
            </w:r>
          </w:p>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指标</w:t>
            </w:r>
          </w:p>
        </w:tc>
        <w:tc>
          <w:tcPr>
            <w:tcW w:w="13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二级</w:t>
            </w:r>
          </w:p>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指标</w:t>
            </w:r>
          </w:p>
        </w:tc>
        <w:tc>
          <w:tcPr>
            <w:tcW w:w="15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三级</w:t>
            </w:r>
          </w:p>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指标</w:t>
            </w:r>
          </w:p>
        </w:tc>
        <w:tc>
          <w:tcPr>
            <w:tcW w:w="16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预期指</w:t>
            </w:r>
          </w:p>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标值</w:t>
            </w:r>
          </w:p>
        </w:tc>
        <w:tc>
          <w:tcPr>
            <w:tcW w:w="259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实际完成指标值</w:t>
            </w:r>
          </w:p>
        </w:tc>
      </w:tr>
      <w:tr>
        <w:tblPrEx>
          <w:tblLayout w:type="fixed"/>
          <w:tblCellMar>
            <w:top w:w="0" w:type="dxa"/>
            <w:left w:w="108" w:type="dxa"/>
            <w:bottom w:w="0" w:type="dxa"/>
            <w:right w:w="108" w:type="dxa"/>
          </w:tblCellMar>
        </w:tblPrEx>
        <w:trPr>
          <w:trHeight w:val="525" w:hRule="atLeast"/>
          <w:jc w:val="center"/>
        </w:trPr>
        <w:tc>
          <w:tcPr>
            <w:tcW w:w="1648"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224" w:type="dxa"/>
            <w:vMerge w:val="restart"/>
            <w:tcBorders>
              <w:top w:val="nil"/>
              <w:left w:val="single" w:color="auto"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完成</w:t>
            </w:r>
          </w:p>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指标</w:t>
            </w:r>
          </w:p>
        </w:tc>
        <w:tc>
          <w:tcPr>
            <w:tcW w:w="1389"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数量指标</w:t>
            </w:r>
          </w:p>
        </w:tc>
        <w:tc>
          <w:tcPr>
            <w:tcW w:w="1503"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完成科研项目</w:t>
            </w:r>
          </w:p>
        </w:tc>
        <w:tc>
          <w:tcPr>
            <w:tcW w:w="1625"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完成科研课题项目40个</w:t>
            </w:r>
          </w:p>
        </w:tc>
        <w:tc>
          <w:tcPr>
            <w:tcW w:w="2599"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完成科研课题项目56个</w:t>
            </w:r>
          </w:p>
        </w:tc>
      </w:tr>
      <w:tr>
        <w:tblPrEx>
          <w:tblLayout w:type="fixed"/>
          <w:tblCellMar>
            <w:top w:w="0" w:type="dxa"/>
            <w:left w:w="108" w:type="dxa"/>
            <w:bottom w:w="0" w:type="dxa"/>
            <w:right w:w="108" w:type="dxa"/>
          </w:tblCellMar>
        </w:tblPrEx>
        <w:trPr>
          <w:trHeight w:val="480" w:hRule="atLeast"/>
          <w:jc w:val="center"/>
        </w:trPr>
        <w:tc>
          <w:tcPr>
            <w:tcW w:w="1648"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224" w:type="dxa"/>
            <w:vMerge w:val="continue"/>
            <w:tcBorders>
              <w:top w:val="nil"/>
              <w:left w:val="single" w:color="auto" w:sz="4" w:space="0"/>
              <w:bottom w:val="single" w:color="000000" w:sz="4" w:space="0"/>
              <w:right w:val="single" w:color="000000" w:sz="4" w:space="0"/>
            </w:tcBorders>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389"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质量指标</w:t>
            </w:r>
          </w:p>
        </w:tc>
        <w:tc>
          <w:tcPr>
            <w:tcW w:w="1503"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625"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2599"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r>
      <w:tr>
        <w:tblPrEx>
          <w:tblLayout w:type="fixed"/>
          <w:tblCellMar>
            <w:top w:w="0" w:type="dxa"/>
            <w:left w:w="108" w:type="dxa"/>
            <w:bottom w:w="0" w:type="dxa"/>
            <w:right w:w="108" w:type="dxa"/>
          </w:tblCellMar>
        </w:tblPrEx>
        <w:trPr>
          <w:trHeight w:val="480" w:hRule="atLeast"/>
          <w:jc w:val="center"/>
        </w:trPr>
        <w:tc>
          <w:tcPr>
            <w:tcW w:w="1648"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224" w:type="dxa"/>
            <w:vMerge w:val="continue"/>
            <w:tcBorders>
              <w:top w:val="nil"/>
              <w:left w:val="single" w:color="auto" w:sz="4" w:space="0"/>
              <w:bottom w:val="single" w:color="000000" w:sz="4" w:space="0"/>
              <w:right w:val="single" w:color="000000" w:sz="4" w:space="0"/>
            </w:tcBorders>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389"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时效指标</w:t>
            </w:r>
          </w:p>
        </w:tc>
        <w:tc>
          <w:tcPr>
            <w:tcW w:w="1503"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评审工作</w:t>
            </w:r>
          </w:p>
        </w:tc>
        <w:tc>
          <w:tcPr>
            <w:tcW w:w="1625"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科研课题评审工作在1个月内完成</w:t>
            </w:r>
          </w:p>
        </w:tc>
        <w:tc>
          <w:tcPr>
            <w:tcW w:w="2599"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1个月内完成科研课题评审工作281项</w:t>
            </w:r>
          </w:p>
        </w:tc>
      </w:tr>
      <w:tr>
        <w:tblPrEx>
          <w:tblLayout w:type="fixed"/>
          <w:tblCellMar>
            <w:top w:w="0" w:type="dxa"/>
            <w:left w:w="108" w:type="dxa"/>
            <w:bottom w:w="0" w:type="dxa"/>
            <w:right w:w="108" w:type="dxa"/>
          </w:tblCellMar>
        </w:tblPrEx>
        <w:trPr>
          <w:trHeight w:val="480" w:hRule="atLeast"/>
          <w:jc w:val="center"/>
        </w:trPr>
        <w:tc>
          <w:tcPr>
            <w:tcW w:w="1648"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224" w:type="dxa"/>
            <w:vMerge w:val="continue"/>
            <w:tcBorders>
              <w:top w:val="nil"/>
              <w:left w:val="single" w:color="auto" w:sz="4" w:space="0"/>
              <w:bottom w:val="single" w:color="000000" w:sz="4" w:space="0"/>
              <w:right w:val="single" w:color="000000" w:sz="4" w:space="0"/>
            </w:tcBorders>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389"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成本指标</w:t>
            </w:r>
          </w:p>
        </w:tc>
        <w:tc>
          <w:tcPr>
            <w:tcW w:w="1503"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625"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2599"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r>
      <w:tr>
        <w:tblPrEx>
          <w:tblLayout w:type="fixed"/>
          <w:tblCellMar>
            <w:top w:w="0" w:type="dxa"/>
            <w:left w:w="108" w:type="dxa"/>
            <w:bottom w:w="0" w:type="dxa"/>
            <w:right w:w="108" w:type="dxa"/>
          </w:tblCellMar>
        </w:tblPrEx>
        <w:trPr>
          <w:trHeight w:val="480" w:hRule="atLeast"/>
          <w:jc w:val="center"/>
        </w:trPr>
        <w:tc>
          <w:tcPr>
            <w:tcW w:w="1648"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224" w:type="dxa"/>
            <w:vMerge w:val="restart"/>
            <w:tcBorders>
              <w:top w:val="nil"/>
              <w:left w:val="single" w:color="auto"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效益</w:t>
            </w:r>
          </w:p>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指标</w:t>
            </w:r>
          </w:p>
        </w:tc>
        <w:tc>
          <w:tcPr>
            <w:tcW w:w="1389"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经济效益指标</w:t>
            </w:r>
          </w:p>
        </w:tc>
        <w:tc>
          <w:tcPr>
            <w:tcW w:w="1503"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625"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2599"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r>
      <w:tr>
        <w:tblPrEx>
          <w:tblLayout w:type="fixed"/>
          <w:tblCellMar>
            <w:top w:w="0" w:type="dxa"/>
            <w:left w:w="108" w:type="dxa"/>
            <w:bottom w:w="0" w:type="dxa"/>
            <w:right w:w="108" w:type="dxa"/>
          </w:tblCellMar>
        </w:tblPrEx>
        <w:trPr>
          <w:trHeight w:val="480" w:hRule="atLeast"/>
          <w:jc w:val="center"/>
        </w:trPr>
        <w:tc>
          <w:tcPr>
            <w:tcW w:w="1648"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224" w:type="dxa"/>
            <w:vMerge w:val="continue"/>
            <w:tcBorders>
              <w:top w:val="nil"/>
              <w:left w:val="single" w:color="auto" w:sz="4" w:space="0"/>
              <w:bottom w:val="single" w:color="000000" w:sz="4" w:space="0"/>
              <w:right w:val="single" w:color="000000" w:sz="4" w:space="0"/>
            </w:tcBorders>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389"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社会效益指标</w:t>
            </w:r>
          </w:p>
        </w:tc>
        <w:tc>
          <w:tcPr>
            <w:tcW w:w="1503"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625"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2599"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r>
      <w:tr>
        <w:tblPrEx>
          <w:tblLayout w:type="fixed"/>
          <w:tblCellMar>
            <w:top w:w="0" w:type="dxa"/>
            <w:left w:w="108" w:type="dxa"/>
            <w:bottom w:w="0" w:type="dxa"/>
            <w:right w:w="108" w:type="dxa"/>
          </w:tblCellMar>
        </w:tblPrEx>
        <w:trPr>
          <w:trHeight w:val="480" w:hRule="atLeast"/>
          <w:jc w:val="center"/>
        </w:trPr>
        <w:tc>
          <w:tcPr>
            <w:tcW w:w="1648"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224" w:type="dxa"/>
            <w:vMerge w:val="continue"/>
            <w:tcBorders>
              <w:top w:val="nil"/>
              <w:left w:val="single" w:color="auto" w:sz="4" w:space="0"/>
              <w:bottom w:val="single" w:color="000000" w:sz="4" w:space="0"/>
              <w:right w:val="single" w:color="000000" w:sz="4" w:space="0"/>
            </w:tcBorders>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389"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生态效益指标</w:t>
            </w:r>
          </w:p>
        </w:tc>
        <w:tc>
          <w:tcPr>
            <w:tcW w:w="1503"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625"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2599"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r>
      <w:tr>
        <w:tblPrEx>
          <w:tblLayout w:type="fixed"/>
          <w:tblCellMar>
            <w:top w:w="0" w:type="dxa"/>
            <w:left w:w="108" w:type="dxa"/>
            <w:bottom w:w="0" w:type="dxa"/>
            <w:right w:w="108" w:type="dxa"/>
          </w:tblCellMar>
        </w:tblPrEx>
        <w:trPr>
          <w:trHeight w:val="1380" w:hRule="atLeast"/>
          <w:jc w:val="center"/>
        </w:trPr>
        <w:tc>
          <w:tcPr>
            <w:tcW w:w="1648"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224" w:type="dxa"/>
            <w:vMerge w:val="continue"/>
            <w:tcBorders>
              <w:top w:val="nil"/>
              <w:left w:val="single" w:color="auto" w:sz="4" w:space="0"/>
              <w:bottom w:val="single" w:color="000000" w:sz="4" w:space="0"/>
              <w:right w:val="single" w:color="000000" w:sz="4" w:space="0"/>
            </w:tcBorders>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389"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可持续影响指标</w:t>
            </w:r>
          </w:p>
        </w:tc>
        <w:tc>
          <w:tcPr>
            <w:tcW w:w="1503"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提升公共文化服务效能</w:t>
            </w:r>
          </w:p>
        </w:tc>
        <w:tc>
          <w:tcPr>
            <w:tcW w:w="1625" w:type="dxa"/>
            <w:tcBorders>
              <w:top w:val="nil"/>
              <w:left w:val="nil"/>
              <w:bottom w:val="single" w:color="000000" w:sz="4" w:space="0"/>
              <w:right w:val="single" w:color="000000" w:sz="4" w:space="0"/>
            </w:tcBorders>
            <w:shd w:val="clear" w:color="auto" w:fill="auto"/>
            <w:vAlign w:val="center"/>
          </w:tcPr>
          <w:p>
            <w:pPr>
              <w:widowControl/>
              <w:spacing w:line="320" w:lineRule="exact"/>
              <w:jc w:val="both"/>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有效促进司法行政系统的理论研究工作，有效提高司法行政的工资效率</w:t>
            </w:r>
          </w:p>
        </w:tc>
        <w:tc>
          <w:tcPr>
            <w:tcW w:w="2599" w:type="dxa"/>
            <w:tcBorders>
              <w:top w:val="nil"/>
              <w:left w:val="nil"/>
              <w:bottom w:val="single" w:color="000000" w:sz="4" w:space="0"/>
              <w:right w:val="single" w:color="000000" w:sz="4" w:space="0"/>
            </w:tcBorders>
            <w:shd w:val="clear" w:color="auto" w:fill="auto"/>
            <w:vAlign w:val="center"/>
          </w:tcPr>
          <w:p>
            <w:pPr>
              <w:widowControl/>
              <w:spacing w:line="320" w:lineRule="exact"/>
              <w:jc w:val="both"/>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有效促进司法行政系统的理论研究工作，司法行政研究共39项，超过研究项目总数的70%。有效提高司法行政的工资效率</w:t>
            </w:r>
          </w:p>
        </w:tc>
      </w:tr>
      <w:tr>
        <w:tblPrEx>
          <w:tblLayout w:type="fixed"/>
          <w:tblCellMar>
            <w:top w:w="0" w:type="dxa"/>
            <w:left w:w="108" w:type="dxa"/>
            <w:bottom w:w="0" w:type="dxa"/>
            <w:right w:w="108" w:type="dxa"/>
          </w:tblCellMar>
        </w:tblPrEx>
        <w:trPr>
          <w:trHeight w:val="480" w:hRule="atLeast"/>
          <w:jc w:val="center"/>
        </w:trPr>
        <w:tc>
          <w:tcPr>
            <w:tcW w:w="1648"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224" w:type="dxa"/>
            <w:tcBorders>
              <w:top w:val="nil"/>
              <w:left w:val="single" w:color="auto"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满意</w:t>
            </w:r>
          </w:p>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度指标</w:t>
            </w:r>
          </w:p>
        </w:tc>
        <w:tc>
          <w:tcPr>
            <w:tcW w:w="1389"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满意度</w:t>
            </w:r>
          </w:p>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指标</w:t>
            </w:r>
          </w:p>
        </w:tc>
        <w:tc>
          <w:tcPr>
            <w:tcW w:w="1503"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625"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2599"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color w:val="000000" w:themeColor="text1"/>
          <w:spacing w:val="-11"/>
          <w:sz w:val="32"/>
          <w:szCs w:val="32"/>
          <w14:textFill>
            <w14:solidFill>
              <w14:schemeClr w14:val="tx1"/>
            </w14:solidFill>
          </w14:textFill>
        </w:rPr>
      </w:pPr>
      <w:r>
        <w:rPr>
          <w:rFonts w:hint="eastAsia" w:ascii="宋体" w:hAnsi="宋体" w:eastAsia="宋体" w:cs="宋体"/>
          <w:b/>
          <w:color w:val="000000" w:themeColor="text1"/>
          <w:spacing w:val="-11"/>
          <w:sz w:val="32"/>
          <w:szCs w:val="32"/>
          <w14:textFill>
            <w14:solidFill>
              <w14:schemeClr w14:val="tx1"/>
            </w14:solidFill>
          </w14:textFill>
        </w:rPr>
        <w:t>2021年100万元以上（含）特定目标类部门预算项目绩效目标自评</w:t>
      </w:r>
    </w:p>
    <w:p>
      <w:pPr>
        <w:bidi w:val="0"/>
        <w:rPr>
          <w:rFonts w:hint="eastAsia"/>
          <w:color w:val="000000" w:themeColor="text1"/>
          <w14:textFill>
            <w14:solidFill>
              <w14:schemeClr w14:val="tx1"/>
            </w14:solidFill>
          </w14:textFill>
        </w:rPr>
      </w:pPr>
    </w:p>
    <w:tbl>
      <w:tblPr>
        <w:tblStyle w:val="14"/>
        <w:tblW w:w="10037" w:type="dxa"/>
        <w:jc w:val="center"/>
        <w:tblInd w:w="-435" w:type="dxa"/>
        <w:tblLayout w:type="fixed"/>
        <w:tblCellMar>
          <w:top w:w="0" w:type="dxa"/>
          <w:left w:w="108" w:type="dxa"/>
          <w:bottom w:w="0" w:type="dxa"/>
          <w:right w:w="108" w:type="dxa"/>
        </w:tblCellMar>
      </w:tblPr>
      <w:tblGrid>
        <w:gridCol w:w="1648"/>
        <w:gridCol w:w="1199"/>
        <w:gridCol w:w="1357"/>
        <w:gridCol w:w="1184"/>
        <w:gridCol w:w="1056"/>
        <w:gridCol w:w="1752"/>
        <w:gridCol w:w="1841"/>
      </w:tblGrid>
      <w:tr>
        <w:tblPrEx>
          <w:tblLayout w:type="fixed"/>
          <w:tblCellMar>
            <w:top w:w="0" w:type="dxa"/>
            <w:left w:w="108" w:type="dxa"/>
            <w:bottom w:w="0" w:type="dxa"/>
            <w:right w:w="108" w:type="dxa"/>
          </w:tblCellMar>
        </w:tblPrEx>
        <w:trPr>
          <w:trHeight w:val="320" w:hRule="atLeast"/>
          <w:jc w:val="center"/>
        </w:trPr>
        <w:tc>
          <w:tcPr>
            <w:tcW w:w="28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项目名称</w:t>
            </w:r>
          </w:p>
        </w:tc>
        <w:tc>
          <w:tcPr>
            <w:tcW w:w="719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迁扩建项目</w:t>
            </w:r>
          </w:p>
        </w:tc>
      </w:tr>
      <w:tr>
        <w:tblPrEx>
          <w:tblLayout w:type="fixed"/>
          <w:tblCellMar>
            <w:top w:w="0" w:type="dxa"/>
            <w:left w:w="108" w:type="dxa"/>
            <w:bottom w:w="0" w:type="dxa"/>
            <w:right w:w="108" w:type="dxa"/>
          </w:tblCellMar>
        </w:tblPrEx>
        <w:trPr>
          <w:trHeight w:val="313" w:hRule="atLeast"/>
          <w:jc w:val="center"/>
        </w:trPr>
        <w:tc>
          <w:tcPr>
            <w:tcW w:w="28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主管部门及代码</w:t>
            </w:r>
          </w:p>
        </w:tc>
        <w:tc>
          <w:tcPr>
            <w:tcW w:w="3597"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四川省司法厅</w:t>
            </w:r>
          </w:p>
        </w:tc>
        <w:tc>
          <w:tcPr>
            <w:tcW w:w="175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实施单位</w:t>
            </w:r>
          </w:p>
        </w:tc>
        <w:tc>
          <w:tcPr>
            <w:tcW w:w="184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四川司法警官职业学院</w:t>
            </w:r>
          </w:p>
        </w:tc>
      </w:tr>
      <w:tr>
        <w:tblPrEx>
          <w:tblLayout w:type="fixed"/>
          <w:tblCellMar>
            <w:top w:w="0" w:type="dxa"/>
            <w:left w:w="108" w:type="dxa"/>
            <w:bottom w:w="0" w:type="dxa"/>
            <w:right w:w="108" w:type="dxa"/>
          </w:tblCellMar>
        </w:tblPrEx>
        <w:trPr>
          <w:trHeight w:val="439" w:hRule="atLeast"/>
          <w:jc w:val="center"/>
        </w:trPr>
        <w:tc>
          <w:tcPr>
            <w:tcW w:w="284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项目预算</w:t>
            </w:r>
            <w:r>
              <w:rPr>
                <w:rFonts w:hint="eastAsia" w:ascii="宋体" w:hAnsi="宋体" w:eastAsia="宋体" w:cs="宋体"/>
                <w:color w:val="000000" w:themeColor="text1"/>
                <w:kern w:val="0"/>
                <w:sz w:val="16"/>
                <w:szCs w:val="16"/>
                <w14:textFill>
                  <w14:solidFill>
                    <w14:schemeClr w14:val="tx1"/>
                  </w14:solidFill>
                </w14:textFill>
              </w:rPr>
              <w:br w:type="textWrapping"/>
            </w:r>
            <w:r>
              <w:rPr>
                <w:rFonts w:hint="eastAsia" w:ascii="宋体" w:hAnsi="宋体" w:eastAsia="宋体" w:cs="宋体"/>
                <w:color w:val="000000" w:themeColor="text1"/>
                <w:kern w:val="0"/>
                <w:sz w:val="16"/>
                <w:szCs w:val="16"/>
                <w14:textFill>
                  <w14:solidFill>
                    <w14:schemeClr w14:val="tx1"/>
                  </w14:solidFill>
                </w14:textFill>
              </w:rPr>
              <w:t>执行情况</w:t>
            </w:r>
            <w:r>
              <w:rPr>
                <w:rFonts w:hint="eastAsia" w:ascii="宋体" w:hAnsi="宋体" w:eastAsia="宋体" w:cs="宋体"/>
                <w:color w:val="000000" w:themeColor="text1"/>
                <w:kern w:val="0"/>
                <w:sz w:val="16"/>
                <w:szCs w:val="16"/>
                <w14:textFill>
                  <w14:solidFill>
                    <w14:schemeClr w14:val="tx1"/>
                  </w14:solidFill>
                </w14:textFill>
              </w:rPr>
              <w:br w:type="textWrapping"/>
            </w:r>
            <w:r>
              <w:rPr>
                <w:rFonts w:hint="eastAsia" w:ascii="宋体" w:hAnsi="宋体" w:eastAsia="宋体" w:cs="宋体"/>
                <w:color w:val="000000" w:themeColor="text1"/>
                <w:kern w:val="0"/>
                <w:sz w:val="16"/>
                <w:szCs w:val="16"/>
                <w14:textFill>
                  <w14:solidFill>
                    <w14:schemeClr w14:val="tx1"/>
                  </w14:solidFill>
                </w14:textFill>
              </w:rPr>
              <w:t>（万元）</w:t>
            </w:r>
          </w:p>
        </w:tc>
        <w:tc>
          <w:tcPr>
            <w:tcW w:w="254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xml:space="preserve"> 预算数：</w:t>
            </w:r>
          </w:p>
        </w:tc>
        <w:tc>
          <w:tcPr>
            <w:tcW w:w="10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2352.00</w:t>
            </w:r>
          </w:p>
        </w:tc>
        <w:tc>
          <w:tcPr>
            <w:tcW w:w="175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xml:space="preserve"> 执行数：</w:t>
            </w:r>
          </w:p>
        </w:tc>
        <w:tc>
          <w:tcPr>
            <w:tcW w:w="184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1609.46</w:t>
            </w:r>
          </w:p>
        </w:tc>
      </w:tr>
      <w:tr>
        <w:tblPrEx>
          <w:tblLayout w:type="fixed"/>
          <w:tblCellMar>
            <w:top w:w="0" w:type="dxa"/>
            <w:left w:w="108" w:type="dxa"/>
            <w:bottom w:w="0" w:type="dxa"/>
            <w:right w:w="108" w:type="dxa"/>
          </w:tblCellMar>
        </w:tblPrEx>
        <w:trPr>
          <w:trHeight w:val="439" w:hRule="atLeast"/>
          <w:jc w:val="center"/>
        </w:trPr>
        <w:tc>
          <w:tcPr>
            <w:tcW w:w="284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themeColor="text1"/>
                <w:kern w:val="0"/>
                <w:sz w:val="16"/>
                <w:szCs w:val="16"/>
                <w14:textFill>
                  <w14:solidFill>
                    <w14:schemeClr w14:val="tx1"/>
                  </w14:solidFill>
                </w14:textFill>
              </w:rPr>
            </w:pPr>
          </w:p>
        </w:tc>
        <w:tc>
          <w:tcPr>
            <w:tcW w:w="254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xml:space="preserve"> 其中：</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财政拨款</w:t>
            </w:r>
          </w:p>
        </w:tc>
        <w:tc>
          <w:tcPr>
            <w:tcW w:w="10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firstLine="480" w:firstLineChars="300"/>
              <w:jc w:val="left"/>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0</w:t>
            </w:r>
          </w:p>
        </w:tc>
        <w:tc>
          <w:tcPr>
            <w:tcW w:w="175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xml:space="preserve"> 其中：</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财政拨款</w:t>
            </w:r>
          </w:p>
        </w:tc>
        <w:tc>
          <w:tcPr>
            <w:tcW w:w="184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0　</w:t>
            </w:r>
          </w:p>
        </w:tc>
      </w:tr>
      <w:tr>
        <w:tblPrEx>
          <w:tblLayout w:type="fixed"/>
          <w:tblCellMar>
            <w:top w:w="0" w:type="dxa"/>
            <w:left w:w="108" w:type="dxa"/>
            <w:bottom w:w="0" w:type="dxa"/>
            <w:right w:w="108" w:type="dxa"/>
          </w:tblCellMar>
        </w:tblPrEx>
        <w:trPr>
          <w:trHeight w:val="330" w:hRule="atLeast"/>
          <w:jc w:val="center"/>
        </w:trPr>
        <w:tc>
          <w:tcPr>
            <w:tcW w:w="284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themeColor="text1"/>
                <w:kern w:val="0"/>
                <w:sz w:val="16"/>
                <w:szCs w:val="16"/>
                <w14:textFill>
                  <w14:solidFill>
                    <w14:schemeClr w14:val="tx1"/>
                  </w14:solidFill>
                </w14:textFill>
              </w:rPr>
            </w:pPr>
          </w:p>
        </w:tc>
        <w:tc>
          <w:tcPr>
            <w:tcW w:w="254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其他资金</w:t>
            </w:r>
          </w:p>
        </w:tc>
        <w:tc>
          <w:tcPr>
            <w:tcW w:w="10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2352.00</w:t>
            </w:r>
          </w:p>
        </w:tc>
        <w:tc>
          <w:tcPr>
            <w:tcW w:w="175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其他资金</w:t>
            </w:r>
          </w:p>
        </w:tc>
        <w:tc>
          <w:tcPr>
            <w:tcW w:w="184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1609.46</w:t>
            </w:r>
          </w:p>
        </w:tc>
      </w:tr>
      <w:tr>
        <w:tblPrEx>
          <w:tblLayout w:type="fixed"/>
          <w:tblCellMar>
            <w:top w:w="0" w:type="dxa"/>
            <w:left w:w="108" w:type="dxa"/>
            <w:bottom w:w="0" w:type="dxa"/>
            <w:right w:w="108" w:type="dxa"/>
          </w:tblCellMar>
        </w:tblPrEx>
        <w:trPr>
          <w:trHeight w:val="330" w:hRule="atLeast"/>
          <w:jc w:val="center"/>
        </w:trPr>
        <w:tc>
          <w:tcPr>
            <w:tcW w:w="164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年度总体</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目标完成</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情况</w:t>
            </w:r>
          </w:p>
        </w:tc>
        <w:tc>
          <w:tcPr>
            <w:tcW w:w="4796"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预期目标</w:t>
            </w:r>
          </w:p>
        </w:tc>
        <w:tc>
          <w:tcPr>
            <w:tcW w:w="359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目标实际完成情况</w:t>
            </w:r>
          </w:p>
        </w:tc>
      </w:tr>
      <w:tr>
        <w:tblPrEx>
          <w:tblLayout w:type="fixed"/>
          <w:tblCellMar>
            <w:top w:w="0" w:type="dxa"/>
            <w:left w:w="108" w:type="dxa"/>
            <w:bottom w:w="0" w:type="dxa"/>
            <w:right w:w="108" w:type="dxa"/>
          </w:tblCellMar>
        </w:tblPrEx>
        <w:trPr>
          <w:trHeight w:val="2724" w:hRule="atLeast"/>
          <w:jc w:val="center"/>
        </w:trPr>
        <w:tc>
          <w:tcPr>
            <w:tcW w:w="164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themeColor="text1"/>
                <w:kern w:val="0"/>
                <w:sz w:val="16"/>
                <w:szCs w:val="16"/>
                <w14:textFill>
                  <w14:solidFill>
                    <w14:schemeClr w14:val="tx1"/>
                  </w14:solidFill>
                </w14:textFill>
              </w:rPr>
            </w:pPr>
          </w:p>
        </w:tc>
        <w:tc>
          <w:tcPr>
            <w:tcW w:w="4796"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全面改善学院学历教育办学条件，建设高水平司法行政系统战训基地，培养高素质实战实用型人才。</w:t>
            </w:r>
          </w:p>
        </w:tc>
        <w:tc>
          <w:tcPr>
            <w:tcW w:w="3593"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取得了《规划设计条件批复》和《建设用地规划许可证》、《建设工程规划许可证》、《新建民用建筑修建防空地下室批准书》、《德阳市人民政府“国有建设用地使用权”批复文件》等。同步完成了招标代理机构、勘察和设计单位招标、造价咨询服务招标；同步完成了规划方案设计意见征集、一期选址地拆迁工作；同步完成了项目方案设计及总平面图通过德阳市专家委员会审查、德阳市16部门联合审查会审查、德阳市规划委员会审查；同步完成了项目初步设计及概算编制等工作。</w:t>
            </w:r>
          </w:p>
        </w:tc>
      </w:tr>
      <w:tr>
        <w:tblPrEx>
          <w:tblLayout w:type="fixed"/>
          <w:tblCellMar>
            <w:top w:w="0" w:type="dxa"/>
            <w:left w:w="108" w:type="dxa"/>
            <w:bottom w:w="0" w:type="dxa"/>
            <w:right w:w="108" w:type="dxa"/>
          </w:tblCellMar>
        </w:tblPrEx>
        <w:trPr>
          <w:trHeight w:val="553" w:hRule="atLeast"/>
          <w:jc w:val="center"/>
        </w:trPr>
        <w:tc>
          <w:tcPr>
            <w:tcW w:w="16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年度绩效指标</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完成情况</w:t>
            </w:r>
          </w:p>
        </w:tc>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一级</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指标</w:t>
            </w: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二级</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指标</w:t>
            </w:r>
          </w:p>
        </w:tc>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三级</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指标</w:t>
            </w: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预期指</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标值</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实际完成指标值</w:t>
            </w:r>
          </w:p>
        </w:tc>
      </w:tr>
      <w:tr>
        <w:tblPrEx>
          <w:tblLayout w:type="fixed"/>
          <w:tblCellMar>
            <w:top w:w="0" w:type="dxa"/>
            <w:left w:w="108" w:type="dxa"/>
            <w:bottom w:w="0" w:type="dxa"/>
            <w:right w:w="108" w:type="dxa"/>
          </w:tblCellMar>
        </w:tblPrEx>
        <w:trPr>
          <w:trHeight w:val="600" w:hRule="atLeast"/>
          <w:jc w:val="center"/>
        </w:trPr>
        <w:tc>
          <w:tcPr>
            <w:tcW w:w="164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p>
        </w:tc>
        <w:tc>
          <w:tcPr>
            <w:tcW w:w="11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完成</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指标</w:t>
            </w: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数量指标</w:t>
            </w:r>
          </w:p>
        </w:tc>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建设教学及辅助用房面积</w:t>
            </w: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建设教学及辅助用房面积4万平方米</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因前期手续未办理完毕，项目初设和概算未批复，故未完成</w:t>
            </w:r>
          </w:p>
        </w:tc>
      </w:tr>
      <w:tr>
        <w:tblPrEx>
          <w:tblLayout w:type="fixed"/>
          <w:tblCellMar>
            <w:top w:w="0" w:type="dxa"/>
            <w:left w:w="108" w:type="dxa"/>
            <w:bottom w:w="0" w:type="dxa"/>
            <w:right w:w="108" w:type="dxa"/>
          </w:tblCellMar>
        </w:tblPrEx>
        <w:trPr>
          <w:trHeight w:val="660" w:hRule="atLeast"/>
          <w:jc w:val="center"/>
        </w:trPr>
        <w:tc>
          <w:tcPr>
            <w:tcW w:w="164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p>
        </w:tc>
        <w:tc>
          <w:tcPr>
            <w:tcW w:w="119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质量指标</w:t>
            </w:r>
          </w:p>
        </w:tc>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新建或改造校舍质量达标率</w:t>
            </w: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新建校舍质量达标率100%</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因前期手续未办理完毕，项目初设和概算未批复，故未完成</w:t>
            </w:r>
          </w:p>
        </w:tc>
      </w:tr>
      <w:tr>
        <w:tblPrEx>
          <w:tblLayout w:type="fixed"/>
          <w:tblCellMar>
            <w:top w:w="0" w:type="dxa"/>
            <w:left w:w="108" w:type="dxa"/>
            <w:bottom w:w="0" w:type="dxa"/>
            <w:right w:w="108" w:type="dxa"/>
          </w:tblCellMar>
        </w:tblPrEx>
        <w:trPr>
          <w:trHeight w:val="553" w:hRule="atLeast"/>
          <w:jc w:val="center"/>
        </w:trPr>
        <w:tc>
          <w:tcPr>
            <w:tcW w:w="164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p>
        </w:tc>
        <w:tc>
          <w:tcPr>
            <w:tcW w:w="119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时效指标</w:t>
            </w:r>
          </w:p>
        </w:tc>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招标代理机构按项目类别分包招标</w:t>
            </w: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新校工程招标明年内完成</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能完成</w:t>
            </w:r>
          </w:p>
        </w:tc>
      </w:tr>
      <w:tr>
        <w:tblPrEx>
          <w:tblLayout w:type="fixed"/>
          <w:tblCellMar>
            <w:top w:w="0" w:type="dxa"/>
            <w:left w:w="108" w:type="dxa"/>
            <w:bottom w:w="0" w:type="dxa"/>
            <w:right w:w="108" w:type="dxa"/>
          </w:tblCellMar>
        </w:tblPrEx>
        <w:trPr>
          <w:trHeight w:val="384" w:hRule="atLeast"/>
          <w:jc w:val="center"/>
        </w:trPr>
        <w:tc>
          <w:tcPr>
            <w:tcW w:w="164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p>
        </w:tc>
        <w:tc>
          <w:tcPr>
            <w:tcW w:w="119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成本指标</w:t>
            </w:r>
          </w:p>
        </w:tc>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完成</w:t>
            </w:r>
          </w:p>
        </w:tc>
      </w:tr>
      <w:tr>
        <w:tblPrEx>
          <w:tblLayout w:type="fixed"/>
          <w:tblCellMar>
            <w:top w:w="0" w:type="dxa"/>
            <w:left w:w="108" w:type="dxa"/>
            <w:bottom w:w="0" w:type="dxa"/>
            <w:right w:w="108" w:type="dxa"/>
          </w:tblCellMar>
        </w:tblPrEx>
        <w:trPr>
          <w:trHeight w:val="480" w:hRule="atLeast"/>
          <w:jc w:val="center"/>
        </w:trPr>
        <w:tc>
          <w:tcPr>
            <w:tcW w:w="164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p>
        </w:tc>
        <w:tc>
          <w:tcPr>
            <w:tcW w:w="11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效益</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指标</w:t>
            </w: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经济效益指标</w:t>
            </w:r>
          </w:p>
        </w:tc>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因前期手续未办理完毕，项目初设和概算未批复，故未开工</w:t>
            </w:r>
          </w:p>
        </w:tc>
      </w:tr>
      <w:tr>
        <w:tblPrEx>
          <w:tblLayout w:type="fixed"/>
          <w:tblCellMar>
            <w:top w:w="0" w:type="dxa"/>
            <w:left w:w="108" w:type="dxa"/>
            <w:bottom w:w="0" w:type="dxa"/>
            <w:right w:w="108" w:type="dxa"/>
          </w:tblCellMar>
        </w:tblPrEx>
        <w:trPr>
          <w:trHeight w:val="600" w:hRule="atLeast"/>
          <w:jc w:val="center"/>
        </w:trPr>
        <w:tc>
          <w:tcPr>
            <w:tcW w:w="164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p>
        </w:tc>
        <w:tc>
          <w:tcPr>
            <w:tcW w:w="119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社会效益指标</w:t>
            </w:r>
          </w:p>
        </w:tc>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职业教育受益学生</w:t>
            </w: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新校建成每年受益学生达5000余人</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因前期手续未办理完毕，项目初设和概算未批复，故未完成</w:t>
            </w:r>
          </w:p>
        </w:tc>
      </w:tr>
      <w:tr>
        <w:tblPrEx>
          <w:tblLayout w:type="fixed"/>
          <w:tblCellMar>
            <w:top w:w="0" w:type="dxa"/>
            <w:left w:w="108" w:type="dxa"/>
            <w:bottom w:w="0" w:type="dxa"/>
            <w:right w:w="108" w:type="dxa"/>
          </w:tblCellMar>
        </w:tblPrEx>
        <w:trPr>
          <w:trHeight w:val="480" w:hRule="atLeast"/>
          <w:jc w:val="center"/>
        </w:trPr>
        <w:tc>
          <w:tcPr>
            <w:tcW w:w="164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p>
        </w:tc>
        <w:tc>
          <w:tcPr>
            <w:tcW w:w="119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生态效益指标</w:t>
            </w:r>
          </w:p>
        </w:tc>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因前期手续未办理完毕，项目初设和概算未批复，故未开工</w:t>
            </w:r>
          </w:p>
        </w:tc>
      </w:tr>
      <w:tr>
        <w:tblPrEx>
          <w:tblLayout w:type="fixed"/>
          <w:tblCellMar>
            <w:top w:w="0" w:type="dxa"/>
            <w:left w:w="108" w:type="dxa"/>
            <w:bottom w:w="0" w:type="dxa"/>
            <w:right w:w="108" w:type="dxa"/>
          </w:tblCellMar>
        </w:tblPrEx>
        <w:trPr>
          <w:trHeight w:val="480" w:hRule="atLeast"/>
          <w:jc w:val="center"/>
        </w:trPr>
        <w:tc>
          <w:tcPr>
            <w:tcW w:w="164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p>
        </w:tc>
        <w:tc>
          <w:tcPr>
            <w:tcW w:w="119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可持续影响指标</w:t>
            </w:r>
          </w:p>
        </w:tc>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因前期手续未办理完毕，项目初设和概算未批复，故未开工</w:t>
            </w:r>
          </w:p>
        </w:tc>
      </w:tr>
      <w:tr>
        <w:tblPrEx>
          <w:tblLayout w:type="fixed"/>
          <w:tblCellMar>
            <w:top w:w="0" w:type="dxa"/>
            <w:left w:w="108" w:type="dxa"/>
            <w:bottom w:w="0" w:type="dxa"/>
            <w:right w:w="108" w:type="dxa"/>
          </w:tblCellMar>
        </w:tblPrEx>
        <w:trPr>
          <w:trHeight w:val="1196" w:hRule="atLeast"/>
          <w:jc w:val="center"/>
        </w:trPr>
        <w:tc>
          <w:tcPr>
            <w:tcW w:w="164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p>
        </w:tc>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满意度指标</w:t>
            </w: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满意度指标</w:t>
            </w:r>
          </w:p>
        </w:tc>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师生综合满意度</w:t>
            </w: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新校建成师生综合满意度达到90%</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因前期手续未办理完毕，项目初设和概算未批复，故未完成</w:t>
            </w:r>
          </w:p>
        </w:tc>
      </w:tr>
    </w:tbl>
    <w:p>
      <w:pPr>
        <w:keepNext w:val="0"/>
        <w:keepLines w:val="0"/>
        <w:pageBreakBefore w:val="0"/>
        <w:widowControl/>
        <w:kinsoku/>
        <w:wordWrap/>
        <w:overflowPunct/>
        <w:topLinePunct w:val="0"/>
        <w:autoSpaceDE/>
        <w:autoSpaceDN/>
        <w:bidi w:val="0"/>
        <w:adjustRightInd w:val="0"/>
        <w:snapToGrid w:val="0"/>
        <w:spacing w:line="20" w:lineRule="exact"/>
        <w:contextualSpacing/>
        <w:jc w:val="left"/>
        <w:textAlignment w:val="auto"/>
        <w:rPr>
          <w:rFonts w:ascii="仿宋_GB2312" w:hAnsi="宋体" w:cs="宋体"/>
          <w:color w:val="000000" w:themeColor="text1"/>
          <w:kern w:val="0"/>
          <w:szCs w:val="32"/>
          <w:shd w:val="clear" w:color="auto"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color w:val="000000" w:themeColor="text1"/>
          <w:spacing w:val="-11"/>
          <w:sz w:val="32"/>
          <w:szCs w:val="32"/>
          <w14:textFill>
            <w14:solidFill>
              <w14:schemeClr w14:val="tx1"/>
            </w14:solidFill>
          </w14:textFill>
        </w:rPr>
      </w:pPr>
      <w:r>
        <w:rPr>
          <w:rFonts w:hint="eastAsia" w:ascii="宋体" w:hAnsi="宋体" w:eastAsia="宋体" w:cs="宋体"/>
          <w:b/>
          <w:color w:val="000000" w:themeColor="text1"/>
          <w:spacing w:val="-11"/>
          <w:sz w:val="32"/>
          <w:szCs w:val="32"/>
          <w14:textFill>
            <w14:solidFill>
              <w14:schemeClr w14:val="tx1"/>
            </w14:solidFill>
          </w14:textFill>
        </w:rPr>
        <w:t>2021年100万元以上（含）特定目标类部门预算项目绩效目标自评</w:t>
      </w:r>
    </w:p>
    <w:p>
      <w:pPr>
        <w:bidi w:val="0"/>
        <w:rPr>
          <w:rFonts w:hint="eastAsia"/>
          <w:color w:val="000000" w:themeColor="text1"/>
          <w14:textFill>
            <w14:solidFill>
              <w14:schemeClr w14:val="tx1"/>
            </w14:solidFill>
          </w14:textFill>
        </w:rPr>
      </w:pPr>
    </w:p>
    <w:tbl>
      <w:tblPr>
        <w:tblStyle w:val="14"/>
        <w:tblW w:w="9980" w:type="dxa"/>
        <w:jc w:val="center"/>
        <w:tblInd w:w="0" w:type="dxa"/>
        <w:tblLayout w:type="fixed"/>
        <w:tblCellMar>
          <w:top w:w="0" w:type="dxa"/>
          <w:left w:w="108" w:type="dxa"/>
          <w:bottom w:w="0" w:type="dxa"/>
          <w:right w:w="108" w:type="dxa"/>
        </w:tblCellMar>
      </w:tblPr>
      <w:tblGrid>
        <w:gridCol w:w="1120"/>
        <w:gridCol w:w="1148"/>
        <w:gridCol w:w="1433"/>
        <w:gridCol w:w="567"/>
        <w:gridCol w:w="1134"/>
        <w:gridCol w:w="2621"/>
        <w:gridCol w:w="1957"/>
      </w:tblGrid>
      <w:tr>
        <w:tblPrEx>
          <w:tblLayout w:type="fixed"/>
          <w:tblCellMar>
            <w:top w:w="0" w:type="dxa"/>
            <w:left w:w="108" w:type="dxa"/>
            <w:bottom w:w="0" w:type="dxa"/>
            <w:right w:w="108" w:type="dxa"/>
          </w:tblCellMar>
        </w:tblPrEx>
        <w:trPr>
          <w:trHeight w:val="439" w:hRule="atLeast"/>
          <w:jc w:val="center"/>
        </w:trPr>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项目名称</w:t>
            </w:r>
          </w:p>
        </w:tc>
        <w:tc>
          <w:tcPr>
            <w:tcW w:w="771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信息化建设及运行维护</w:t>
            </w:r>
          </w:p>
        </w:tc>
      </w:tr>
      <w:tr>
        <w:tblPrEx>
          <w:tblLayout w:type="fixed"/>
          <w:tblCellMar>
            <w:top w:w="0" w:type="dxa"/>
            <w:left w:w="108" w:type="dxa"/>
            <w:bottom w:w="0" w:type="dxa"/>
            <w:right w:w="108" w:type="dxa"/>
          </w:tblCellMar>
        </w:tblPrEx>
        <w:trPr>
          <w:trHeight w:val="1185" w:hRule="atLeast"/>
          <w:jc w:val="center"/>
        </w:trPr>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主管部门及代码</w:t>
            </w:r>
          </w:p>
        </w:tc>
        <w:tc>
          <w:tcPr>
            <w:tcW w:w="313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四川省司法厅</w:t>
            </w:r>
          </w:p>
        </w:tc>
        <w:tc>
          <w:tcPr>
            <w:tcW w:w="262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实施单位</w:t>
            </w:r>
          </w:p>
        </w:tc>
        <w:tc>
          <w:tcPr>
            <w:tcW w:w="19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四川司法警官职业学院</w:t>
            </w:r>
          </w:p>
        </w:tc>
      </w:tr>
      <w:tr>
        <w:tblPrEx>
          <w:tblLayout w:type="fixed"/>
          <w:tblCellMar>
            <w:top w:w="0" w:type="dxa"/>
            <w:left w:w="108" w:type="dxa"/>
            <w:bottom w:w="0" w:type="dxa"/>
            <w:right w:w="108" w:type="dxa"/>
          </w:tblCellMar>
        </w:tblPrEx>
        <w:trPr>
          <w:trHeight w:val="439" w:hRule="atLeast"/>
          <w:jc w:val="center"/>
        </w:trPr>
        <w:tc>
          <w:tcPr>
            <w:tcW w:w="226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项目预算</w:t>
            </w:r>
            <w:r>
              <w:rPr>
                <w:rFonts w:hint="eastAsia" w:ascii="宋体" w:hAnsi="宋体" w:eastAsia="宋体" w:cs="宋体"/>
                <w:color w:val="000000" w:themeColor="text1"/>
                <w:kern w:val="0"/>
                <w:sz w:val="16"/>
                <w:szCs w:val="16"/>
                <w14:textFill>
                  <w14:solidFill>
                    <w14:schemeClr w14:val="tx1"/>
                  </w14:solidFill>
                </w14:textFill>
              </w:rPr>
              <w:br w:type="textWrapping"/>
            </w:r>
            <w:r>
              <w:rPr>
                <w:rFonts w:hint="eastAsia" w:ascii="宋体" w:hAnsi="宋体" w:eastAsia="宋体" w:cs="宋体"/>
                <w:color w:val="000000" w:themeColor="text1"/>
                <w:kern w:val="0"/>
                <w:sz w:val="16"/>
                <w:szCs w:val="16"/>
                <w14:textFill>
                  <w14:solidFill>
                    <w14:schemeClr w14:val="tx1"/>
                  </w14:solidFill>
                </w14:textFill>
              </w:rPr>
              <w:t>执行情况</w:t>
            </w:r>
            <w:r>
              <w:rPr>
                <w:rFonts w:hint="eastAsia" w:ascii="宋体" w:hAnsi="宋体" w:eastAsia="宋体" w:cs="宋体"/>
                <w:color w:val="000000" w:themeColor="text1"/>
                <w:kern w:val="0"/>
                <w:sz w:val="16"/>
                <w:szCs w:val="16"/>
                <w14:textFill>
                  <w14:solidFill>
                    <w14:schemeClr w14:val="tx1"/>
                  </w14:solidFill>
                </w14:textFill>
              </w:rPr>
              <w:br w:type="textWrapping"/>
            </w:r>
            <w:r>
              <w:rPr>
                <w:rFonts w:hint="eastAsia" w:ascii="宋体" w:hAnsi="宋体" w:eastAsia="宋体" w:cs="宋体"/>
                <w:color w:val="000000" w:themeColor="text1"/>
                <w:kern w:val="0"/>
                <w:sz w:val="16"/>
                <w:szCs w:val="16"/>
                <w14:textFill>
                  <w14:solidFill>
                    <w14:schemeClr w14:val="tx1"/>
                  </w14:solidFill>
                </w14:textFill>
              </w:rPr>
              <w:t>（万元）</w:t>
            </w:r>
          </w:p>
        </w:tc>
        <w:tc>
          <w:tcPr>
            <w:tcW w:w="20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xml:space="preserve"> 预算数：</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248.50</w:t>
            </w:r>
          </w:p>
        </w:tc>
        <w:tc>
          <w:tcPr>
            <w:tcW w:w="262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xml:space="preserve"> 执行数：</w:t>
            </w:r>
          </w:p>
        </w:tc>
        <w:tc>
          <w:tcPr>
            <w:tcW w:w="1957"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199.63</w:t>
            </w:r>
          </w:p>
        </w:tc>
      </w:tr>
      <w:tr>
        <w:tblPrEx>
          <w:tblLayout w:type="fixed"/>
          <w:tblCellMar>
            <w:top w:w="0" w:type="dxa"/>
            <w:left w:w="108" w:type="dxa"/>
            <w:bottom w:w="0" w:type="dxa"/>
            <w:right w:w="108" w:type="dxa"/>
          </w:tblCellMar>
        </w:tblPrEx>
        <w:trPr>
          <w:trHeight w:val="439" w:hRule="atLeast"/>
          <w:jc w:val="center"/>
        </w:trPr>
        <w:tc>
          <w:tcPr>
            <w:tcW w:w="22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20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xml:space="preserve"> 其中：</w:t>
            </w:r>
          </w:p>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财政拨款</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200.00</w:t>
            </w:r>
          </w:p>
        </w:tc>
        <w:tc>
          <w:tcPr>
            <w:tcW w:w="262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xml:space="preserve"> 其中：</w:t>
            </w:r>
          </w:p>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财政拨款</w:t>
            </w:r>
          </w:p>
        </w:tc>
        <w:tc>
          <w:tcPr>
            <w:tcW w:w="1957"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199.63</w:t>
            </w:r>
          </w:p>
        </w:tc>
      </w:tr>
      <w:tr>
        <w:tblPrEx>
          <w:tblLayout w:type="fixed"/>
          <w:tblCellMar>
            <w:top w:w="0" w:type="dxa"/>
            <w:left w:w="108" w:type="dxa"/>
            <w:bottom w:w="0" w:type="dxa"/>
            <w:right w:w="108" w:type="dxa"/>
          </w:tblCellMar>
        </w:tblPrEx>
        <w:trPr>
          <w:trHeight w:val="439" w:hRule="atLeast"/>
          <w:jc w:val="center"/>
        </w:trPr>
        <w:tc>
          <w:tcPr>
            <w:tcW w:w="22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20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其他资金</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48.50</w:t>
            </w:r>
          </w:p>
        </w:tc>
        <w:tc>
          <w:tcPr>
            <w:tcW w:w="262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其他资金</w:t>
            </w:r>
          </w:p>
        </w:tc>
        <w:tc>
          <w:tcPr>
            <w:tcW w:w="1957"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0　</w:t>
            </w:r>
          </w:p>
        </w:tc>
      </w:tr>
      <w:tr>
        <w:tblPrEx>
          <w:tblLayout w:type="fixed"/>
          <w:tblCellMar>
            <w:top w:w="0" w:type="dxa"/>
            <w:left w:w="108" w:type="dxa"/>
            <w:bottom w:w="0" w:type="dxa"/>
            <w:right w:w="108" w:type="dxa"/>
          </w:tblCellMar>
        </w:tblPrEx>
        <w:trPr>
          <w:trHeight w:val="439" w:hRule="atLeast"/>
          <w:jc w:val="center"/>
        </w:trPr>
        <w:tc>
          <w:tcPr>
            <w:tcW w:w="11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年度总体目标完成情况</w:t>
            </w:r>
          </w:p>
        </w:tc>
        <w:tc>
          <w:tcPr>
            <w:tcW w:w="428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预期目标</w:t>
            </w:r>
          </w:p>
        </w:tc>
        <w:tc>
          <w:tcPr>
            <w:tcW w:w="457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目标实际完成情况</w:t>
            </w:r>
          </w:p>
        </w:tc>
      </w:tr>
      <w:tr>
        <w:tblPrEx>
          <w:tblLayout w:type="fixed"/>
          <w:tblCellMar>
            <w:top w:w="0" w:type="dxa"/>
            <w:left w:w="108" w:type="dxa"/>
            <w:bottom w:w="0" w:type="dxa"/>
            <w:right w:w="108" w:type="dxa"/>
          </w:tblCellMar>
        </w:tblPrEx>
        <w:trPr>
          <w:trHeight w:val="965" w:hRule="atLeast"/>
          <w:jc w:val="center"/>
        </w:trPr>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4282"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both"/>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按照学院信息化建设规划，完善基础设施，建设智慧校园，保障网络和办公环境。</w:t>
            </w:r>
          </w:p>
        </w:tc>
        <w:tc>
          <w:tcPr>
            <w:tcW w:w="457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both"/>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本年度完成开发信息系统及计算机软件4个，新信息验收合格率100%，全年保障学院信息化办公设备及网络正常运行360天以上。</w:t>
            </w:r>
          </w:p>
        </w:tc>
      </w:tr>
      <w:tr>
        <w:tblPrEx>
          <w:tblLayout w:type="fixed"/>
          <w:tblCellMar>
            <w:top w:w="0" w:type="dxa"/>
            <w:left w:w="108" w:type="dxa"/>
            <w:bottom w:w="0" w:type="dxa"/>
            <w:right w:w="108" w:type="dxa"/>
          </w:tblCellMar>
        </w:tblPrEx>
        <w:trPr>
          <w:trHeight w:val="645" w:hRule="atLeast"/>
          <w:jc w:val="center"/>
        </w:trPr>
        <w:tc>
          <w:tcPr>
            <w:tcW w:w="1120" w:type="dxa"/>
            <w:vMerge w:val="restart"/>
            <w:tcBorders>
              <w:top w:val="nil"/>
              <w:left w:val="single" w:color="auto" w:sz="4" w:space="0"/>
              <w:bottom w:val="single" w:color="000000" w:sz="4" w:space="0"/>
              <w:right w:val="nil"/>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年度绩效指标完成情况</w:t>
            </w:r>
          </w:p>
        </w:tc>
        <w:tc>
          <w:tcPr>
            <w:tcW w:w="1148" w:type="dxa"/>
            <w:tcBorders>
              <w:top w:val="nil"/>
              <w:left w:val="single" w:color="auto" w:sz="4" w:space="0"/>
              <w:bottom w:val="single" w:color="000000" w:sz="4" w:space="0"/>
              <w:right w:val="single" w:color="auto"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一级</w:t>
            </w:r>
          </w:p>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指标</w:t>
            </w:r>
          </w:p>
        </w:tc>
        <w:tc>
          <w:tcPr>
            <w:tcW w:w="14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二级</w:t>
            </w:r>
          </w:p>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指标</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三级</w:t>
            </w:r>
          </w:p>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指标</w:t>
            </w:r>
          </w:p>
        </w:tc>
        <w:tc>
          <w:tcPr>
            <w:tcW w:w="262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预期指</w:t>
            </w:r>
          </w:p>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标值</w:t>
            </w:r>
          </w:p>
        </w:tc>
        <w:tc>
          <w:tcPr>
            <w:tcW w:w="19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实际完成指标值</w:t>
            </w:r>
          </w:p>
        </w:tc>
      </w:tr>
      <w:tr>
        <w:tblPrEx>
          <w:tblLayout w:type="fixed"/>
          <w:tblCellMar>
            <w:top w:w="0" w:type="dxa"/>
            <w:left w:w="108" w:type="dxa"/>
            <w:bottom w:w="0" w:type="dxa"/>
            <w:right w:w="108" w:type="dxa"/>
          </w:tblCellMar>
        </w:tblPrEx>
        <w:trPr>
          <w:trHeight w:val="600" w:hRule="atLeast"/>
          <w:jc w:val="center"/>
        </w:trPr>
        <w:tc>
          <w:tcPr>
            <w:tcW w:w="1120" w:type="dxa"/>
            <w:vMerge w:val="continue"/>
            <w:tcBorders>
              <w:top w:val="nil"/>
              <w:left w:val="single" w:color="auto" w:sz="4" w:space="0"/>
              <w:bottom w:val="single" w:color="000000" w:sz="4" w:space="0"/>
              <w:right w:val="nil"/>
            </w:tcBorders>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14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完成</w:t>
            </w:r>
          </w:p>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指标</w:t>
            </w:r>
          </w:p>
        </w:tc>
        <w:tc>
          <w:tcPr>
            <w:tcW w:w="143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数量指标</w:t>
            </w:r>
          </w:p>
        </w:tc>
        <w:tc>
          <w:tcPr>
            <w:tcW w:w="170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开发信息系统及计算机软件</w:t>
            </w:r>
          </w:p>
        </w:tc>
        <w:tc>
          <w:tcPr>
            <w:tcW w:w="262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开发信息系统及计算机软件4个</w:t>
            </w:r>
          </w:p>
        </w:tc>
        <w:tc>
          <w:tcPr>
            <w:tcW w:w="195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开发信息系统及计算机软件4个</w:t>
            </w:r>
          </w:p>
        </w:tc>
      </w:tr>
      <w:tr>
        <w:tblPrEx>
          <w:tblLayout w:type="fixed"/>
          <w:tblCellMar>
            <w:top w:w="0" w:type="dxa"/>
            <w:left w:w="108" w:type="dxa"/>
            <w:bottom w:w="0" w:type="dxa"/>
            <w:right w:w="108" w:type="dxa"/>
          </w:tblCellMar>
        </w:tblPrEx>
        <w:trPr>
          <w:trHeight w:val="660" w:hRule="atLeast"/>
          <w:jc w:val="center"/>
        </w:trPr>
        <w:tc>
          <w:tcPr>
            <w:tcW w:w="1120" w:type="dxa"/>
            <w:vMerge w:val="continue"/>
            <w:tcBorders>
              <w:top w:val="nil"/>
              <w:left w:val="single" w:color="auto" w:sz="4" w:space="0"/>
              <w:bottom w:val="single" w:color="000000" w:sz="4" w:space="0"/>
              <w:right w:val="nil"/>
            </w:tcBorders>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14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43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质量指标</w:t>
            </w:r>
          </w:p>
        </w:tc>
        <w:tc>
          <w:tcPr>
            <w:tcW w:w="170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信息新系统验收</w:t>
            </w:r>
          </w:p>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合格率</w:t>
            </w:r>
          </w:p>
        </w:tc>
        <w:tc>
          <w:tcPr>
            <w:tcW w:w="262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信息新系统验收合格率100%</w:t>
            </w:r>
          </w:p>
        </w:tc>
        <w:tc>
          <w:tcPr>
            <w:tcW w:w="195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信息新系统验收合格率100%</w:t>
            </w:r>
          </w:p>
        </w:tc>
      </w:tr>
      <w:tr>
        <w:tblPrEx>
          <w:tblLayout w:type="fixed"/>
          <w:tblCellMar>
            <w:top w:w="0" w:type="dxa"/>
            <w:left w:w="108" w:type="dxa"/>
            <w:bottom w:w="0" w:type="dxa"/>
            <w:right w:w="108" w:type="dxa"/>
          </w:tblCellMar>
        </w:tblPrEx>
        <w:trPr>
          <w:trHeight w:val="690" w:hRule="atLeast"/>
          <w:jc w:val="center"/>
        </w:trPr>
        <w:tc>
          <w:tcPr>
            <w:tcW w:w="1120" w:type="dxa"/>
            <w:vMerge w:val="continue"/>
            <w:tcBorders>
              <w:top w:val="nil"/>
              <w:left w:val="single" w:color="auto" w:sz="4" w:space="0"/>
              <w:bottom w:val="single" w:color="000000" w:sz="4" w:space="0"/>
              <w:right w:val="nil"/>
            </w:tcBorders>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14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43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时效指标</w:t>
            </w:r>
          </w:p>
        </w:tc>
        <w:tc>
          <w:tcPr>
            <w:tcW w:w="170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完成年限</w:t>
            </w:r>
          </w:p>
        </w:tc>
        <w:tc>
          <w:tcPr>
            <w:tcW w:w="262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完成年限2021年</w:t>
            </w:r>
          </w:p>
        </w:tc>
        <w:tc>
          <w:tcPr>
            <w:tcW w:w="195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2021年底前已全部投入运行</w:t>
            </w:r>
          </w:p>
        </w:tc>
      </w:tr>
      <w:tr>
        <w:tblPrEx>
          <w:tblLayout w:type="fixed"/>
          <w:tblCellMar>
            <w:top w:w="0" w:type="dxa"/>
            <w:left w:w="108" w:type="dxa"/>
            <w:bottom w:w="0" w:type="dxa"/>
            <w:right w:w="108" w:type="dxa"/>
          </w:tblCellMar>
        </w:tblPrEx>
        <w:trPr>
          <w:trHeight w:val="480" w:hRule="atLeast"/>
          <w:jc w:val="center"/>
        </w:trPr>
        <w:tc>
          <w:tcPr>
            <w:tcW w:w="1120" w:type="dxa"/>
            <w:vMerge w:val="continue"/>
            <w:tcBorders>
              <w:top w:val="nil"/>
              <w:left w:val="single" w:color="auto" w:sz="4" w:space="0"/>
              <w:bottom w:val="single" w:color="000000" w:sz="4" w:space="0"/>
              <w:right w:val="nil"/>
            </w:tcBorders>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14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43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成本指标</w:t>
            </w:r>
          </w:p>
        </w:tc>
        <w:tc>
          <w:tcPr>
            <w:tcW w:w="170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262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95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r>
      <w:tr>
        <w:tblPrEx>
          <w:tblLayout w:type="fixed"/>
          <w:tblCellMar>
            <w:top w:w="0" w:type="dxa"/>
            <w:left w:w="108" w:type="dxa"/>
            <w:bottom w:w="0" w:type="dxa"/>
            <w:right w:w="108" w:type="dxa"/>
          </w:tblCellMar>
        </w:tblPrEx>
        <w:trPr>
          <w:trHeight w:val="480" w:hRule="atLeast"/>
          <w:jc w:val="center"/>
        </w:trPr>
        <w:tc>
          <w:tcPr>
            <w:tcW w:w="1120" w:type="dxa"/>
            <w:vMerge w:val="continue"/>
            <w:tcBorders>
              <w:top w:val="nil"/>
              <w:left w:val="single" w:color="auto" w:sz="4" w:space="0"/>
              <w:bottom w:val="single" w:color="000000" w:sz="4" w:space="0"/>
              <w:right w:val="nil"/>
            </w:tcBorders>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14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效益</w:t>
            </w:r>
          </w:p>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指标</w:t>
            </w:r>
          </w:p>
        </w:tc>
        <w:tc>
          <w:tcPr>
            <w:tcW w:w="143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经济效益指标</w:t>
            </w:r>
          </w:p>
        </w:tc>
        <w:tc>
          <w:tcPr>
            <w:tcW w:w="170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信息化办公水平</w:t>
            </w:r>
          </w:p>
        </w:tc>
        <w:tc>
          <w:tcPr>
            <w:tcW w:w="262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信息化办公水平基本达到核心应用无线办公</w:t>
            </w:r>
          </w:p>
        </w:tc>
        <w:tc>
          <w:tcPr>
            <w:tcW w:w="1957" w:type="dxa"/>
            <w:tcBorders>
              <w:top w:val="nil"/>
              <w:left w:val="nil"/>
              <w:bottom w:val="single" w:color="000000" w:sz="4" w:space="0"/>
              <w:right w:val="single" w:color="000000" w:sz="4" w:space="0"/>
            </w:tcBorders>
            <w:shd w:val="clear" w:color="auto" w:fill="auto"/>
            <w:vAlign w:val="center"/>
          </w:tcPr>
          <w:p>
            <w:pPr>
              <w:widowControl/>
              <w:jc w:val="both"/>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学院信息化办公核心应用OA，I警院等已全部实现APP端移动无线办公。</w:t>
            </w:r>
          </w:p>
        </w:tc>
      </w:tr>
      <w:tr>
        <w:tblPrEx>
          <w:tblLayout w:type="fixed"/>
          <w:tblCellMar>
            <w:top w:w="0" w:type="dxa"/>
            <w:left w:w="108" w:type="dxa"/>
            <w:bottom w:w="0" w:type="dxa"/>
            <w:right w:w="108" w:type="dxa"/>
          </w:tblCellMar>
        </w:tblPrEx>
        <w:trPr>
          <w:trHeight w:val="600" w:hRule="atLeast"/>
          <w:jc w:val="center"/>
        </w:trPr>
        <w:tc>
          <w:tcPr>
            <w:tcW w:w="1120" w:type="dxa"/>
            <w:vMerge w:val="continue"/>
            <w:tcBorders>
              <w:top w:val="nil"/>
              <w:left w:val="single" w:color="auto" w:sz="4" w:space="0"/>
              <w:bottom w:val="single" w:color="000000" w:sz="4" w:space="0"/>
              <w:right w:val="nil"/>
            </w:tcBorders>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14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43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社会效益指标</w:t>
            </w:r>
          </w:p>
        </w:tc>
        <w:tc>
          <w:tcPr>
            <w:tcW w:w="170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支撑相关信息系统正常运行</w:t>
            </w:r>
          </w:p>
        </w:tc>
        <w:tc>
          <w:tcPr>
            <w:tcW w:w="262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支撑相关信息系统正常运行天数</w:t>
            </w:r>
          </w:p>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达到360天</w:t>
            </w:r>
          </w:p>
        </w:tc>
        <w:tc>
          <w:tcPr>
            <w:tcW w:w="195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r>
      <w:tr>
        <w:tblPrEx>
          <w:tblLayout w:type="fixed"/>
          <w:tblCellMar>
            <w:top w:w="0" w:type="dxa"/>
            <w:left w:w="108" w:type="dxa"/>
            <w:bottom w:w="0" w:type="dxa"/>
            <w:right w:w="108" w:type="dxa"/>
          </w:tblCellMar>
        </w:tblPrEx>
        <w:trPr>
          <w:trHeight w:val="480" w:hRule="atLeast"/>
          <w:jc w:val="center"/>
        </w:trPr>
        <w:tc>
          <w:tcPr>
            <w:tcW w:w="1120" w:type="dxa"/>
            <w:vMerge w:val="continue"/>
            <w:tcBorders>
              <w:top w:val="nil"/>
              <w:left w:val="single" w:color="auto" w:sz="4" w:space="0"/>
              <w:bottom w:val="single" w:color="000000" w:sz="4" w:space="0"/>
              <w:right w:val="nil"/>
            </w:tcBorders>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14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43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生态效益指标</w:t>
            </w:r>
          </w:p>
        </w:tc>
        <w:tc>
          <w:tcPr>
            <w:tcW w:w="170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262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95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r>
      <w:tr>
        <w:tblPrEx>
          <w:tblLayout w:type="fixed"/>
          <w:tblCellMar>
            <w:top w:w="0" w:type="dxa"/>
            <w:left w:w="108" w:type="dxa"/>
            <w:bottom w:w="0" w:type="dxa"/>
            <w:right w:w="108" w:type="dxa"/>
          </w:tblCellMar>
        </w:tblPrEx>
        <w:trPr>
          <w:trHeight w:val="480" w:hRule="atLeast"/>
          <w:jc w:val="center"/>
        </w:trPr>
        <w:tc>
          <w:tcPr>
            <w:tcW w:w="1120" w:type="dxa"/>
            <w:vMerge w:val="continue"/>
            <w:tcBorders>
              <w:top w:val="nil"/>
              <w:left w:val="single" w:color="auto" w:sz="4" w:space="0"/>
              <w:bottom w:val="single" w:color="000000" w:sz="4" w:space="0"/>
              <w:right w:val="nil"/>
            </w:tcBorders>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14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43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可持续影响指标</w:t>
            </w:r>
          </w:p>
        </w:tc>
        <w:tc>
          <w:tcPr>
            <w:tcW w:w="170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262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95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r>
      <w:tr>
        <w:tblPrEx>
          <w:tblLayout w:type="fixed"/>
          <w:tblCellMar>
            <w:top w:w="0" w:type="dxa"/>
            <w:left w:w="108" w:type="dxa"/>
            <w:bottom w:w="0" w:type="dxa"/>
            <w:right w:w="108" w:type="dxa"/>
          </w:tblCellMar>
        </w:tblPrEx>
        <w:trPr>
          <w:trHeight w:val="645" w:hRule="atLeast"/>
          <w:jc w:val="center"/>
        </w:trPr>
        <w:tc>
          <w:tcPr>
            <w:tcW w:w="1120" w:type="dxa"/>
            <w:vMerge w:val="continue"/>
            <w:tcBorders>
              <w:top w:val="nil"/>
              <w:left w:val="single" w:color="auto" w:sz="4" w:space="0"/>
              <w:bottom w:val="single" w:color="000000" w:sz="4" w:space="0"/>
              <w:right w:val="nil"/>
            </w:tcBorders>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p>
        </w:tc>
        <w:tc>
          <w:tcPr>
            <w:tcW w:w="1148" w:type="dxa"/>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满意度指标</w:t>
            </w:r>
          </w:p>
        </w:tc>
        <w:tc>
          <w:tcPr>
            <w:tcW w:w="143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满意度指标</w:t>
            </w:r>
          </w:p>
        </w:tc>
        <w:tc>
          <w:tcPr>
            <w:tcW w:w="170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信息系统使用率</w:t>
            </w:r>
          </w:p>
        </w:tc>
        <w:tc>
          <w:tcPr>
            <w:tcW w:w="262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信息系统使用率达80%</w:t>
            </w:r>
          </w:p>
        </w:tc>
        <w:tc>
          <w:tcPr>
            <w:tcW w:w="195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信息系统使用率达80%</w:t>
            </w:r>
          </w:p>
        </w:tc>
      </w:tr>
    </w:tbl>
    <w:p>
      <w:pPr>
        <w:bidi w:val="0"/>
        <w:rPr>
          <w:color w:val="000000" w:themeColor="text1"/>
          <w14:textFill>
            <w14:solidFill>
              <w14:schemeClr w14:val="tx1"/>
            </w14:solidFill>
          </w14:textFill>
        </w:rPr>
      </w:pPr>
    </w:p>
    <w:tbl>
      <w:tblPr>
        <w:tblStyle w:val="14"/>
        <w:tblW w:w="9671" w:type="dxa"/>
        <w:jc w:val="center"/>
        <w:tblInd w:w="-34" w:type="dxa"/>
        <w:tblLayout w:type="fixed"/>
        <w:tblCellMar>
          <w:top w:w="0" w:type="dxa"/>
          <w:left w:w="108" w:type="dxa"/>
          <w:bottom w:w="0" w:type="dxa"/>
          <w:right w:w="108" w:type="dxa"/>
        </w:tblCellMar>
      </w:tblPr>
      <w:tblGrid>
        <w:gridCol w:w="9671"/>
      </w:tblGrid>
      <w:tr>
        <w:tblPrEx>
          <w:tblLayout w:type="fixed"/>
          <w:tblCellMar>
            <w:top w:w="0" w:type="dxa"/>
            <w:left w:w="108" w:type="dxa"/>
            <w:bottom w:w="0" w:type="dxa"/>
            <w:right w:w="108" w:type="dxa"/>
          </w:tblCellMar>
        </w:tblPrEx>
        <w:trPr>
          <w:trHeight w:val="285" w:hRule="atLeast"/>
          <w:jc w:val="center"/>
        </w:trPr>
        <w:tc>
          <w:tcPr>
            <w:tcW w:w="9671" w:type="dxa"/>
            <w:tcBorders>
              <w:top w:val="nil"/>
              <w:left w:val="nil"/>
              <w:bottom w:val="nil"/>
              <w:right w:val="nil"/>
            </w:tcBorders>
            <w:shd w:val="clear" w:color="auto" w:fill="auto"/>
          </w:tcPr>
          <w:p>
            <w:pPr>
              <w:rPr>
                <w:rFonts w:hint="eastAsia" w:ascii="宋体" w:hAnsi="宋体" w:eastAsia="宋体" w:cs="宋体"/>
                <w:b/>
                <w:color w:val="000000" w:themeColor="text1"/>
                <w:sz w:val="32"/>
                <w:szCs w:val="32"/>
                <w14:textFill>
                  <w14:solidFill>
                    <w14:schemeClr w14:val="tx1"/>
                  </w14:solidFill>
                </w14:textFill>
              </w:rPr>
            </w:pPr>
          </w:p>
          <w:p>
            <w:pPr>
              <w:rPr>
                <w:rFonts w:hint="eastAsia" w:ascii="宋体" w:hAnsi="宋体" w:eastAsia="宋体" w:cs="宋体"/>
                <w:b/>
                <w:color w:val="000000" w:themeColor="text1"/>
                <w:sz w:val="32"/>
                <w:szCs w:val="32"/>
                <w14:textFill>
                  <w14:solidFill>
                    <w14:schemeClr w14:val="tx1"/>
                  </w14:solidFill>
                </w14:textFill>
              </w:rPr>
            </w:pPr>
          </w:p>
          <w:p>
            <w:pPr>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2021年100万元以上（含）特定目标类部门预算项目绩效目标自评</w:t>
            </w:r>
          </w:p>
        </w:tc>
      </w:tr>
    </w:tbl>
    <w:p>
      <w:pPr>
        <w:bidi w:val="0"/>
        <w:rPr>
          <w:color w:val="000000" w:themeColor="text1"/>
          <w14:textFill>
            <w14:solidFill>
              <w14:schemeClr w14:val="tx1"/>
            </w14:solidFill>
          </w14:textFill>
        </w:rPr>
      </w:pPr>
    </w:p>
    <w:tbl>
      <w:tblPr>
        <w:tblStyle w:val="14"/>
        <w:tblW w:w="9671" w:type="dxa"/>
        <w:jc w:val="center"/>
        <w:tblInd w:w="-34" w:type="dxa"/>
        <w:tblLayout w:type="fixed"/>
        <w:tblCellMar>
          <w:top w:w="0" w:type="dxa"/>
          <w:left w:w="108" w:type="dxa"/>
          <w:bottom w:w="0" w:type="dxa"/>
          <w:right w:w="108" w:type="dxa"/>
        </w:tblCellMar>
      </w:tblPr>
      <w:tblGrid>
        <w:gridCol w:w="1247"/>
        <w:gridCol w:w="1236"/>
        <w:gridCol w:w="1403"/>
        <w:gridCol w:w="84"/>
        <w:gridCol w:w="1134"/>
        <w:gridCol w:w="1559"/>
        <w:gridCol w:w="3008"/>
      </w:tblGrid>
      <w:tr>
        <w:tblPrEx>
          <w:tblLayout w:type="fixed"/>
          <w:tblCellMar>
            <w:top w:w="0" w:type="dxa"/>
            <w:left w:w="108" w:type="dxa"/>
            <w:bottom w:w="0" w:type="dxa"/>
            <w:right w:w="108" w:type="dxa"/>
          </w:tblCellMar>
        </w:tblPrEx>
        <w:trPr>
          <w:trHeight w:val="439" w:hRule="atLeast"/>
          <w:jc w:val="center"/>
        </w:trPr>
        <w:tc>
          <w:tcPr>
            <w:tcW w:w="24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项目名称</w:t>
            </w:r>
          </w:p>
        </w:tc>
        <w:tc>
          <w:tcPr>
            <w:tcW w:w="7188"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2021年学生资助补助经费</w:t>
            </w:r>
          </w:p>
        </w:tc>
      </w:tr>
      <w:tr>
        <w:tblPrEx>
          <w:tblLayout w:type="fixed"/>
          <w:tblCellMar>
            <w:top w:w="0" w:type="dxa"/>
            <w:left w:w="108" w:type="dxa"/>
            <w:bottom w:w="0" w:type="dxa"/>
            <w:right w:w="108" w:type="dxa"/>
          </w:tblCellMar>
        </w:tblPrEx>
        <w:trPr>
          <w:trHeight w:val="810" w:hRule="atLeast"/>
          <w:jc w:val="center"/>
        </w:trPr>
        <w:tc>
          <w:tcPr>
            <w:tcW w:w="24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主管部门及代码</w:t>
            </w:r>
          </w:p>
        </w:tc>
        <w:tc>
          <w:tcPr>
            <w:tcW w:w="2621"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四川省司法厅</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实施单位</w:t>
            </w:r>
          </w:p>
        </w:tc>
        <w:tc>
          <w:tcPr>
            <w:tcW w:w="30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四川司法警官职业学院</w:t>
            </w:r>
          </w:p>
        </w:tc>
      </w:tr>
      <w:tr>
        <w:tblPrEx>
          <w:tblLayout w:type="fixed"/>
          <w:tblCellMar>
            <w:top w:w="0" w:type="dxa"/>
            <w:left w:w="108" w:type="dxa"/>
            <w:bottom w:w="0" w:type="dxa"/>
            <w:right w:w="108" w:type="dxa"/>
          </w:tblCellMar>
        </w:tblPrEx>
        <w:trPr>
          <w:trHeight w:val="439" w:hRule="atLeast"/>
          <w:jc w:val="center"/>
        </w:trPr>
        <w:tc>
          <w:tcPr>
            <w:tcW w:w="248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项目预算</w:t>
            </w:r>
            <w:r>
              <w:rPr>
                <w:rFonts w:hint="eastAsia" w:ascii="宋体" w:hAnsi="宋体" w:eastAsia="宋体" w:cs="宋体"/>
                <w:color w:val="000000" w:themeColor="text1"/>
                <w:kern w:val="0"/>
                <w:sz w:val="16"/>
                <w:szCs w:val="16"/>
                <w14:textFill>
                  <w14:solidFill>
                    <w14:schemeClr w14:val="tx1"/>
                  </w14:solidFill>
                </w14:textFill>
              </w:rPr>
              <w:br w:type="textWrapping"/>
            </w:r>
            <w:r>
              <w:rPr>
                <w:rFonts w:hint="eastAsia" w:ascii="宋体" w:hAnsi="宋体" w:eastAsia="宋体" w:cs="宋体"/>
                <w:color w:val="000000" w:themeColor="text1"/>
                <w:kern w:val="0"/>
                <w:sz w:val="16"/>
                <w:szCs w:val="16"/>
                <w14:textFill>
                  <w14:solidFill>
                    <w14:schemeClr w14:val="tx1"/>
                  </w14:solidFill>
                </w14:textFill>
              </w:rPr>
              <w:t>执行情况</w:t>
            </w:r>
            <w:r>
              <w:rPr>
                <w:rFonts w:hint="eastAsia" w:ascii="宋体" w:hAnsi="宋体" w:eastAsia="宋体" w:cs="宋体"/>
                <w:color w:val="000000" w:themeColor="text1"/>
                <w:kern w:val="0"/>
                <w:sz w:val="16"/>
                <w:szCs w:val="16"/>
                <w14:textFill>
                  <w14:solidFill>
                    <w14:schemeClr w14:val="tx1"/>
                  </w14:solidFill>
                </w14:textFill>
              </w:rPr>
              <w:br w:type="textWrapping"/>
            </w:r>
            <w:r>
              <w:rPr>
                <w:rFonts w:hint="eastAsia" w:ascii="宋体" w:hAnsi="宋体" w:eastAsia="宋体" w:cs="宋体"/>
                <w:color w:val="000000" w:themeColor="text1"/>
                <w:kern w:val="0"/>
                <w:sz w:val="16"/>
                <w:szCs w:val="16"/>
                <w14:textFill>
                  <w14:solidFill>
                    <w14:schemeClr w14:val="tx1"/>
                  </w14:solidFill>
                </w14:textFill>
              </w:rPr>
              <w:t>（万元）</w:t>
            </w:r>
          </w:p>
        </w:tc>
        <w:tc>
          <w:tcPr>
            <w:tcW w:w="148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xml:space="preserve"> 预算数：</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482.00</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xml:space="preserve"> 执行数：</w:t>
            </w:r>
          </w:p>
        </w:tc>
        <w:tc>
          <w:tcPr>
            <w:tcW w:w="3008"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482.00</w:t>
            </w:r>
          </w:p>
        </w:tc>
      </w:tr>
      <w:tr>
        <w:tblPrEx>
          <w:tblLayout w:type="fixed"/>
          <w:tblCellMar>
            <w:top w:w="0" w:type="dxa"/>
            <w:left w:w="108" w:type="dxa"/>
            <w:bottom w:w="0" w:type="dxa"/>
            <w:right w:w="108" w:type="dxa"/>
          </w:tblCellMar>
        </w:tblPrEx>
        <w:trPr>
          <w:trHeight w:val="439" w:hRule="atLeast"/>
          <w:jc w:val="center"/>
        </w:trPr>
        <w:tc>
          <w:tcPr>
            <w:tcW w:w="24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148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其中：</w:t>
            </w:r>
          </w:p>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财政拨款</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482.00</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其中：</w:t>
            </w:r>
          </w:p>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财政拨款</w:t>
            </w:r>
          </w:p>
        </w:tc>
        <w:tc>
          <w:tcPr>
            <w:tcW w:w="3008"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482.00</w:t>
            </w:r>
          </w:p>
        </w:tc>
      </w:tr>
      <w:tr>
        <w:tblPrEx>
          <w:tblLayout w:type="fixed"/>
          <w:tblCellMar>
            <w:top w:w="0" w:type="dxa"/>
            <w:left w:w="108" w:type="dxa"/>
            <w:bottom w:w="0" w:type="dxa"/>
            <w:right w:w="108" w:type="dxa"/>
          </w:tblCellMar>
        </w:tblPrEx>
        <w:trPr>
          <w:trHeight w:val="615" w:hRule="atLeast"/>
          <w:jc w:val="center"/>
        </w:trPr>
        <w:tc>
          <w:tcPr>
            <w:tcW w:w="24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148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其他资金</w:t>
            </w:r>
          </w:p>
        </w:tc>
        <w:tc>
          <w:tcPr>
            <w:tcW w:w="1134" w:type="dxa"/>
            <w:tcBorders>
              <w:top w:val="nil"/>
              <w:left w:val="nil"/>
              <w:bottom w:val="single" w:color="auto" w:sz="4" w:space="0"/>
              <w:right w:val="single" w:color="auto" w:sz="4" w:space="0"/>
            </w:tcBorders>
            <w:shd w:val="clear" w:color="auto" w:fill="auto"/>
            <w:vAlign w:val="center"/>
          </w:tcPr>
          <w:p>
            <w:pPr>
              <w:widowControl/>
              <w:ind w:firstLine="480" w:firstLineChars="300"/>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0</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其他资金</w:t>
            </w:r>
          </w:p>
        </w:tc>
        <w:tc>
          <w:tcPr>
            <w:tcW w:w="3008"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0</w:t>
            </w:r>
          </w:p>
        </w:tc>
      </w:tr>
      <w:tr>
        <w:tblPrEx>
          <w:tblLayout w:type="fixed"/>
          <w:tblCellMar>
            <w:top w:w="0" w:type="dxa"/>
            <w:left w:w="108" w:type="dxa"/>
            <w:bottom w:w="0" w:type="dxa"/>
            <w:right w:w="108" w:type="dxa"/>
          </w:tblCellMar>
        </w:tblPrEx>
        <w:trPr>
          <w:trHeight w:val="439" w:hRule="atLeast"/>
          <w:jc w:val="center"/>
        </w:trPr>
        <w:tc>
          <w:tcPr>
            <w:tcW w:w="124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年度总体目标完成情况</w:t>
            </w:r>
          </w:p>
        </w:tc>
        <w:tc>
          <w:tcPr>
            <w:tcW w:w="385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预期目标</w:t>
            </w:r>
          </w:p>
        </w:tc>
        <w:tc>
          <w:tcPr>
            <w:tcW w:w="45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目标实际完成情况</w:t>
            </w:r>
          </w:p>
        </w:tc>
      </w:tr>
      <w:tr>
        <w:tblPrEx>
          <w:tblLayout w:type="fixed"/>
          <w:tblCellMar>
            <w:top w:w="0" w:type="dxa"/>
            <w:left w:w="108" w:type="dxa"/>
            <w:bottom w:w="0" w:type="dxa"/>
            <w:right w:w="108" w:type="dxa"/>
          </w:tblCellMar>
        </w:tblPrEx>
        <w:trPr>
          <w:trHeight w:val="1705" w:hRule="atLeast"/>
          <w:jc w:val="center"/>
        </w:trPr>
        <w:tc>
          <w:tcPr>
            <w:tcW w:w="124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3857"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both"/>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按照国家资助政策，用于发放学生奖助学金，满足家庭经济困难学生基本学习生活需要，学生和家长满意度不断提高，确保学生顺利完成学业。激励引导高校学生应征入伍，为退役士兵接受高等教育提供更多机会，提升就业竞争力。</w:t>
            </w:r>
          </w:p>
        </w:tc>
        <w:tc>
          <w:tcPr>
            <w:tcW w:w="456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both"/>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严格按照国家资助政策，100%的完成了学生奖助学金的发放，为品学兼优的优秀学生和家庭经济困难学生送去了党和国家的褒奖与关爱。</w:t>
            </w:r>
          </w:p>
        </w:tc>
      </w:tr>
      <w:tr>
        <w:tblPrEx>
          <w:tblLayout w:type="fixed"/>
          <w:tblCellMar>
            <w:top w:w="0" w:type="dxa"/>
            <w:left w:w="108" w:type="dxa"/>
            <w:bottom w:w="0" w:type="dxa"/>
            <w:right w:w="108" w:type="dxa"/>
          </w:tblCellMar>
        </w:tblPrEx>
        <w:trPr>
          <w:trHeight w:val="439" w:hRule="atLeast"/>
          <w:jc w:val="center"/>
        </w:trPr>
        <w:tc>
          <w:tcPr>
            <w:tcW w:w="124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年度绩效指标完成情况</w:t>
            </w:r>
          </w:p>
        </w:tc>
        <w:tc>
          <w:tcPr>
            <w:tcW w:w="12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一级</w:t>
            </w:r>
          </w:p>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指标</w:t>
            </w:r>
          </w:p>
        </w:tc>
        <w:tc>
          <w:tcPr>
            <w:tcW w:w="140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二级</w:t>
            </w:r>
          </w:p>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指标</w:t>
            </w:r>
          </w:p>
        </w:tc>
        <w:tc>
          <w:tcPr>
            <w:tcW w:w="121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三级</w:t>
            </w:r>
          </w:p>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指标</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预期指</w:t>
            </w:r>
          </w:p>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标值</w:t>
            </w:r>
          </w:p>
        </w:tc>
        <w:tc>
          <w:tcPr>
            <w:tcW w:w="30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实际完成指标值</w:t>
            </w:r>
          </w:p>
        </w:tc>
      </w:tr>
      <w:tr>
        <w:tblPrEx>
          <w:tblLayout w:type="fixed"/>
          <w:tblCellMar>
            <w:top w:w="0" w:type="dxa"/>
            <w:left w:w="108" w:type="dxa"/>
            <w:bottom w:w="0" w:type="dxa"/>
            <w:right w:w="108" w:type="dxa"/>
          </w:tblCellMar>
        </w:tblPrEx>
        <w:trPr>
          <w:trHeight w:val="945" w:hRule="atLeast"/>
          <w:jc w:val="center"/>
        </w:trPr>
        <w:tc>
          <w:tcPr>
            <w:tcW w:w="1247"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236" w:type="dxa"/>
            <w:vMerge w:val="restart"/>
            <w:tcBorders>
              <w:top w:val="nil"/>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完成</w:t>
            </w:r>
          </w:p>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指标</w:t>
            </w:r>
          </w:p>
        </w:tc>
        <w:tc>
          <w:tcPr>
            <w:tcW w:w="140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数量指标</w:t>
            </w:r>
          </w:p>
        </w:tc>
        <w:tc>
          <w:tcPr>
            <w:tcW w:w="1218"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按下达的名额完成指标值</w:t>
            </w:r>
          </w:p>
        </w:tc>
        <w:tc>
          <w:tcPr>
            <w:tcW w:w="155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按下达的1399名额100%完成指标值</w:t>
            </w:r>
          </w:p>
        </w:tc>
        <w:tc>
          <w:tcPr>
            <w:tcW w:w="300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按下达的1398名额99.22%完成了指标值</w:t>
            </w:r>
          </w:p>
        </w:tc>
      </w:tr>
      <w:tr>
        <w:tblPrEx>
          <w:tblLayout w:type="fixed"/>
          <w:tblCellMar>
            <w:top w:w="0" w:type="dxa"/>
            <w:left w:w="108" w:type="dxa"/>
            <w:bottom w:w="0" w:type="dxa"/>
            <w:right w:w="108" w:type="dxa"/>
          </w:tblCellMar>
        </w:tblPrEx>
        <w:trPr>
          <w:trHeight w:val="480" w:hRule="atLeast"/>
          <w:jc w:val="center"/>
        </w:trPr>
        <w:tc>
          <w:tcPr>
            <w:tcW w:w="1247"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236" w:type="dxa"/>
            <w:vMerge w:val="continue"/>
            <w:tcBorders>
              <w:top w:val="nil"/>
              <w:left w:val="single" w:color="auto"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40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质量指标</w:t>
            </w:r>
          </w:p>
        </w:tc>
        <w:tc>
          <w:tcPr>
            <w:tcW w:w="1218"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足额发放</w:t>
            </w:r>
          </w:p>
        </w:tc>
        <w:tc>
          <w:tcPr>
            <w:tcW w:w="155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100%足额发放</w:t>
            </w:r>
          </w:p>
        </w:tc>
        <w:tc>
          <w:tcPr>
            <w:tcW w:w="300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99.22%足额发放</w:t>
            </w:r>
          </w:p>
        </w:tc>
      </w:tr>
      <w:tr>
        <w:tblPrEx>
          <w:tblLayout w:type="fixed"/>
          <w:tblCellMar>
            <w:top w:w="0" w:type="dxa"/>
            <w:left w:w="108" w:type="dxa"/>
            <w:bottom w:w="0" w:type="dxa"/>
            <w:right w:w="108" w:type="dxa"/>
          </w:tblCellMar>
        </w:tblPrEx>
        <w:trPr>
          <w:trHeight w:val="480" w:hRule="atLeast"/>
          <w:jc w:val="center"/>
        </w:trPr>
        <w:tc>
          <w:tcPr>
            <w:tcW w:w="1247"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236" w:type="dxa"/>
            <w:vMerge w:val="continue"/>
            <w:tcBorders>
              <w:top w:val="nil"/>
              <w:left w:val="single" w:color="auto"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40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时效指标</w:t>
            </w:r>
          </w:p>
        </w:tc>
        <w:tc>
          <w:tcPr>
            <w:tcW w:w="1218"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按时发放</w:t>
            </w:r>
          </w:p>
        </w:tc>
        <w:tc>
          <w:tcPr>
            <w:tcW w:w="155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100%按时发放</w:t>
            </w:r>
          </w:p>
        </w:tc>
        <w:tc>
          <w:tcPr>
            <w:tcW w:w="300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100%按时发放</w:t>
            </w:r>
          </w:p>
        </w:tc>
      </w:tr>
      <w:tr>
        <w:tblPrEx>
          <w:tblLayout w:type="fixed"/>
          <w:tblCellMar>
            <w:top w:w="0" w:type="dxa"/>
            <w:left w:w="108" w:type="dxa"/>
            <w:bottom w:w="0" w:type="dxa"/>
            <w:right w:w="108" w:type="dxa"/>
          </w:tblCellMar>
        </w:tblPrEx>
        <w:trPr>
          <w:trHeight w:val="480" w:hRule="atLeast"/>
          <w:jc w:val="center"/>
        </w:trPr>
        <w:tc>
          <w:tcPr>
            <w:tcW w:w="1247"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236" w:type="dxa"/>
            <w:vMerge w:val="continue"/>
            <w:tcBorders>
              <w:top w:val="nil"/>
              <w:left w:val="single" w:color="auto"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40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成本指标</w:t>
            </w:r>
          </w:p>
        </w:tc>
        <w:tc>
          <w:tcPr>
            <w:tcW w:w="1218"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55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300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r>
      <w:tr>
        <w:tblPrEx>
          <w:tblLayout w:type="fixed"/>
          <w:tblCellMar>
            <w:top w:w="0" w:type="dxa"/>
            <w:left w:w="108" w:type="dxa"/>
            <w:bottom w:w="0" w:type="dxa"/>
            <w:right w:w="108" w:type="dxa"/>
          </w:tblCellMar>
        </w:tblPrEx>
        <w:trPr>
          <w:trHeight w:val="480" w:hRule="atLeast"/>
          <w:jc w:val="center"/>
        </w:trPr>
        <w:tc>
          <w:tcPr>
            <w:tcW w:w="1247"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236" w:type="dxa"/>
            <w:vMerge w:val="restart"/>
            <w:tcBorders>
              <w:top w:val="nil"/>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效益</w:t>
            </w:r>
          </w:p>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指标</w:t>
            </w:r>
          </w:p>
        </w:tc>
        <w:tc>
          <w:tcPr>
            <w:tcW w:w="140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经济效益指标</w:t>
            </w:r>
          </w:p>
        </w:tc>
        <w:tc>
          <w:tcPr>
            <w:tcW w:w="1218"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55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300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r>
      <w:tr>
        <w:tblPrEx>
          <w:tblLayout w:type="fixed"/>
          <w:tblCellMar>
            <w:top w:w="0" w:type="dxa"/>
            <w:left w:w="108" w:type="dxa"/>
            <w:bottom w:w="0" w:type="dxa"/>
            <w:right w:w="108" w:type="dxa"/>
          </w:tblCellMar>
        </w:tblPrEx>
        <w:trPr>
          <w:trHeight w:val="840" w:hRule="atLeast"/>
          <w:jc w:val="center"/>
        </w:trPr>
        <w:tc>
          <w:tcPr>
            <w:tcW w:w="1247"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236" w:type="dxa"/>
            <w:vMerge w:val="continue"/>
            <w:tcBorders>
              <w:top w:val="nil"/>
              <w:left w:val="single" w:color="auto"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40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社会效益指标</w:t>
            </w:r>
          </w:p>
        </w:tc>
        <w:tc>
          <w:tcPr>
            <w:tcW w:w="1218"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在本专科国家助学金名额分配时向家庭经济困难学生较多的院系倾斜</w:t>
            </w:r>
          </w:p>
        </w:tc>
        <w:tc>
          <w:tcPr>
            <w:tcW w:w="155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保障家庭经济困难学生的就学</w:t>
            </w:r>
          </w:p>
        </w:tc>
        <w:tc>
          <w:tcPr>
            <w:tcW w:w="300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较好地保障了家庭经济困难学生的就学</w:t>
            </w:r>
          </w:p>
        </w:tc>
      </w:tr>
      <w:tr>
        <w:tblPrEx>
          <w:tblLayout w:type="fixed"/>
          <w:tblCellMar>
            <w:top w:w="0" w:type="dxa"/>
            <w:left w:w="108" w:type="dxa"/>
            <w:bottom w:w="0" w:type="dxa"/>
            <w:right w:w="108" w:type="dxa"/>
          </w:tblCellMar>
        </w:tblPrEx>
        <w:trPr>
          <w:trHeight w:val="480" w:hRule="atLeast"/>
          <w:jc w:val="center"/>
        </w:trPr>
        <w:tc>
          <w:tcPr>
            <w:tcW w:w="1247"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236" w:type="dxa"/>
            <w:vMerge w:val="continue"/>
            <w:tcBorders>
              <w:top w:val="nil"/>
              <w:left w:val="single" w:color="auto"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40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生态效益指标</w:t>
            </w:r>
          </w:p>
        </w:tc>
        <w:tc>
          <w:tcPr>
            <w:tcW w:w="1218"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55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300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r>
      <w:tr>
        <w:tblPrEx>
          <w:tblLayout w:type="fixed"/>
          <w:tblCellMar>
            <w:top w:w="0" w:type="dxa"/>
            <w:left w:w="108" w:type="dxa"/>
            <w:bottom w:w="0" w:type="dxa"/>
            <w:right w:w="108" w:type="dxa"/>
          </w:tblCellMar>
        </w:tblPrEx>
        <w:trPr>
          <w:trHeight w:val="480" w:hRule="atLeast"/>
          <w:jc w:val="center"/>
        </w:trPr>
        <w:tc>
          <w:tcPr>
            <w:tcW w:w="1247"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236" w:type="dxa"/>
            <w:vMerge w:val="continue"/>
            <w:tcBorders>
              <w:top w:val="nil"/>
              <w:left w:val="single" w:color="auto"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40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可持续影响指标</w:t>
            </w:r>
          </w:p>
        </w:tc>
        <w:tc>
          <w:tcPr>
            <w:tcW w:w="1218"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55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300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r>
      <w:tr>
        <w:tblPrEx>
          <w:tblLayout w:type="fixed"/>
          <w:tblCellMar>
            <w:top w:w="0" w:type="dxa"/>
            <w:left w:w="108" w:type="dxa"/>
            <w:bottom w:w="0" w:type="dxa"/>
            <w:right w:w="108" w:type="dxa"/>
          </w:tblCellMar>
        </w:tblPrEx>
        <w:trPr>
          <w:trHeight w:val="720" w:hRule="atLeast"/>
          <w:jc w:val="center"/>
        </w:trPr>
        <w:tc>
          <w:tcPr>
            <w:tcW w:w="1247"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236" w:type="dxa"/>
            <w:tcBorders>
              <w:top w:val="nil"/>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满意度指标</w:t>
            </w:r>
          </w:p>
        </w:tc>
        <w:tc>
          <w:tcPr>
            <w:tcW w:w="140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满意度指标</w:t>
            </w:r>
          </w:p>
        </w:tc>
        <w:tc>
          <w:tcPr>
            <w:tcW w:w="1218"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师生满意度</w:t>
            </w:r>
          </w:p>
        </w:tc>
        <w:tc>
          <w:tcPr>
            <w:tcW w:w="155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师生满意度达到95%</w:t>
            </w:r>
          </w:p>
        </w:tc>
        <w:tc>
          <w:tcPr>
            <w:tcW w:w="300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师生满意度达90%</w:t>
            </w:r>
          </w:p>
        </w:tc>
      </w:tr>
    </w:tbl>
    <w:p>
      <w:pPr>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color w:val="000000" w:themeColor="text1"/>
          <w:spacing w:val="-11"/>
          <w:sz w:val="32"/>
          <w:szCs w:val="32"/>
          <w14:textFill>
            <w14:solidFill>
              <w14:schemeClr w14:val="tx1"/>
            </w14:solidFill>
          </w14:textFill>
        </w:rPr>
      </w:pPr>
      <w:r>
        <w:rPr>
          <w:rFonts w:hint="eastAsia" w:ascii="宋体" w:hAnsi="宋体" w:eastAsia="宋体" w:cs="宋体"/>
          <w:b/>
          <w:color w:val="000000" w:themeColor="text1"/>
          <w:spacing w:val="-11"/>
          <w:sz w:val="32"/>
          <w:szCs w:val="32"/>
          <w14:textFill>
            <w14:solidFill>
              <w14:schemeClr w14:val="tx1"/>
            </w14:solidFill>
          </w14:textFill>
        </w:rPr>
        <w:t>2021年100万元以上（含）特定目标类部门预算项目绩效目标自评</w:t>
      </w:r>
    </w:p>
    <w:p>
      <w:pPr>
        <w:bidi w:val="0"/>
        <w:rPr>
          <w:rFonts w:hint="eastAsia"/>
          <w:color w:val="000000" w:themeColor="text1"/>
          <w14:textFill>
            <w14:solidFill>
              <w14:schemeClr w14:val="tx1"/>
            </w14:solidFill>
          </w14:textFill>
        </w:rPr>
      </w:pPr>
    </w:p>
    <w:tbl>
      <w:tblPr>
        <w:tblStyle w:val="14"/>
        <w:tblW w:w="9498" w:type="dxa"/>
        <w:jc w:val="center"/>
        <w:tblInd w:w="-34" w:type="dxa"/>
        <w:tblLayout w:type="fixed"/>
        <w:tblCellMar>
          <w:top w:w="0" w:type="dxa"/>
          <w:left w:w="108" w:type="dxa"/>
          <w:bottom w:w="0" w:type="dxa"/>
          <w:right w:w="108" w:type="dxa"/>
        </w:tblCellMar>
      </w:tblPr>
      <w:tblGrid>
        <w:gridCol w:w="1247"/>
        <w:gridCol w:w="1203"/>
        <w:gridCol w:w="1378"/>
        <w:gridCol w:w="414"/>
        <w:gridCol w:w="1083"/>
        <w:gridCol w:w="1763"/>
        <w:gridCol w:w="2410"/>
      </w:tblGrid>
      <w:tr>
        <w:tblPrEx>
          <w:tblLayout w:type="fixed"/>
          <w:tblCellMar>
            <w:top w:w="0" w:type="dxa"/>
            <w:left w:w="108" w:type="dxa"/>
            <w:bottom w:w="0" w:type="dxa"/>
            <w:right w:w="108" w:type="dxa"/>
          </w:tblCellMar>
        </w:tblPrEx>
        <w:trPr>
          <w:trHeight w:val="439" w:hRule="atLeast"/>
          <w:jc w:val="center"/>
        </w:trPr>
        <w:tc>
          <w:tcPr>
            <w:tcW w:w="24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项目名称</w:t>
            </w:r>
          </w:p>
        </w:tc>
        <w:tc>
          <w:tcPr>
            <w:tcW w:w="7048"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设备购置经费</w:t>
            </w:r>
          </w:p>
        </w:tc>
      </w:tr>
      <w:tr>
        <w:tblPrEx>
          <w:tblLayout w:type="fixed"/>
          <w:tblCellMar>
            <w:top w:w="0" w:type="dxa"/>
            <w:left w:w="108" w:type="dxa"/>
            <w:bottom w:w="0" w:type="dxa"/>
            <w:right w:w="108" w:type="dxa"/>
          </w:tblCellMar>
        </w:tblPrEx>
        <w:trPr>
          <w:trHeight w:val="750" w:hRule="atLeast"/>
          <w:jc w:val="center"/>
        </w:trPr>
        <w:tc>
          <w:tcPr>
            <w:tcW w:w="24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主管部门及代码</w:t>
            </w:r>
          </w:p>
        </w:tc>
        <w:tc>
          <w:tcPr>
            <w:tcW w:w="287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四川省司法厅</w:t>
            </w:r>
          </w:p>
        </w:tc>
        <w:tc>
          <w:tcPr>
            <w:tcW w:w="176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实施单位</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四川司法警官职业学院</w:t>
            </w:r>
          </w:p>
        </w:tc>
      </w:tr>
      <w:tr>
        <w:tblPrEx>
          <w:tblLayout w:type="fixed"/>
          <w:tblCellMar>
            <w:top w:w="0" w:type="dxa"/>
            <w:left w:w="108" w:type="dxa"/>
            <w:bottom w:w="0" w:type="dxa"/>
            <w:right w:w="108" w:type="dxa"/>
          </w:tblCellMar>
        </w:tblPrEx>
        <w:trPr>
          <w:trHeight w:val="439" w:hRule="atLeast"/>
          <w:jc w:val="center"/>
        </w:trPr>
        <w:tc>
          <w:tcPr>
            <w:tcW w:w="245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项目预算</w:t>
            </w:r>
            <w:r>
              <w:rPr>
                <w:rFonts w:hint="eastAsia" w:ascii="宋体" w:hAnsi="宋体" w:eastAsia="宋体" w:cs="宋体"/>
                <w:color w:val="000000" w:themeColor="text1"/>
                <w:kern w:val="0"/>
                <w:sz w:val="16"/>
                <w:szCs w:val="16"/>
                <w14:textFill>
                  <w14:solidFill>
                    <w14:schemeClr w14:val="tx1"/>
                  </w14:solidFill>
                </w14:textFill>
              </w:rPr>
              <w:br w:type="textWrapping"/>
            </w:r>
            <w:r>
              <w:rPr>
                <w:rFonts w:hint="eastAsia" w:ascii="宋体" w:hAnsi="宋体" w:eastAsia="宋体" w:cs="宋体"/>
                <w:color w:val="000000" w:themeColor="text1"/>
                <w:kern w:val="0"/>
                <w:sz w:val="16"/>
                <w:szCs w:val="16"/>
                <w14:textFill>
                  <w14:solidFill>
                    <w14:schemeClr w14:val="tx1"/>
                  </w14:solidFill>
                </w14:textFill>
              </w:rPr>
              <w:t>执行情况</w:t>
            </w:r>
            <w:r>
              <w:rPr>
                <w:rFonts w:hint="eastAsia" w:ascii="宋体" w:hAnsi="宋体" w:eastAsia="宋体" w:cs="宋体"/>
                <w:color w:val="000000" w:themeColor="text1"/>
                <w:kern w:val="0"/>
                <w:sz w:val="16"/>
                <w:szCs w:val="16"/>
                <w14:textFill>
                  <w14:solidFill>
                    <w14:schemeClr w14:val="tx1"/>
                  </w14:solidFill>
                </w14:textFill>
              </w:rPr>
              <w:br w:type="textWrapping"/>
            </w:r>
            <w:r>
              <w:rPr>
                <w:rFonts w:hint="eastAsia" w:ascii="宋体" w:hAnsi="宋体" w:eastAsia="宋体" w:cs="宋体"/>
                <w:color w:val="000000" w:themeColor="text1"/>
                <w:kern w:val="0"/>
                <w:sz w:val="16"/>
                <w:szCs w:val="16"/>
                <w14:textFill>
                  <w14:solidFill>
                    <w14:schemeClr w14:val="tx1"/>
                  </w14:solidFill>
                </w14:textFill>
              </w:rPr>
              <w:t>（万元）</w:t>
            </w:r>
          </w:p>
        </w:tc>
        <w:tc>
          <w:tcPr>
            <w:tcW w:w="179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xml:space="preserve"> 预算数：</w:t>
            </w:r>
          </w:p>
        </w:tc>
        <w:tc>
          <w:tcPr>
            <w:tcW w:w="10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285.00</w:t>
            </w:r>
          </w:p>
        </w:tc>
        <w:tc>
          <w:tcPr>
            <w:tcW w:w="17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xml:space="preserve"> 执行数：</w:t>
            </w:r>
          </w:p>
        </w:tc>
        <w:tc>
          <w:tcPr>
            <w:tcW w:w="241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258.21</w:t>
            </w:r>
          </w:p>
        </w:tc>
      </w:tr>
      <w:tr>
        <w:tblPrEx>
          <w:tblLayout w:type="fixed"/>
          <w:tblCellMar>
            <w:top w:w="0" w:type="dxa"/>
            <w:left w:w="108" w:type="dxa"/>
            <w:bottom w:w="0" w:type="dxa"/>
            <w:right w:w="108" w:type="dxa"/>
          </w:tblCellMar>
        </w:tblPrEx>
        <w:trPr>
          <w:trHeight w:val="630" w:hRule="atLeast"/>
          <w:jc w:val="center"/>
        </w:trPr>
        <w:tc>
          <w:tcPr>
            <w:tcW w:w="24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179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xml:space="preserve"> 其中：</w:t>
            </w:r>
          </w:p>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财政拨款</w:t>
            </w:r>
          </w:p>
        </w:tc>
        <w:tc>
          <w:tcPr>
            <w:tcW w:w="10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70.00</w:t>
            </w:r>
          </w:p>
        </w:tc>
        <w:tc>
          <w:tcPr>
            <w:tcW w:w="17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其中：</w:t>
            </w:r>
          </w:p>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财政拨款</w:t>
            </w:r>
          </w:p>
        </w:tc>
        <w:tc>
          <w:tcPr>
            <w:tcW w:w="241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67.77</w:t>
            </w:r>
          </w:p>
        </w:tc>
      </w:tr>
      <w:tr>
        <w:tblPrEx>
          <w:tblLayout w:type="fixed"/>
          <w:tblCellMar>
            <w:top w:w="0" w:type="dxa"/>
            <w:left w:w="108" w:type="dxa"/>
            <w:bottom w:w="0" w:type="dxa"/>
            <w:right w:w="108" w:type="dxa"/>
          </w:tblCellMar>
        </w:tblPrEx>
        <w:trPr>
          <w:trHeight w:val="439" w:hRule="atLeast"/>
          <w:jc w:val="center"/>
        </w:trPr>
        <w:tc>
          <w:tcPr>
            <w:tcW w:w="24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179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其他资金</w:t>
            </w:r>
          </w:p>
        </w:tc>
        <w:tc>
          <w:tcPr>
            <w:tcW w:w="10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215.00</w:t>
            </w:r>
          </w:p>
        </w:tc>
        <w:tc>
          <w:tcPr>
            <w:tcW w:w="17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其他资金</w:t>
            </w:r>
          </w:p>
        </w:tc>
        <w:tc>
          <w:tcPr>
            <w:tcW w:w="241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190.44</w:t>
            </w:r>
          </w:p>
        </w:tc>
      </w:tr>
      <w:tr>
        <w:tblPrEx>
          <w:tblLayout w:type="fixed"/>
          <w:tblCellMar>
            <w:top w:w="0" w:type="dxa"/>
            <w:left w:w="108" w:type="dxa"/>
            <w:bottom w:w="0" w:type="dxa"/>
            <w:right w:w="108" w:type="dxa"/>
          </w:tblCellMar>
        </w:tblPrEx>
        <w:trPr>
          <w:trHeight w:val="439" w:hRule="atLeast"/>
          <w:jc w:val="center"/>
        </w:trPr>
        <w:tc>
          <w:tcPr>
            <w:tcW w:w="124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年度总体目标完成情况</w:t>
            </w:r>
          </w:p>
        </w:tc>
        <w:tc>
          <w:tcPr>
            <w:tcW w:w="407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预期目标</w:t>
            </w:r>
          </w:p>
        </w:tc>
        <w:tc>
          <w:tcPr>
            <w:tcW w:w="417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目标实际完成情况</w:t>
            </w:r>
          </w:p>
        </w:tc>
      </w:tr>
      <w:tr>
        <w:tblPrEx>
          <w:tblLayout w:type="fixed"/>
          <w:tblCellMar>
            <w:top w:w="0" w:type="dxa"/>
            <w:left w:w="108" w:type="dxa"/>
            <w:bottom w:w="0" w:type="dxa"/>
            <w:right w:w="108" w:type="dxa"/>
          </w:tblCellMar>
        </w:tblPrEx>
        <w:trPr>
          <w:trHeight w:val="833" w:hRule="atLeast"/>
          <w:jc w:val="center"/>
        </w:trPr>
        <w:tc>
          <w:tcPr>
            <w:tcW w:w="1247"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4078"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保障学院基本办公条件</w:t>
            </w:r>
          </w:p>
        </w:tc>
        <w:tc>
          <w:tcPr>
            <w:tcW w:w="417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基本完成采购预算，保障学院基本办公条件</w:t>
            </w:r>
          </w:p>
        </w:tc>
      </w:tr>
      <w:tr>
        <w:tblPrEx>
          <w:tblLayout w:type="fixed"/>
          <w:tblCellMar>
            <w:top w:w="0" w:type="dxa"/>
            <w:left w:w="108" w:type="dxa"/>
            <w:bottom w:w="0" w:type="dxa"/>
            <w:right w:w="108" w:type="dxa"/>
          </w:tblCellMar>
        </w:tblPrEx>
        <w:trPr>
          <w:trHeight w:val="900" w:hRule="atLeast"/>
          <w:jc w:val="center"/>
        </w:trPr>
        <w:tc>
          <w:tcPr>
            <w:tcW w:w="1247" w:type="dxa"/>
            <w:vMerge w:val="restart"/>
            <w:tcBorders>
              <w:top w:val="nil"/>
              <w:left w:val="single" w:color="auto" w:sz="4" w:space="0"/>
              <w:bottom w:val="single" w:color="000000" w:sz="4" w:space="0"/>
              <w:right w:val="nil"/>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年度绩效指标完成情况</w:t>
            </w:r>
          </w:p>
        </w:tc>
        <w:tc>
          <w:tcPr>
            <w:tcW w:w="120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一级</w:t>
            </w:r>
          </w:p>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指标</w:t>
            </w:r>
          </w:p>
        </w:tc>
        <w:tc>
          <w:tcPr>
            <w:tcW w:w="137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二级</w:t>
            </w:r>
          </w:p>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指标</w:t>
            </w:r>
          </w:p>
        </w:tc>
        <w:tc>
          <w:tcPr>
            <w:tcW w:w="14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三级</w:t>
            </w:r>
          </w:p>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指标</w:t>
            </w:r>
          </w:p>
        </w:tc>
        <w:tc>
          <w:tcPr>
            <w:tcW w:w="176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预期指</w:t>
            </w:r>
          </w:p>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标值</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实际完成指标值</w:t>
            </w:r>
          </w:p>
        </w:tc>
      </w:tr>
      <w:tr>
        <w:tblPrEx>
          <w:tblLayout w:type="fixed"/>
          <w:tblCellMar>
            <w:top w:w="0" w:type="dxa"/>
            <w:left w:w="108" w:type="dxa"/>
            <w:bottom w:w="0" w:type="dxa"/>
            <w:right w:w="108" w:type="dxa"/>
          </w:tblCellMar>
        </w:tblPrEx>
        <w:trPr>
          <w:trHeight w:val="480" w:hRule="atLeast"/>
          <w:jc w:val="center"/>
        </w:trPr>
        <w:tc>
          <w:tcPr>
            <w:tcW w:w="1247" w:type="dxa"/>
            <w:vMerge w:val="continue"/>
            <w:tcBorders>
              <w:top w:val="nil"/>
              <w:left w:val="single" w:color="auto" w:sz="4" w:space="0"/>
              <w:bottom w:val="single" w:color="000000" w:sz="4" w:space="0"/>
              <w:right w:val="nil"/>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20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完成</w:t>
            </w:r>
          </w:p>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指标</w:t>
            </w:r>
          </w:p>
        </w:tc>
        <w:tc>
          <w:tcPr>
            <w:tcW w:w="137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数量指标</w:t>
            </w:r>
          </w:p>
        </w:tc>
        <w:tc>
          <w:tcPr>
            <w:tcW w:w="1497"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76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24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r>
      <w:tr>
        <w:tblPrEx>
          <w:tblLayout w:type="fixed"/>
          <w:tblCellMar>
            <w:top w:w="0" w:type="dxa"/>
            <w:left w:w="108" w:type="dxa"/>
            <w:bottom w:w="0" w:type="dxa"/>
            <w:right w:w="108" w:type="dxa"/>
          </w:tblCellMar>
        </w:tblPrEx>
        <w:trPr>
          <w:trHeight w:val="645" w:hRule="atLeast"/>
          <w:jc w:val="center"/>
        </w:trPr>
        <w:tc>
          <w:tcPr>
            <w:tcW w:w="1247" w:type="dxa"/>
            <w:vMerge w:val="continue"/>
            <w:tcBorders>
              <w:top w:val="nil"/>
              <w:left w:val="single" w:color="auto" w:sz="4" w:space="0"/>
              <w:bottom w:val="single" w:color="000000" w:sz="4" w:space="0"/>
              <w:right w:val="nil"/>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203" w:type="dxa"/>
            <w:vMerge w:val="continue"/>
            <w:tcBorders>
              <w:top w:val="nil"/>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37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质量指标</w:t>
            </w:r>
          </w:p>
        </w:tc>
        <w:tc>
          <w:tcPr>
            <w:tcW w:w="1497"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保障2021年业务系统正常运行</w:t>
            </w:r>
          </w:p>
        </w:tc>
        <w:tc>
          <w:tcPr>
            <w:tcW w:w="176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正常运行</w:t>
            </w:r>
          </w:p>
        </w:tc>
        <w:tc>
          <w:tcPr>
            <w:tcW w:w="24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已完成</w:t>
            </w:r>
          </w:p>
        </w:tc>
      </w:tr>
      <w:tr>
        <w:tblPrEx>
          <w:tblLayout w:type="fixed"/>
          <w:tblCellMar>
            <w:top w:w="0" w:type="dxa"/>
            <w:left w:w="108" w:type="dxa"/>
            <w:bottom w:w="0" w:type="dxa"/>
            <w:right w:w="108" w:type="dxa"/>
          </w:tblCellMar>
        </w:tblPrEx>
        <w:trPr>
          <w:trHeight w:val="480" w:hRule="atLeast"/>
          <w:jc w:val="center"/>
        </w:trPr>
        <w:tc>
          <w:tcPr>
            <w:tcW w:w="1247" w:type="dxa"/>
            <w:vMerge w:val="continue"/>
            <w:tcBorders>
              <w:top w:val="nil"/>
              <w:left w:val="single" w:color="auto" w:sz="4" w:space="0"/>
              <w:bottom w:val="single" w:color="000000" w:sz="4" w:space="0"/>
              <w:right w:val="nil"/>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203" w:type="dxa"/>
            <w:vMerge w:val="continue"/>
            <w:tcBorders>
              <w:top w:val="nil"/>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37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时效指标</w:t>
            </w:r>
          </w:p>
        </w:tc>
        <w:tc>
          <w:tcPr>
            <w:tcW w:w="1497"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完成时效</w:t>
            </w:r>
          </w:p>
        </w:tc>
        <w:tc>
          <w:tcPr>
            <w:tcW w:w="176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2021年12月</w:t>
            </w:r>
          </w:p>
        </w:tc>
        <w:tc>
          <w:tcPr>
            <w:tcW w:w="24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已完成</w:t>
            </w:r>
          </w:p>
        </w:tc>
      </w:tr>
      <w:tr>
        <w:tblPrEx>
          <w:tblLayout w:type="fixed"/>
          <w:tblCellMar>
            <w:top w:w="0" w:type="dxa"/>
            <w:left w:w="108" w:type="dxa"/>
            <w:bottom w:w="0" w:type="dxa"/>
            <w:right w:w="108" w:type="dxa"/>
          </w:tblCellMar>
        </w:tblPrEx>
        <w:trPr>
          <w:trHeight w:val="480" w:hRule="atLeast"/>
          <w:jc w:val="center"/>
        </w:trPr>
        <w:tc>
          <w:tcPr>
            <w:tcW w:w="1247" w:type="dxa"/>
            <w:vMerge w:val="continue"/>
            <w:tcBorders>
              <w:top w:val="nil"/>
              <w:left w:val="single" w:color="auto" w:sz="4" w:space="0"/>
              <w:bottom w:val="single" w:color="000000" w:sz="4" w:space="0"/>
              <w:right w:val="nil"/>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203" w:type="dxa"/>
            <w:vMerge w:val="continue"/>
            <w:tcBorders>
              <w:top w:val="nil"/>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37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成本指标</w:t>
            </w:r>
          </w:p>
        </w:tc>
        <w:tc>
          <w:tcPr>
            <w:tcW w:w="1497"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76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24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r>
      <w:tr>
        <w:tblPrEx>
          <w:tblLayout w:type="fixed"/>
          <w:tblCellMar>
            <w:top w:w="0" w:type="dxa"/>
            <w:left w:w="108" w:type="dxa"/>
            <w:bottom w:w="0" w:type="dxa"/>
            <w:right w:w="108" w:type="dxa"/>
          </w:tblCellMar>
        </w:tblPrEx>
        <w:trPr>
          <w:trHeight w:val="480" w:hRule="atLeast"/>
          <w:jc w:val="center"/>
        </w:trPr>
        <w:tc>
          <w:tcPr>
            <w:tcW w:w="1247" w:type="dxa"/>
            <w:vMerge w:val="continue"/>
            <w:tcBorders>
              <w:top w:val="nil"/>
              <w:left w:val="single" w:color="auto" w:sz="4" w:space="0"/>
              <w:bottom w:val="single" w:color="000000" w:sz="4" w:space="0"/>
              <w:right w:val="nil"/>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20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效益</w:t>
            </w:r>
          </w:p>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指标</w:t>
            </w:r>
          </w:p>
        </w:tc>
        <w:tc>
          <w:tcPr>
            <w:tcW w:w="137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经济效益指标</w:t>
            </w:r>
          </w:p>
        </w:tc>
        <w:tc>
          <w:tcPr>
            <w:tcW w:w="1497"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76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24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r>
      <w:tr>
        <w:tblPrEx>
          <w:tblLayout w:type="fixed"/>
          <w:tblCellMar>
            <w:top w:w="0" w:type="dxa"/>
            <w:left w:w="108" w:type="dxa"/>
            <w:bottom w:w="0" w:type="dxa"/>
            <w:right w:w="108" w:type="dxa"/>
          </w:tblCellMar>
        </w:tblPrEx>
        <w:trPr>
          <w:trHeight w:val="480" w:hRule="atLeast"/>
          <w:jc w:val="center"/>
        </w:trPr>
        <w:tc>
          <w:tcPr>
            <w:tcW w:w="1247" w:type="dxa"/>
            <w:vMerge w:val="continue"/>
            <w:tcBorders>
              <w:top w:val="nil"/>
              <w:left w:val="single" w:color="auto" w:sz="4" w:space="0"/>
              <w:bottom w:val="single" w:color="000000" w:sz="4" w:space="0"/>
              <w:right w:val="nil"/>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203" w:type="dxa"/>
            <w:vMerge w:val="continue"/>
            <w:tcBorders>
              <w:top w:val="nil"/>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37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社会效益指标</w:t>
            </w:r>
          </w:p>
        </w:tc>
        <w:tc>
          <w:tcPr>
            <w:tcW w:w="1497"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办学条件</w:t>
            </w:r>
          </w:p>
        </w:tc>
        <w:tc>
          <w:tcPr>
            <w:tcW w:w="176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提升办公条件</w:t>
            </w:r>
          </w:p>
        </w:tc>
        <w:tc>
          <w:tcPr>
            <w:tcW w:w="24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提升办公条件</w:t>
            </w:r>
          </w:p>
        </w:tc>
      </w:tr>
      <w:tr>
        <w:tblPrEx>
          <w:tblLayout w:type="fixed"/>
          <w:tblCellMar>
            <w:top w:w="0" w:type="dxa"/>
            <w:left w:w="108" w:type="dxa"/>
            <w:bottom w:w="0" w:type="dxa"/>
            <w:right w:w="108" w:type="dxa"/>
          </w:tblCellMar>
        </w:tblPrEx>
        <w:trPr>
          <w:trHeight w:val="480" w:hRule="atLeast"/>
          <w:jc w:val="center"/>
        </w:trPr>
        <w:tc>
          <w:tcPr>
            <w:tcW w:w="1247" w:type="dxa"/>
            <w:vMerge w:val="continue"/>
            <w:tcBorders>
              <w:top w:val="nil"/>
              <w:left w:val="single" w:color="auto" w:sz="4" w:space="0"/>
              <w:bottom w:val="single" w:color="000000" w:sz="4" w:space="0"/>
              <w:right w:val="nil"/>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203" w:type="dxa"/>
            <w:vMerge w:val="continue"/>
            <w:tcBorders>
              <w:top w:val="nil"/>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37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生态效益指标</w:t>
            </w:r>
          </w:p>
        </w:tc>
        <w:tc>
          <w:tcPr>
            <w:tcW w:w="1497"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76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24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r>
      <w:tr>
        <w:tblPrEx>
          <w:tblLayout w:type="fixed"/>
          <w:tblCellMar>
            <w:top w:w="0" w:type="dxa"/>
            <w:left w:w="108" w:type="dxa"/>
            <w:bottom w:w="0" w:type="dxa"/>
            <w:right w:w="108" w:type="dxa"/>
          </w:tblCellMar>
        </w:tblPrEx>
        <w:trPr>
          <w:trHeight w:val="480" w:hRule="atLeast"/>
          <w:jc w:val="center"/>
        </w:trPr>
        <w:tc>
          <w:tcPr>
            <w:tcW w:w="1247" w:type="dxa"/>
            <w:vMerge w:val="continue"/>
            <w:tcBorders>
              <w:top w:val="nil"/>
              <w:left w:val="single" w:color="auto" w:sz="4" w:space="0"/>
              <w:bottom w:val="single" w:color="000000" w:sz="4" w:space="0"/>
              <w:right w:val="nil"/>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203" w:type="dxa"/>
            <w:vMerge w:val="continue"/>
            <w:tcBorders>
              <w:top w:val="nil"/>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37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可持续影响指标</w:t>
            </w:r>
          </w:p>
        </w:tc>
        <w:tc>
          <w:tcPr>
            <w:tcW w:w="1497"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76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24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r>
      <w:tr>
        <w:tblPrEx>
          <w:tblLayout w:type="fixed"/>
          <w:tblCellMar>
            <w:top w:w="0" w:type="dxa"/>
            <w:left w:w="108" w:type="dxa"/>
            <w:bottom w:w="0" w:type="dxa"/>
            <w:right w:w="108" w:type="dxa"/>
          </w:tblCellMar>
        </w:tblPrEx>
        <w:trPr>
          <w:trHeight w:val="480" w:hRule="atLeast"/>
          <w:jc w:val="center"/>
        </w:trPr>
        <w:tc>
          <w:tcPr>
            <w:tcW w:w="1247" w:type="dxa"/>
            <w:vMerge w:val="continue"/>
            <w:tcBorders>
              <w:top w:val="nil"/>
              <w:left w:val="single" w:color="auto" w:sz="4" w:space="0"/>
              <w:bottom w:val="single" w:color="000000" w:sz="4" w:space="0"/>
              <w:right w:val="nil"/>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20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满意度指标</w:t>
            </w:r>
          </w:p>
        </w:tc>
        <w:tc>
          <w:tcPr>
            <w:tcW w:w="137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满意度指标</w:t>
            </w:r>
          </w:p>
        </w:tc>
        <w:tc>
          <w:tcPr>
            <w:tcW w:w="1497"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机关运行、后勤保障和职工满意度</w:t>
            </w:r>
          </w:p>
        </w:tc>
        <w:tc>
          <w:tcPr>
            <w:tcW w:w="176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满意度90%</w:t>
            </w:r>
          </w:p>
        </w:tc>
        <w:tc>
          <w:tcPr>
            <w:tcW w:w="24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满意度达到90%</w:t>
            </w:r>
          </w:p>
        </w:tc>
      </w:tr>
    </w:tbl>
    <w:p>
      <w:pPr>
        <w:rPr>
          <w:color w:val="000000" w:themeColor="text1"/>
          <w14:textFill>
            <w14:solidFill>
              <w14:schemeClr w14:val="tx1"/>
            </w14:solidFill>
          </w14:textFill>
        </w:rPr>
      </w:pPr>
    </w:p>
    <w:p>
      <w:pPr>
        <w:widowControl/>
        <w:jc w:val="left"/>
        <w:rPr>
          <w:rStyle w:val="26"/>
          <w:rFonts w:ascii="黑体" w:hAnsi="黑体" w:eastAsia="黑体"/>
          <w:b w:val="0"/>
          <w:color w:val="000000" w:themeColor="text1"/>
          <w:highlight w:val="none"/>
          <w14:textFill>
            <w14:solidFill>
              <w14:schemeClr w14:val="tx1"/>
            </w14:solidFill>
          </w14:textFill>
        </w:rPr>
      </w:pPr>
    </w:p>
    <w:p>
      <w:pPr>
        <w:spacing w:line="600" w:lineRule="exact"/>
        <w:jc w:val="center"/>
        <w:outlineLvl w:val="0"/>
        <w:rPr>
          <w:rFonts w:hint="eastAsia" w:ascii="黑体" w:hAnsi="黑体" w:eastAsia="黑体"/>
          <w:color w:val="000000" w:themeColor="text1"/>
          <w:sz w:val="44"/>
          <w:szCs w:val="44"/>
          <w:highlight w:val="none"/>
          <w14:textFill>
            <w14:solidFill>
              <w14:schemeClr w14:val="tx1"/>
            </w14:solidFill>
          </w14:textFill>
        </w:rPr>
      </w:pPr>
      <w:bookmarkStart w:id="63" w:name="_Toc15396618"/>
    </w:p>
    <w:p>
      <w:pPr>
        <w:spacing w:line="600" w:lineRule="exact"/>
        <w:jc w:val="center"/>
        <w:outlineLvl w:val="0"/>
        <w:rPr>
          <w:rFonts w:hint="eastAsia" w:ascii="黑体" w:hAnsi="黑体" w:eastAsia="黑体"/>
          <w:color w:val="000000" w:themeColor="text1"/>
          <w:sz w:val="44"/>
          <w:szCs w:val="44"/>
          <w:highlight w:val="none"/>
          <w14:textFill>
            <w14:solidFill>
              <w14:schemeClr w14:val="tx1"/>
            </w14:solidFill>
          </w14:textFill>
        </w:rPr>
      </w:pPr>
    </w:p>
    <w:p>
      <w:pPr>
        <w:spacing w:line="600" w:lineRule="exact"/>
        <w:jc w:val="center"/>
        <w:outlineLvl w:val="0"/>
        <w:rPr>
          <w:rFonts w:hint="eastAsia" w:ascii="黑体" w:hAnsi="黑体" w:eastAsia="黑体"/>
          <w:color w:val="000000" w:themeColor="text1"/>
          <w:sz w:val="44"/>
          <w:szCs w:val="4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_GBK" w:hAnsi="方正小标宋_GBK" w:eastAsia="方正小标宋_GBK" w:cs="方正小标宋_GBK"/>
          <w:b w:val="0"/>
          <w:bCs w:val="0"/>
          <w:i w:val="0"/>
          <w:iCs w:val="0"/>
          <w:color w:val="000000" w:themeColor="text1"/>
          <w:sz w:val="44"/>
          <w:szCs w:val="44"/>
          <w:highlight w:val="none"/>
          <w:u w:val="none"/>
          <w14:textFill>
            <w14:solidFill>
              <w14:schemeClr w14:val="tx1"/>
            </w14:solidFill>
          </w14:textFill>
        </w:rPr>
      </w:pPr>
      <w:r>
        <w:rPr>
          <w:rFonts w:hint="eastAsia" w:ascii="方正小标宋_GBK" w:hAnsi="方正小标宋_GBK" w:eastAsia="方正小标宋_GBK" w:cs="方正小标宋_GBK"/>
          <w:b w:val="0"/>
          <w:bCs w:val="0"/>
          <w:i w:val="0"/>
          <w:iCs w:val="0"/>
          <w:color w:val="000000" w:themeColor="text1"/>
          <w:sz w:val="44"/>
          <w:szCs w:val="44"/>
          <w:highlight w:val="none"/>
          <w:u w:val="none"/>
          <w14:textFill>
            <w14:solidFill>
              <w14:schemeClr w14:val="tx1"/>
            </w14:solidFill>
          </w14:textFill>
        </w:rPr>
        <w:t>第</w:t>
      </w:r>
      <w:r>
        <w:rPr>
          <w:rStyle w:val="26"/>
          <w:rFonts w:hint="eastAsia" w:ascii="方正小标宋_GBK" w:hAnsi="方正小标宋_GBK" w:eastAsia="方正小标宋_GBK" w:cs="方正小标宋_GBK"/>
          <w:b w:val="0"/>
          <w:bCs w:val="0"/>
          <w:i w:val="0"/>
          <w:iCs w:val="0"/>
          <w:color w:val="000000" w:themeColor="text1"/>
          <w:sz w:val="44"/>
          <w:szCs w:val="44"/>
          <w:highlight w:val="none"/>
          <w:u w:val="none"/>
          <w14:textFill>
            <w14:solidFill>
              <w14:schemeClr w14:val="tx1"/>
            </w14:solidFill>
          </w14:textFill>
        </w:rPr>
        <w:t xml:space="preserve">五部分 </w:t>
      </w:r>
      <w:r>
        <w:rPr>
          <w:rStyle w:val="26"/>
          <w:rFonts w:hint="eastAsia" w:ascii="方正小标宋_GBK" w:hAnsi="方正小标宋_GBK" w:eastAsia="方正小标宋_GBK" w:cs="方正小标宋_GBK"/>
          <w:b w:val="0"/>
          <w:bCs w:val="0"/>
          <w:i w:val="0"/>
          <w:iCs w:val="0"/>
          <w:color w:val="000000" w:themeColor="text1"/>
          <w:sz w:val="44"/>
          <w:szCs w:val="44"/>
          <w:highlight w:val="none"/>
          <w:u w:val="none"/>
          <w:lang w:val="en-US" w:eastAsia="zh-CN"/>
          <w14:textFill>
            <w14:solidFill>
              <w14:schemeClr w14:val="tx1"/>
            </w14:solidFill>
          </w14:textFill>
        </w:rPr>
        <w:t xml:space="preserve"> </w:t>
      </w:r>
      <w:r>
        <w:rPr>
          <w:rStyle w:val="26"/>
          <w:rFonts w:hint="eastAsia" w:ascii="方正小标宋_GBK" w:hAnsi="方正小标宋_GBK" w:eastAsia="方正小标宋_GBK" w:cs="方正小标宋_GBK"/>
          <w:b w:val="0"/>
          <w:bCs w:val="0"/>
          <w:i w:val="0"/>
          <w:iCs w:val="0"/>
          <w:color w:val="000000" w:themeColor="text1"/>
          <w:sz w:val="44"/>
          <w:szCs w:val="44"/>
          <w:highlight w:val="none"/>
          <w:u w:val="none"/>
          <w14:textFill>
            <w14:solidFill>
              <w14:schemeClr w14:val="tx1"/>
            </w14:solidFill>
          </w14:textFill>
        </w:rPr>
        <w:t>附表</w:t>
      </w:r>
      <w:bookmarkEnd w:id="62"/>
      <w:bookmarkEnd w:id="63"/>
      <w:bookmarkStart w:id="64" w:name="_Toc15396619"/>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i w:val="0"/>
          <w:iCs w:val="0"/>
          <w:color w:val="000000" w:themeColor="text1"/>
          <w:sz w:val="32"/>
          <w:szCs w:val="32"/>
          <w:highlight w:val="none"/>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i w:val="0"/>
          <w:i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i w:val="0"/>
          <w:iCs w:val="0"/>
          <w:color w:val="000000" w:themeColor="text1"/>
          <w:sz w:val="32"/>
          <w:szCs w:val="32"/>
          <w:highlight w:val="none"/>
          <w:u w:val="none"/>
          <w14:textFill>
            <w14:solidFill>
              <w14:schemeClr w14:val="tx1"/>
            </w14:solidFill>
          </w14:textFill>
        </w:rPr>
        <w:t>一、收</w:t>
      </w:r>
      <w:r>
        <w:rPr>
          <w:rStyle w:val="27"/>
          <w:rFonts w:hint="eastAsia" w:ascii="仿宋_GB2312" w:hAnsi="仿宋_GB2312" w:eastAsia="仿宋_GB2312" w:cs="仿宋_GB2312"/>
          <w:b w:val="0"/>
          <w:bCs w:val="0"/>
          <w:i w:val="0"/>
          <w:iCs w:val="0"/>
          <w:color w:val="000000" w:themeColor="text1"/>
          <w:sz w:val="32"/>
          <w:szCs w:val="32"/>
          <w:highlight w:val="none"/>
          <w:u w:val="none"/>
          <w14:textFill>
            <w14:solidFill>
              <w14:schemeClr w14:val="tx1"/>
            </w14:solidFill>
          </w14:textFill>
        </w:rPr>
        <w:t>入支出决</w:t>
      </w:r>
      <w:r>
        <w:rPr>
          <w:rFonts w:hint="eastAsia" w:ascii="仿宋_GB2312" w:hAnsi="仿宋_GB2312" w:eastAsia="仿宋_GB2312" w:cs="仿宋_GB2312"/>
          <w:i w:val="0"/>
          <w:iCs w:val="0"/>
          <w:color w:val="000000" w:themeColor="text1"/>
          <w:sz w:val="32"/>
          <w:szCs w:val="32"/>
          <w:u w:val="none"/>
          <w14:textFill>
            <w14:solidFill>
              <w14:schemeClr w14:val="tx1"/>
            </w14:solidFill>
          </w14:textFill>
        </w:rPr>
        <w:t>算总表</w:t>
      </w:r>
      <w:bookmarkEnd w:id="64"/>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i w:val="0"/>
          <w:iCs w:val="0"/>
          <w:color w:val="000000" w:themeColor="text1"/>
          <w:sz w:val="32"/>
          <w:szCs w:val="32"/>
          <w:u w:val="none"/>
          <w14:textFill>
            <w14:solidFill>
              <w14:schemeClr w14:val="tx1"/>
            </w14:solidFill>
          </w14:textFill>
        </w:rPr>
      </w:pPr>
      <w:bookmarkStart w:id="65" w:name="_Toc15396620"/>
      <w:r>
        <w:rPr>
          <w:rFonts w:hint="eastAsia" w:ascii="仿宋_GB2312" w:hAnsi="仿宋_GB2312" w:eastAsia="仿宋_GB2312" w:cs="仿宋_GB2312"/>
          <w:i w:val="0"/>
          <w:iCs w:val="0"/>
          <w:color w:val="000000" w:themeColor="text1"/>
          <w:sz w:val="32"/>
          <w:szCs w:val="32"/>
          <w:u w:val="none"/>
          <w14:textFill>
            <w14:solidFill>
              <w14:schemeClr w14:val="tx1"/>
            </w14:solidFill>
          </w14:textFill>
        </w:rPr>
        <w:t>二、收入决算表</w:t>
      </w:r>
      <w:bookmarkEnd w:id="65"/>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i w:val="0"/>
          <w:iCs w:val="0"/>
          <w:color w:val="000000" w:themeColor="text1"/>
          <w:sz w:val="32"/>
          <w:szCs w:val="32"/>
          <w:u w:val="none"/>
          <w14:textFill>
            <w14:solidFill>
              <w14:schemeClr w14:val="tx1"/>
            </w14:solidFill>
          </w14:textFill>
        </w:rPr>
      </w:pPr>
      <w:bookmarkStart w:id="66" w:name="_Toc15396621"/>
      <w:r>
        <w:rPr>
          <w:rFonts w:hint="eastAsia" w:ascii="仿宋_GB2312" w:hAnsi="仿宋_GB2312" w:eastAsia="仿宋_GB2312" w:cs="仿宋_GB2312"/>
          <w:i w:val="0"/>
          <w:iCs w:val="0"/>
          <w:color w:val="000000" w:themeColor="text1"/>
          <w:sz w:val="32"/>
          <w:szCs w:val="32"/>
          <w:u w:val="none"/>
          <w14:textFill>
            <w14:solidFill>
              <w14:schemeClr w14:val="tx1"/>
            </w14:solidFill>
          </w14:textFill>
        </w:rPr>
        <w:t>三、支出决算表</w:t>
      </w:r>
      <w:bookmarkEnd w:id="66"/>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i w:val="0"/>
          <w:iCs w:val="0"/>
          <w:color w:val="000000" w:themeColor="text1"/>
          <w:sz w:val="32"/>
          <w:szCs w:val="32"/>
          <w:u w:val="none"/>
          <w14:textFill>
            <w14:solidFill>
              <w14:schemeClr w14:val="tx1"/>
            </w14:solidFill>
          </w14:textFill>
        </w:rPr>
      </w:pPr>
      <w:bookmarkStart w:id="67" w:name="_Toc15396622"/>
      <w:r>
        <w:rPr>
          <w:rFonts w:hint="eastAsia" w:ascii="仿宋_GB2312" w:hAnsi="仿宋_GB2312" w:eastAsia="仿宋_GB2312" w:cs="仿宋_GB2312"/>
          <w:i w:val="0"/>
          <w:iCs w:val="0"/>
          <w:color w:val="000000" w:themeColor="text1"/>
          <w:sz w:val="32"/>
          <w:szCs w:val="32"/>
          <w:u w:val="none"/>
          <w14:textFill>
            <w14:solidFill>
              <w14:schemeClr w14:val="tx1"/>
            </w14:solidFill>
          </w14:textFill>
        </w:rPr>
        <w:t>四、财政拨款收入支出决算总表</w:t>
      </w:r>
      <w:bookmarkEnd w:id="67"/>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i w:val="0"/>
          <w:iCs w:val="0"/>
          <w:color w:val="000000" w:themeColor="text1"/>
          <w:sz w:val="32"/>
          <w:szCs w:val="32"/>
          <w:u w:val="none"/>
          <w14:textFill>
            <w14:solidFill>
              <w14:schemeClr w14:val="tx1"/>
            </w14:solidFill>
          </w14:textFill>
        </w:rPr>
      </w:pPr>
      <w:bookmarkStart w:id="68" w:name="_Toc15396623"/>
      <w:r>
        <w:rPr>
          <w:rFonts w:hint="eastAsia" w:ascii="仿宋_GB2312" w:hAnsi="仿宋_GB2312" w:eastAsia="仿宋_GB2312" w:cs="仿宋_GB2312"/>
          <w:i w:val="0"/>
          <w:iCs w:val="0"/>
          <w:color w:val="000000" w:themeColor="text1"/>
          <w:sz w:val="32"/>
          <w:szCs w:val="32"/>
          <w:u w:val="none"/>
          <w14:textFill>
            <w14:solidFill>
              <w14:schemeClr w14:val="tx1"/>
            </w14:solidFill>
          </w14:textFill>
        </w:rPr>
        <w:t>五、财政拨款支出决算明细表</w:t>
      </w:r>
      <w:bookmarkEnd w:id="68"/>
      <w:bookmarkStart w:id="69" w:name="_Toc15396624"/>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i w:val="0"/>
          <w:iCs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olor w:val="000000" w:themeColor="text1"/>
          <w:sz w:val="32"/>
          <w:szCs w:val="32"/>
          <w:u w:val="none"/>
          <w14:textFill>
            <w14:solidFill>
              <w14:schemeClr w14:val="tx1"/>
            </w14:solidFill>
          </w14:textFill>
        </w:rPr>
        <w:t>六、一般公共预算财政拨款支出决算表</w:t>
      </w:r>
      <w:bookmarkEnd w:id="69"/>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i w:val="0"/>
          <w:iCs w:val="0"/>
          <w:color w:val="000000" w:themeColor="text1"/>
          <w:sz w:val="32"/>
          <w:szCs w:val="32"/>
          <w:u w:val="none"/>
          <w14:textFill>
            <w14:solidFill>
              <w14:schemeClr w14:val="tx1"/>
            </w14:solidFill>
          </w14:textFill>
        </w:rPr>
      </w:pPr>
      <w:bookmarkStart w:id="70" w:name="_Toc15396625"/>
      <w:r>
        <w:rPr>
          <w:rFonts w:hint="eastAsia" w:ascii="仿宋_GB2312" w:hAnsi="仿宋_GB2312" w:eastAsia="仿宋_GB2312" w:cs="仿宋_GB2312"/>
          <w:i w:val="0"/>
          <w:iCs w:val="0"/>
          <w:color w:val="000000" w:themeColor="text1"/>
          <w:sz w:val="32"/>
          <w:szCs w:val="32"/>
          <w:u w:val="none"/>
          <w14:textFill>
            <w14:solidFill>
              <w14:schemeClr w14:val="tx1"/>
            </w14:solidFill>
          </w14:textFill>
        </w:rPr>
        <w:t>七、一般公共预算财政拨款支出决算明细表</w:t>
      </w:r>
      <w:bookmarkEnd w:id="70"/>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i w:val="0"/>
          <w:iCs w:val="0"/>
          <w:color w:val="000000" w:themeColor="text1"/>
          <w:sz w:val="32"/>
          <w:szCs w:val="32"/>
          <w:u w:val="none"/>
          <w14:textFill>
            <w14:solidFill>
              <w14:schemeClr w14:val="tx1"/>
            </w14:solidFill>
          </w14:textFill>
        </w:rPr>
      </w:pPr>
      <w:bookmarkStart w:id="71" w:name="_Toc15396626"/>
      <w:r>
        <w:rPr>
          <w:rFonts w:hint="eastAsia" w:ascii="仿宋_GB2312" w:hAnsi="仿宋_GB2312" w:eastAsia="仿宋_GB2312" w:cs="仿宋_GB2312"/>
          <w:i w:val="0"/>
          <w:iCs w:val="0"/>
          <w:color w:val="000000" w:themeColor="text1"/>
          <w:sz w:val="32"/>
          <w:szCs w:val="32"/>
          <w:u w:val="none"/>
          <w14:textFill>
            <w14:solidFill>
              <w14:schemeClr w14:val="tx1"/>
            </w14:solidFill>
          </w14:textFill>
        </w:rPr>
        <w:t>八、一般公共预算财政拨款基本支出决算表</w:t>
      </w:r>
      <w:bookmarkEnd w:id="71"/>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i w:val="0"/>
          <w:iCs w:val="0"/>
          <w:color w:val="000000" w:themeColor="text1"/>
          <w:sz w:val="32"/>
          <w:szCs w:val="32"/>
          <w:u w:val="none"/>
          <w14:textFill>
            <w14:solidFill>
              <w14:schemeClr w14:val="tx1"/>
            </w14:solidFill>
          </w14:textFill>
        </w:rPr>
      </w:pPr>
      <w:bookmarkStart w:id="72" w:name="_Toc15396627"/>
      <w:r>
        <w:rPr>
          <w:rFonts w:hint="eastAsia" w:ascii="仿宋_GB2312" w:hAnsi="仿宋_GB2312" w:eastAsia="仿宋_GB2312" w:cs="仿宋_GB2312"/>
          <w:i w:val="0"/>
          <w:iCs w:val="0"/>
          <w:color w:val="000000" w:themeColor="text1"/>
          <w:sz w:val="32"/>
          <w:szCs w:val="32"/>
          <w:u w:val="none"/>
          <w14:textFill>
            <w14:solidFill>
              <w14:schemeClr w14:val="tx1"/>
            </w14:solidFill>
          </w14:textFill>
        </w:rPr>
        <w:t>九、一般公共预算财政拨款项目支出决算表</w:t>
      </w:r>
      <w:bookmarkEnd w:id="72"/>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i w:val="0"/>
          <w:iCs w:val="0"/>
          <w:color w:val="000000" w:themeColor="text1"/>
          <w:sz w:val="32"/>
          <w:szCs w:val="32"/>
          <w:u w:val="none"/>
          <w14:textFill>
            <w14:solidFill>
              <w14:schemeClr w14:val="tx1"/>
            </w14:solidFill>
          </w14:textFill>
        </w:rPr>
      </w:pPr>
      <w:bookmarkStart w:id="73" w:name="_Toc15396628"/>
      <w:r>
        <w:rPr>
          <w:rFonts w:hint="eastAsia" w:ascii="仿宋_GB2312" w:hAnsi="仿宋_GB2312" w:eastAsia="仿宋_GB2312" w:cs="仿宋_GB2312"/>
          <w:i w:val="0"/>
          <w:iCs w:val="0"/>
          <w:color w:val="000000" w:themeColor="text1"/>
          <w:sz w:val="32"/>
          <w:szCs w:val="32"/>
          <w:u w:val="none"/>
          <w14:textFill>
            <w14:solidFill>
              <w14:schemeClr w14:val="tx1"/>
            </w14:solidFill>
          </w14:textFill>
        </w:rPr>
        <w:t>十、一般公共预算财政拨款“三公”经费支出决算表</w:t>
      </w:r>
      <w:bookmarkEnd w:id="73"/>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i w:val="0"/>
          <w:iCs w:val="0"/>
          <w:color w:val="000000" w:themeColor="text1"/>
          <w:sz w:val="32"/>
          <w:szCs w:val="32"/>
          <w:u w:val="none"/>
          <w14:textFill>
            <w14:solidFill>
              <w14:schemeClr w14:val="tx1"/>
            </w14:solidFill>
          </w14:textFill>
        </w:rPr>
      </w:pPr>
      <w:bookmarkStart w:id="74" w:name="_Toc15396629"/>
      <w:r>
        <w:rPr>
          <w:rFonts w:hint="eastAsia" w:ascii="仿宋_GB2312" w:hAnsi="仿宋_GB2312" w:eastAsia="仿宋_GB2312" w:cs="仿宋_GB2312"/>
          <w:i w:val="0"/>
          <w:iCs w:val="0"/>
          <w:color w:val="000000" w:themeColor="text1"/>
          <w:sz w:val="32"/>
          <w:szCs w:val="32"/>
          <w:u w:val="none"/>
          <w14:textFill>
            <w14:solidFill>
              <w14:schemeClr w14:val="tx1"/>
            </w14:solidFill>
          </w14:textFill>
        </w:rPr>
        <w:t>十一、政府性基金预算财政拨款收入支出决算表</w:t>
      </w:r>
      <w:bookmarkEnd w:id="74"/>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i w:val="0"/>
          <w:iCs w:val="0"/>
          <w:color w:val="000000" w:themeColor="text1"/>
          <w:sz w:val="32"/>
          <w:szCs w:val="32"/>
          <w:u w:val="none"/>
          <w14:textFill>
            <w14:solidFill>
              <w14:schemeClr w14:val="tx1"/>
            </w14:solidFill>
          </w14:textFill>
        </w:rPr>
      </w:pPr>
      <w:bookmarkStart w:id="75" w:name="_Toc15396630"/>
      <w:r>
        <w:rPr>
          <w:rFonts w:hint="eastAsia" w:ascii="仿宋_GB2312" w:hAnsi="仿宋_GB2312" w:eastAsia="仿宋_GB2312" w:cs="仿宋_GB2312"/>
          <w:i w:val="0"/>
          <w:iCs w:val="0"/>
          <w:color w:val="000000" w:themeColor="text1"/>
          <w:sz w:val="32"/>
          <w:szCs w:val="32"/>
          <w:u w:val="none"/>
          <w14:textFill>
            <w14:solidFill>
              <w14:schemeClr w14:val="tx1"/>
            </w14:solidFill>
          </w14:textFill>
        </w:rPr>
        <w:t>十二、政府性基金预算财政拨款“三公”经费支出决算表</w:t>
      </w:r>
      <w:bookmarkEnd w:id="75"/>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i w:val="0"/>
          <w:iCs w:val="0"/>
          <w:color w:val="000000" w:themeColor="text1"/>
          <w:sz w:val="32"/>
          <w:szCs w:val="32"/>
          <w:u w:val="none"/>
          <w14:textFill>
            <w14:solidFill>
              <w14:schemeClr w14:val="tx1"/>
            </w14:solidFill>
          </w14:textFill>
        </w:rPr>
      </w:pPr>
      <w:bookmarkStart w:id="76" w:name="_Toc15396631"/>
      <w:r>
        <w:rPr>
          <w:rFonts w:hint="eastAsia" w:ascii="仿宋_GB2312" w:hAnsi="仿宋_GB2312" w:eastAsia="仿宋_GB2312" w:cs="仿宋_GB2312"/>
          <w:i w:val="0"/>
          <w:iCs w:val="0"/>
          <w:color w:val="000000" w:themeColor="text1"/>
          <w:sz w:val="32"/>
          <w:szCs w:val="32"/>
          <w:u w:val="none"/>
          <w14:textFill>
            <w14:solidFill>
              <w14:schemeClr w14:val="tx1"/>
            </w14:solidFill>
          </w14:textFill>
        </w:rPr>
        <w:t>十三、国有资本经营预算</w:t>
      </w:r>
      <w:r>
        <w:rPr>
          <w:rFonts w:hint="eastAsia" w:ascii="仿宋_GB2312" w:hAnsi="仿宋_GB2312" w:eastAsia="仿宋_GB2312" w:cs="仿宋_GB2312"/>
          <w:i w:val="0"/>
          <w:iCs w:val="0"/>
          <w:color w:val="000000" w:themeColor="text1"/>
          <w:sz w:val="32"/>
          <w:szCs w:val="32"/>
          <w:u w:val="none"/>
          <w:lang w:eastAsia="zh-CN"/>
          <w14:textFill>
            <w14:solidFill>
              <w14:schemeClr w14:val="tx1"/>
            </w14:solidFill>
          </w14:textFill>
        </w:rPr>
        <w:t>财政拨款收入</w:t>
      </w:r>
      <w:r>
        <w:rPr>
          <w:rFonts w:hint="eastAsia" w:ascii="仿宋_GB2312" w:hAnsi="仿宋_GB2312" w:eastAsia="仿宋_GB2312" w:cs="仿宋_GB2312"/>
          <w:i w:val="0"/>
          <w:iCs w:val="0"/>
          <w:color w:val="000000" w:themeColor="text1"/>
          <w:sz w:val="32"/>
          <w:szCs w:val="32"/>
          <w:u w:val="none"/>
          <w14:textFill>
            <w14:solidFill>
              <w14:schemeClr w14:val="tx1"/>
            </w14:solidFill>
          </w14:textFill>
        </w:rPr>
        <w:t>支出决算表</w:t>
      </w:r>
      <w:bookmarkEnd w:id="76"/>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i w:val="0"/>
          <w:iCs w:val="0"/>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i w:val="0"/>
          <w:iCs w:val="0"/>
          <w:color w:val="000000" w:themeColor="text1"/>
          <w:sz w:val="32"/>
          <w:szCs w:val="32"/>
          <w:u w:val="none"/>
          <w:lang w:eastAsia="zh-CN"/>
          <w14:textFill>
            <w14:solidFill>
              <w14:schemeClr w14:val="tx1"/>
            </w14:solidFill>
          </w14:textFill>
        </w:rPr>
        <w:t>十四、国有资本经营预算财政拨款支出决算表</w:t>
      </w:r>
    </w:p>
    <w:sectPr>
      <w:footerReference r:id="rId5" w:type="first"/>
      <w:footerReference r:id="rId4" w:type="default"/>
      <w:pgSz w:w="11906" w:h="16838"/>
      <w:pgMar w:top="1701" w:right="1474" w:bottom="1701" w:left="1587" w:header="851" w:footer="1417"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rPr>
        <w:sz w:val="18"/>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1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30F29"/>
    <w:rsid w:val="005664BB"/>
    <w:rsid w:val="00566FFA"/>
    <w:rsid w:val="0057481D"/>
    <w:rsid w:val="0058486E"/>
    <w:rsid w:val="00585B33"/>
    <w:rsid w:val="0059014D"/>
    <w:rsid w:val="00592415"/>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C6DC4"/>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01960"/>
    <w:rsid w:val="00D114F0"/>
    <w:rsid w:val="00D11C8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66191"/>
    <w:rsid w:val="01B115BD"/>
    <w:rsid w:val="021A5203"/>
    <w:rsid w:val="02352E07"/>
    <w:rsid w:val="03756060"/>
    <w:rsid w:val="03842D9A"/>
    <w:rsid w:val="03D1128A"/>
    <w:rsid w:val="03FC47FD"/>
    <w:rsid w:val="045B03C1"/>
    <w:rsid w:val="046A3080"/>
    <w:rsid w:val="05155848"/>
    <w:rsid w:val="05B82126"/>
    <w:rsid w:val="05FD206B"/>
    <w:rsid w:val="062B31A6"/>
    <w:rsid w:val="06350F70"/>
    <w:rsid w:val="066E0107"/>
    <w:rsid w:val="06A44B90"/>
    <w:rsid w:val="06C45D5A"/>
    <w:rsid w:val="07160CCF"/>
    <w:rsid w:val="07996F6E"/>
    <w:rsid w:val="07E96300"/>
    <w:rsid w:val="07FC402C"/>
    <w:rsid w:val="0800173B"/>
    <w:rsid w:val="08143027"/>
    <w:rsid w:val="08BF01D7"/>
    <w:rsid w:val="08D830A8"/>
    <w:rsid w:val="0964066A"/>
    <w:rsid w:val="096C4DBC"/>
    <w:rsid w:val="098A16DB"/>
    <w:rsid w:val="098F7899"/>
    <w:rsid w:val="0A2032A3"/>
    <w:rsid w:val="0A890AB2"/>
    <w:rsid w:val="0B01001C"/>
    <w:rsid w:val="0B104736"/>
    <w:rsid w:val="0BD118FD"/>
    <w:rsid w:val="0CFE6A37"/>
    <w:rsid w:val="0D2E30E1"/>
    <w:rsid w:val="0D462D79"/>
    <w:rsid w:val="0E5F014E"/>
    <w:rsid w:val="0F0C042B"/>
    <w:rsid w:val="0F4A70DC"/>
    <w:rsid w:val="0FAD216C"/>
    <w:rsid w:val="101860EC"/>
    <w:rsid w:val="108C1E07"/>
    <w:rsid w:val="109E2485"/>
    <w:rsid w:val="10B71335"/>
    <w:rsid w:val="10C055FF"/>
    <w:rsid w:val="10DB68B6"/>
    <w:rsid w:val="11024E17"/>
    <w:rsid w:val="110370DF"/>
    <w:rsid w:val="114D17F8"/>
    <w:rsid w:val="118107EC"/>
    <w:rsid w:val="122F45FC"/>
    <w:rsid w:val="124D5793"/>
    <w:rsid w:val="12A73667"/>
    <w:rsid w:val="131B41D2"/>
    <w:rsid w:val="13284E51"/>
    <w:rsid w:val="13877440"/>
    <w:rsid w:val="13A70B4D"/>
    <w:rsid w:val="13B51A73"/>
    <w:rsid w:val="13D50BC4"/>
    <w:rsid w:val="140D6F6A"/>
    <w:rsid w:val="14AB6D63"/>
    <w:rsid w:val="15240889"/>
    <w:rsid w:val="15BC79B5"/>
    <w:rsid w:val="160D3023"/>
    <w:rsid w:val="160F7736"/>
    <w:rsid w:val="16153B14"/>
    <w:rsid w:val="1637127A"/>
    <w:rsid w:val="16BB723D"/>
    <w:rsid w:val="17107727"/>
    <w:rsid w:val="17181FE0"/>
    <w:rsid w:val="17964C74"/>
    <w:rsid w:val="1856298B"/>
    <w:rsid w:val="193C4DA9"/>
    <w:rsid w:val="19816D5B"/>
    <w:rsid w:val="19CB5FAC"/>
    <w:rsid w:val="1A5671F8"/>
    <w:rsid w:val="1AA42197"/>
    <w:rsid w:val="1B21165E"/>
    <w:rsid w:val="1BE8440E"/>
    <w:rsid w:val="1C8256DA"/>
    <w:rsid w:val="1CED0853"/>
    <w:rsid w:val="1D155CEE"/>
    <w:rsid w:val="1D420728"/>
    <w:rsid w:val="1DD81C16"/>
    <w:rsid w:val="1DF146C2"/>
    <w:rsid w:val="1E123ED7"/>
    <w:rsid w:val="1E3D3624"/>
    <w:rsid w:val="1F2C43A7"/>
    <w:rsid w:val="1FBE636D"/>
    <w:rsid w:val="1FE778E8"/>
    <w:rsid w:val="20BA4855"/>
    <w:rsid w:val="216E37C3"/>
    <w:rsid w:val="219A7554"/>
    <w:rsid w:val="22347550"/>
    <w:rsid w:val="22503C4E"/>
    <w:rsid w:val="22573D22"/>
    <w:rsid w:val="22B10EDF"/>
    <w:rsid w:val="22BB2671"/>
    <w:rsid w:val="23116F6E"/>
    <w:rsid w:val="23860B96"/>
    <w:rsid w:val="23CA7EA6"/>
    <w:rsid w:val="23DA6D76"/>
    <w:rsid w:val="240371BF"/>
    <w:rsid w:val="25CB6BBD"/>
    <w:rsid w:val="260D7335"/>
    <w:rsid w:val="26145695"/>
    <w:rsid w:val="26F47DC4"/>
    <w:rsid w:val="27331595"/>
    <w:rsid w:val="27437288"/>
    <w:rsid w:val="27632FBB"/>
    <w:rsid w:val="283605DD"/>
    <w:rsid w:val="287B564B"/>
    <w:rsid w:val="28E7467F"/>
    <w:rsid w:val="29070FE7"/>
    <w:rsid w:val="298B17AD"/>
    <w:rsid w:val="29FD04D3"/>
    <w:rsid w:val="29FF0370"/>
    <w:rsid w:val="2A7652DD"/>
    <w:rsid w:val="2ADF6CAA"/>
    <w:rsid w:val="2BAD1A25"/>
    <w:rsid w:val="2C837822"/>
    <w:rsid w:val="2C8A61B5"/>
    <w:rsid w:val="2CE21363"/>
    <w:rsid w:val="2D2A4A7D"/>
    <w:rsid w:val="2D867C5E"/>
    <w:rsid w:val="2DF04E50"/>
    <w:rsid w:val="2E270411"/>
    <w:rsid w:val="2E9414BB"/>
    <w:rsid w:val="2F780CCF"/>
    <w:rsid w:val="319B55D3"/>
    <w:rsid w:val="319F7F4E"/>
    <w:rsid w:val="326A0088"/>
    <w:rsid w:val="3274706C"/>
    <w:rsid w:val="32BA29C4"/>
    <w:rsid w:val="32BC5645"/>
    <w:rsid w:val="32D9558D"/>
    <w:rsid w:val="32E42DE3"/>
    <w:rsid w:val="32F57981"/>
    <w:rsid w:val="334A7D51"/>
    <w:rsid w:val="340A2F80"/>
    <w:rsid w:val="34325E81"/>
    <w:rsid w:val="3481243A"/>
    <w:rsid w:val="34FE79ED"/>
    <w:rsid w:val="35B31B5D"/>
    <w:rsid w:val="36181FF0"/>
    <w:rsid w:val="362E6301"/>
    <w:rsid w:val="36AA5135"/>
    <w:rsid w:val="36B33246"/>
    <w:rsid w:val="36C3337E"/>
    <w:rsid w:val="36C71DBD"/>
    <w:rsid w:val="37085D29"/>
    <w:rsid w:val="3724079A"/>
    <w:rsid w:val="3763171D"/>
    <w:rsid w:val="37717DB2"/>
    <w:rsid w:val="377356AE"/>
    <w:rsid w:val="37D1007F"/>
    <w:rsid w:val="37DA192F"/>
    <w:rsid w:val="37E16F03"/>
    <w:rsid w:val="37ED66A7"/>
    <w:rsid w:val="38E2510A"/>
    <w:rsid w:val="393D5A7C"/>
    <w:rsid w:val="395660EE"/>
    <w:rsid w:val="395B1ADD"/>
    <w:rsid w:val="39CA1DC5"/>
    <w:rsid w:val="39E86541"/>
    <w:rsid w:val="3A3B2421"/>
    <w:rsid w:val="3B080937"/>
    <w:rsid w:val="3CC77D2B"/>
    <w:rsid w:val="3CCD69DE"/>
    <w:rsid w:val="3D41092F"/>
    <w:rsid w:val="3D7119B7"/>
    <w:rsid w:val="3D98207C"/>
    <w:rsid w:val="3DD37B69"/>
    <w:rsid w:val="3E0E46D6"/>
    <w:rsid w:val="3E1B7523"/>
    <w:rsid w:val="3EE131FC"/>
    <w:rsid w:val="3F006FC6"/>
    <w:rsid w:val="3F193E9B"/>
    <w:rsid w:val="3F3B3DD6"/>
    <w:rsid w:val="3F6C1DF6"/>
    <w:rsid w:val="40671B48"/>
    <w:rsid w:val="411839DB"/>
    <w:rsid w:val="41F47AF2"/>
    <w:rsid w:val="43C82969"/>
    <w:rsid w:val="441409FB"/>
    <w:rsid w:val="443A0BC4"/>
    <w:rsid w:val="44663C7E"/>
    <w:rsid w:val="44707C69"/>
    <w:rsid w:val="44951C48"/>
    <w:rsid w:val="44E268DA"/>
    <w:rsid w:val="45C115E0"/>
    <w:rsid w:val="462C7351"/>
    <w:rsid w:val="46525319"/>
    <w:rsid w:val="469C613A"/>
    <w:rsid w:val="46D54989"/>
    <w:rsid w:val="46E709CA"/>
    <w:rsid w:val="470549C9"/>
    <w:rsid w:val="4742057D"/>
    <w:rsid w:val="47635E49"/>
    <w:rsid w:val="47761D42"/>
    <w:rsid w:val="47FF7A31"/>
    <w:rsid w:val="491F269A"/>
    <w:rsid w:val="49704BC6"/>
    <w:rsid w:val="4A627F82"/>
    <w:rsid w:val="4AF73239"/>
    <w:rsid w:val="4B4F25DA"/>
    <w:rsid w:val="4BD03F83"/>
    <w:rsid w:val="4BE068DB"/>
    <w:rsid w:val="4C2551C3"/>
    <w:rsid w:val="4CEF0AE7"/>
    <w:rsid w:val="4D577224"/>
    <w:rsid w:val="4DDB50B7"/>
    <w:rsid w:val="4EAB630A"/>
    <w:rsid w:val="4ECE2238"/>
    <w:rsid w:val="4F48701A"/>
    <w:rsid w:val="4F5C62D9"/>
    <w:rsid w:val="4F6E5C32"/>
    <w:rsid w:val="5016050B"/>
    <w:rsid w:val="50A34C7A"/>
    <w:rsid w:val="50F07500"/>
    <w:rsid w:val="51625B9F"/>
    <w:rsid w:val="51BC3032"/>
    <w:rsid w:val="51DF2E42"/>
    <w:rsid w:val="52BD4606"/>
    <w:rsid w:val="545B3F72"/>
    <w:rsid w:val="5491147B"/>
    <w:rsid w:val="550D3E3E"/>
    <w:rsid w:val="554312E0"/>
    <w:rsid w:val="55606DF8"/>
    <w:rsid w:val="565217CB"/>
    <w:rsid w:val="573B3058"/>
    <w:rsid w:val="57424646"/>
    <w:rsid w:val="58E24F7F"/>
    <w:rsid w:val="59406101"/>
    <w:rsid w:val="595839F5"/>
    <w:rsid w:val="59916267"/>
    <w:rsid w:val="59E93406"/>
    <w:rsid w:val="59ED50DF"/>
    <w:rsid w:val="59F57A6F"/>
    <w:rsid w:val="59FA1D86"/>
    <w:rsid w:val="5A9D7B17"/>
    <w:rsid w:val="5AEE2D46"/>
    <w:rsid w:val="5AF92295"/>
    <w:rsid w:val="5BC57ECD"/>
    <w:rsid w:val="5BD47686"/>
    <w:rsid w:val="5BEE2B88"/>
    <w:rsid w:val="5CB707FA"/>
    <w:rsid w:val="5CD71FC4"/>
    <w:rsid w:val="5D295AE9"/>
    <w:rsid w:val="5D553A12"/>
    <w:rsid w:val="5DE70EA6"/>
    <w:rsid w:val="5E8E26B1"/>
    <w:rsid w:val="5E956AF7"/>
    <w:rsid w:val="5EAD1638"/>
    <w:rsid w:val="5EDF5394"/>
    <w:rsid w:val="5EFC0D99"/>
    <w:rsid w:val="5F9D70DB"/>
    <w:rsid w:val="5FC346A5"/>
    <w:rsid w:val="616E7B24"/>
    <w:rsid w:val="61F37851"/>
    <w:rsid w:val="626E6D20"/>
    <w:rsid w:val="62C3565F"/>
    <w:rsid w:val="63054711"/>
    <w:rsid w:val="632B3898"/>
    <w:rsid w:val="63A23B72"/>
    <w:rsid w:val="63AC0429"/>
    <w:rsid w:val="63F91135"/>
    <w:rsid w:val="64AD6AAD"/>
    <w:rsid w:val="64C111DC"/>
    <w:rsid w:val="64E80594"/>
    <w:rsid w:val="6569416C"/>
    <w:rsid w:val="656C69F2"/>
    <w:rsid w:val="66F47974"/>
    <w:rsid w:val="6724516A"/>
    <w:rsid w:val="676873B3"/>
    <w:rsid w:val="67DC32C6"/>
    <w:rsid w:val="68576D46"/>
    <w:rsid w:val="696B7ABC"/>
    <w:rsid w:val="6A0D56DF"/>
    <w:rsid w:val="6A4F0544"/>
    <w:rsid w:val="6A8D3C09"/>
    <w:rsid w:val="6AB02700"/>
    <w:rsid w:val="6ACB0655"/>
    <w:rsid w:val="6ACD4F1A"/>
    <w:rsid w:val="6B940AF8"/>
    <w:rsid w:val="6BD43CBD"/>
    <w:rsid w:val="6C4A05C8"/>
    <w:rsid w:val="6CA64A4E"/>
    <w:rsid w:val="6CB43C5D"/>
    <w:rsid w:val="6D0D363E"/>
    <w:rsid w:val="6D604217"/>
    <w:rsid w:val="6DEA201F"/>
    <w:rsid w:val="6E7E3605"/>
    <w:rsid w:val="6EC010C2"/>
    <w:rsid w:val="6EF87450"/>
    <w:rsid w:val="6EFB6C28"/>
    <w:rsid w:val="6F17222B"/>
    <w:rsid w:val="6F2424F9"/>
    <w:rsid w:val="6F303052"/>
    <w:rsid w:val="6F516E74"/>
    <w:rsid w:val="6FF5CC65"/>
    <w:rsid w:val="70995CAA"/>
    <w:rsid w:val="70FE6829"/>
    <w:rsid w:val="711F791C"/>
    <w:rsid w:val="7147222A"/>
    <w:rsid w:val="715C0E4B"/>
    <w:rsid w:val="718D21B3"/>
    <w:rsid w:val="71A07CA5"/>
    <w:rsid w:val="71DD023A"/>
    <w:rsid w:val="720B42B4"/>
    <w:rsid w:val="722A79A0"/>
    <w:rsid w:val="726C1A23"/>
    <w:rsid w:val="72734D90"/>
    <w:rsid w:val="72C21441"/>
    <w:rsid w:val="73654AFB"/>
    <w:rsid w:val="73AD73D5"/>
    <w:rsid w:val="73B6EB34"/>
    <w:rsid w:val="73DF3F0F"/>
    <w:rsid w:val="73E00345"/>
    <w:rsid w:val="73F74224"/>
    <w:rsid w:val="7407632A"/>
    <w:rsid w:val="746933C2"/>
    <w:rsid w:val="749C5E36"/>
    <w:rsid w:val="74C87CFF"/>
    <w:rsid w:val="75595A4F"/>
    <w:rsid w:val="755C39B6"/>
    <w:rsid w:val="75B26AE0"/>
    <w:rsid w:val="75BB4A7B"/>
    <w:rsid w:val="761B561A"/>
    <w:rsid w:val="765F6A81"/>
    <w:rsid w:val="76A773ED"/>
    <w:rsid w:val="775F3B04"/>
    <w:rsid w:val="77CB1259"/>
    <w:rsid w:val="78212D89"/>
    <w:rsid w:val="782F5CB6"/>
    <w:rsid w:val="786869B4"/>
    <w:rsid w:val="78884724"/>
    <w:rsid w:val="78DB053D"/>
    <w:rsid w:val="79007A49"/>
    <w:rsid w:val="79BD1EB5"/>
    <w:rsid w:val="79C23A48"/>
    <w:rsid w:val="79E0271A"/>
    <w:rsid w:val="79EE5BA4"/>
    <w:rsid w:val="7A894339"/>
    <w:rsid w:val="7B736703"/>
    <w:rsid w:val="7B7D72C5"/>
    <w:rsid w:val="7BB479CD"/>
    <w:rsid w:val="7CB56C78"/>
    <w:rsid w:val="7CE4342C"/>
    <w:rsid w:val="7E1030FC"/>
    <w:rsid w:val="7E3A00DA"/>
    <w:rsid w:val="7E646D27"/>
    <w:rsid w:val="7EA502D3"/>
    <w:rsid w:val="7EEF11D3"/>
    <w:rsid w:val="7EF125A4"/>
    <w:rsid w:val="7F2A335D"/>
    <w:rsid w:val="7F577687"/>
    <w:rsid w:val="7F8D331E"/>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3"/>
    <w:qFormat/>
    <w:uiPriority w:val="99"/>
    <w:pPr>
      <w:spacing w:beforeLines="30"/>
    </w:pPr>
    <w:rPr>
      <w:rFonts w:ascii="仿宋_GB2312" w:eastAsia="仿宋_GB2312"/>
      <w:kern w:val="0"/>
      <w:sz w:val="30"/>
    </w:rPr>
  </w:style>
  <w:style w:type="paragraph" w:styleId="6">
    <w:name w:val="Body Text Indent"/>
    <w:basedOn w:val="1"/>
    <w:next w:val="7"/>
    <w:qFormat/>
    <w:uiPriority w:val="0"/>
    <w:pPr>
      <w:tabs>
        <w:tab w:val="left" w:pos="-540"/>
      </w:tabs>
      <w:ind w:firstLine="420" w:firstLineChars="200"/>
    </w:pPr>
  </w:style>
  <w:style w:type="paragraph" w:styleId="7">
    <w:name w:val="Body Text First Indent 2"/>
    <w:basedOn w:val="6"/>
    <w:next w:val="1"/>
    <w:semiHidden/>
    <w:qFormat/>
    <w:uiPriority w:val="99"/>
    <w:pPr>
      <w:ind w:firstLine="42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29"/>
    <w:semiHidden/>
    <w:unhideWhenUsed/>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1"/>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10"/>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5"/>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2"/>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9"/>
    <w:semiHidden/>
    <w:qFormat/>
    <w:uiPriority w:val="99"/>
    <w:rPr>
      <w:rFonts w:ascii="Times New Roman" w:hAnsi="Times New Roman"/>
      <w:kern w:val="2"/>
      <w:sz w:val="18"/>
      <w:szCs w:val="18"/>
    </w:rPr>
  </w:style>
  <w:style w:type="character" w:customStyle="1" w:styleId="30">
    <w:name w:val="标题 3 Char"/>
    <w:basedOn w:val="15"/>
    <w:link w:val="4"/>
    <w:qFormat/>
    <w:uiPriority w:val="9"/>
    <w:rPr>
      <w:rFonts w:ascii="Times New Roman" w:hAnsi="Times New Roman"/>
      <w:b/>
      <w:bCs/>
      <w:kern w:val="2"/>
      <w:sz w:val="32"/>
      <w:szCs w:val="32"/>
    </w:rPr>
  </w:style>
  <w:style w:type="paragraph" w:customStyle="1" w:styleId="31">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正文11"/>
    <w:next w:val="33"/>
    <w:qFormat/>
    <w:uiPriority w:val="0"/>
    <w:pPr>
      <w:widowControl w:val="0"/>
      <w:jc w:val="both"/>
    </w:pPr>
    <w:rPr>
      <w:rFonts w:ascii="Calibri" w:hAnsi="Calibri" w:eastAsia="宋体" w:cs="Times New Roman"/>
      <w:lang w:val="en-US" w:eastAsia="zh-CN" w:bidi="hi-IN"/>
    </w:rPr>
  </w:style>
  <w:style w:type="paragraph" w:customStyle="1" w:styleId="33">
    <w:name w:val="正文文本11"/>
    <w:basedOn w:val="32"/>
    <w:qFormat/>
    <w:uiPriority w:val="99"/>
    <w:rPr>
      <w:rFonts w:ascii="仿宋_GB2312" w:hAnsi="仿宋_GB2312" w:eastAsia="仿宋_GB2312"/>
      <w:kern w:val="0"/>
      <w:sz w:val="30"/>
    </w:rPr>
  </w:style>
  <w:style w:type="character" w:customStyle="1" w:styleId="34">
    <w:name w:val="要点1"/>
    <w:qFormat/>
    <w:uiPriority w:val="99"/>
    <w:rPr>
      <w:b/>
    </w:rPr>
  </w:style>
  <w:style w:type="paragraph" w:customStyle="1" w:styleId="35">
    <w:name w:val="正文1"/>
    <w:next w:val="3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文本1"/>
    <w:basedOn w:val="35"/>
    <w:qFormat/>
    <w:uiPriority w:val="99"/>
    <w:rPr>
      <w:rFonts w:ascii="仿宋_GB2312" w:hAnsi="仿宋_GB2312" w:eastAsia="仿宋_GB2312"/>
      <w:kern w:val="0"/>
      <w:sz w:val="30"/>
    </w:rPr>
  </w:style>
  <w:style w:type="character" w:customStyle="1" w:styleId="37">
    <w:name w:val="font11"/>
    <w:basedOn w:val="15"/>
    <w:qFormat/>
    <w:uiPriority w:val="0"/>
    <w:rPr>
      <w:rFonts w:ascii="Arial" w:hAnsi="Arial" w:cs="Arial"/>
      <w:color w:val="000000"/>
      <w:sz w:val="20"/>
      <w:szCs w:val="20"/>
      <w:u w:val="none"/>
    </w:rPr>
  </w:style>
  <w:style w:type="character" w:customStyle="1" w:styleId="38">
    <w:name w:val="font21"/>
    <w:basedOn w:val="15"/>
    <w:qFormat/>
    <w:uiPriority w:val="0"/>
    <w:rPr>
      <w:rFonts w:hint="eastAsia" w:ascii="宋体" w:hAnsi="宋体" w:eastAsia="宋体" w:cs="宋体"/>
      <w:color w:val="000000"/>
      <w:sz w:val="20"/>
      <w:szCs w:val="20"/>
      <w:u w:val="none"/>
    </w:rPr>
  </w:style>
  <w:style w:type="paragraph" w:customStyle="1" w:styleId="39">
    <w:name w:val="目录 111"/>
    <w:basedOn w:val="32"/>
    <w:next w:val="32"/>
    <w:unhideWhenUsed/>
    <w:qFormat/>
    <w:uiPriority w:val="39"/>
    <w:pPr>
      <w:tabs>
        <w:tab w:val="right" w:leader="dot" w:pos="8296"/>
      </w:tabs>
      <w:jc w:val="center"/>
    </w:pPr>
    <w:rPr>
      <w:rFonts w:ascii="仿宋" w:hAnsi="仿宋" w:eastAsia="仿宋"/>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G:\2022&#24180;&#36130;&#21153;\&#26085;&#24120;&#24037;&#20316;\2021&#24180;&#20915;&#31639;&#25253;&#36865;&#36130;&#25919;&#21381;\2021&#24180;&#20915;&#31639;&#20844;&#24320;\2021&#24180;&#24230;&#22235;&#24029;&#30465;&#21496;&#27861;&#21381;&#37096;&#38376;&#20915;&#31639;&#20844;&#24320;&#65288;8.29&#23448;&#32593;&#20844;&#24320;&#65289;\2021&#24180;&#20915;&#31639;&#20844;&#24320;&#22270;&#34920;&#65288;&#21496;&#27861;&#21381;&#37096;&#38376;&#6528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6.17\2021&#24180;&#20915;&#31639;&#22270;&#34920;&#65288;&#21496;&#27861;&#21381;&#37096;&#38376;&#6528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2021&#24180;&#20915;&#31639;&#20844;&#24320;\2021&#24180;&#20915;&#31639;&#22270;&#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2022&#24180;&#36130;&#21153;\&#26085;&#24120;&#24037;&#20316;\2021&#24180;&#20915;&#31639;&#25253;&#36865;&#36130;&#25919;&#21381;\2021&#24180;&#20915;&#31639;&#20844;&#24320;\2021&#24180;&#24230;&#22235;&#24029;&#30465;&#21496;&#27861;&#21381;&#37096;&#38376;&#20915;&#31639;&#20844;&#24320;&#65288;8.29&#23448;&#32593;&#20844;&#24320;&#65289;\2021&#24180;&#20915;&#31639;&#20844;&#24320;&#22270;&#34920;&#65288;&#21496;&#27861;&#21381;&#37096;&#38376;&#6528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esktop\2021&#24180;&#20915;&#31639;&#20844;&#24320;\2021&#24180;&#20915;&#31639;&#22270;&#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esktop\2021&#24180;&#20915;&#31639;&#20844;&#24320;\2021&#24180;&#20915;&#31639;&#22270;&#349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Desktop\2021&#24180;&#20915;&#31639;&#22270;&#34920;&#65288;&#20915;&#31639;&#20844;&#24320;&#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'[2021年决算公开图表（司法厅部门）.xlsx]Sheet1'!$A$1:$B$1</c:f>
              <c:strCache>
                <c:ptCount val="2"/>
                <c:pt idx="0">
                  <c:v>2021年（万元）</c:v>
                </c:pt>
                <c:pt idx="1">
                  <c:v>2020年（万元）</c:v>
                </c:pt>
              </c:strCache>
            </c:strRef>
          </c:cat>
          <c:val>
            <c:numRef>
              <c:f>'[2021年决算公开图表（司法厅部门）.xlsx]Sheet1'!$A$2:$B$2</c:f>
              <c:numCache>
                <c:formatCode>General</c:formatCode>
                <c:ptCount val="2"/>
                <c:pt idx="0">
                  <c:v>27328.74</c:v>
                </c:pt>
                <c:pt idx="1">
                  <c:v>21263.03</c:v>
                </c:pt>
              </c:numCache>
            </c:numRef>
          </c:val>
        </c:ser>
        <c:dLbls>
          <c:showLegendKey val="0"/>
          <c:showVal val="1"/>
          <c:showCatName val="0"/>
          <c:showSerName val="0"/>
          <c:showPercent val="0"/>
          <c:showBubbleSize val="0"/>
        </c:dLbls>
        <c:gapWidth val="150"/>
        <c:axId val="93145344"/>
        <c:axId val="93159424"/>
      </c:barChart>
      <c:catAx>
        <c:axId val="9314534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3159424"/>
        <c:crosses val="autoZero"/>
        <c:auto val="1"/>
        <c:lblAlgn val="ctr"/>
        <c:lblOffset val="100"/>
        <c:noMultiLvlLbl val="0"/>
      </c:catAx>
      <c:valAx>
        <c:axId val="93159424"/>
        <c:scaling>
          <c:orientation val="minMax"/>
        </c:scaling>
        <c:delete val="1"/>
        <c:axPos val="l"/>
        <c:majorGridlines/>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314534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'[2021年决算图表（司法厅部门）.xlsx]图4'!$A$1:$A$4</c:f>
              <c:strCache>
                <c:ptCount val="4"/>
                <c:pt idx="0">
                  <c:v>2021年收入情况</c:v>
                </c:pt>
                <c:pt idx="1">
                  <c:v>一般公共预算财政拨款收入</c:v>
                </c:pt>
                <c:pt idx="2">
                  <c:v>其他收入</c:v>
                </c:pt>
                <c:pt idx="3">
                  <c:v>合计</c:v>
                </c:pt>
              </c:strCache>
            </c:strRef>
          </c:cat>
          <c:val>
            <c:numRef>
              <c:f>'[2021年决算图表（司法厅部门）.xlsx]图4'!$B$1:$B$4</c:f>
              <c:numCache>
                <c:formatCode>General</c:formatCode>
                <c:ptCount val="4"/>
                <c:pt idx="1">
                  <c:v>24240.1</c:v>
                </c:pt>
                <c:pt idx="2">
                  <c:v>3088.64</c:v>
                </c:pt>
                <c:pt idx="3">
                  <c:v>27328.74</c:v>
                </c:pt>
              </c:numCache>
            </c:numRef>
          </c:val>
        </c:ser>
        <c:dLbls>
          <c:showLegendKey val="0"/>
          <c:showVal val="1"/>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t>202</a:t>
            </a:r>
            <a:r>
              <a:rPr lang="en-US" altLang="zh-CN"/>
              <a:t>1</a:t>
            </a:r>
            <a:r>
              <a:t>年支出情况 金额(万元)</a:t>
            </a:r>
          </a:p>
        </c:rich>
      </c:tx>
      <c:layout/>
      <c:overlay val="0"/>
    </c:title>
    <c:autoTitleDeleted val="0"/>
    <c:plotArea>
      <c:layout/>
      <c:pieChart>
        <c:varyColors val="1"/>
        <c:ser>
          <c:idx val="0"/>
          <c:order val="0"/>
          <c:tx>
            <c:strRef>
              <c:f>[2021年决算图表.xlsx]Sheet3!$B$1:$B$2</c:f>
              <c:strCache>
                <c:ptCount val="1"/>
                <c:pt idx="0">
                  <c:v>2020年支出情况 金额(万元)</c:v>
                </c:pt>
              </c:strCache>
            </c:strRef>
          </c:tx>
          <c:explosion val="25"/>
          <c:dPt>
            <c:idx val="0"/>
            <c:bubble3D val="0"/>
          </c:dPt>
          <c:dPt>
            <c:idx val="1"/>
            <c:bubble3D val="0"/>
          </c:dPt>
          <c:dPt>
            <c:idx val="2"/>
            <c:bubble3D val="0"/>
            <c:explosion val="27"/>
          </c:dPt>
          <c:dLbls>
            <c:delete val="1"/>
          </c:dLbls>
          <c:cat>
            <c:strRef>
              <c:f>[2021年决算图表.xlsx]Sheet3!$A$3:$A$5</c:f>
              <c:strCache>
                <c:ptCount val="3"/>
                <c:pt idx="0">
                  <c:v>基本支出</c:v>
                </c:pt>
                <c:pt idx="1">
                  <c:v>项目支出</c:v>
                </c:pt>
                <c:pt idx="2">
                  <c:v>合计</c:v>
                </c:pt>
              </c:strCache>
            </c:strRef>
          </c:cat>
          <c:val>
            <c:numRef>
              <c:f>[2021年决算图表.xlsx]Sheet3!$B$3:$B$5</c:f>
              <c:numCache>
                <c:formatCode>General</c:formatCode>
                <c:ptCount val="3"/>
                <c:pt idx="0">
                  <c:v>15382.24</c:v>
                </c:pt>
                <c:pt idx="1">
                  <c:v>11946.5</c:v>
                </c:pt>
                <c:pt idx="2">
                  <c:v>27328.74</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'[2021年决算公开图表（司法厅部门）.xlsx]Sheet4'!$B$1:$B$3</c:f>
              <c:strCache>
                <c:ptCount val="1"/>
                <c:pt idx="0">
                  <c:v>财政拨款收、支决算总计变动情况 金额(万元)</c:v>
                </c:pt>
              </c:strCache>
            </c:strRef>
          </c:tx>
          <c:invertIfNegative val="0"/>
          <c:dLbls>
            <c:delete val="1"/>
          </c:dLbls>
          <c:cat>
            <c:strRef>
              <c:f>'[2021年决算公开图表（司法厅部门）.xlsx]Sheet4'!$A$4:$A$5</c:f>
              <c:strCache>
                <c:ptCount val="2"/>
                <c:pt idx="0">
                  <c:v>2020年</c:v>
                </c:pt>
                <c:pt idx="1">
                  <c:v>2021年</c:v>
                </c:pt>
              </c:strCache>
            </c:strRef>
          </c:cat>
          <c:val>
            <c:numRef>
              <c:f>'[2021年决算公开图表（司法厅部门）.xlsx]Sheet4'!$B$4:$B$5</c:f>
              <c:numCache>
                <c:formatCode>General</c:formatCode>
                <c:ptCount val="2"/>
                <c:pt idx="0">
                  <c:v>21263.04</c:v>
                </c:pt>
                <c:pt idx="1">
                  <c:v>27328.74</c:v>
                </c:pt>
              </c:numCache>
            </c:numRef>
          </c:val>
        </c:ser>
        <c:dLbls>
          <c:showLegendKey val="0"/>
          <c:showVal val="0"/>
          <c:showCatName val="0"/>
          <c:showSerName val="0"/>
          <c:showPercent val="0"/>
          <c:showBubbleSize val="0"/>
        </c:dLbls>
        <c:gapWidth val="150"/>
        <c:axId val="96535680"/>
        <c:axId val="96537216"/>
      </c:barChart>
      <c:catAx>
        <c:axId val="9653568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6537216"/>
        <c:crosses val="autoZero"/>
        <c:auto val="1"/>
        <c:lblAlgn val="ctr"/>
        <c:lblOffset val="100"/>
        <c:noMultiLvlLbl val="0"/>
      </c:catAx>
      <c:valAx>
        <c:axId val="9653721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6535680"/>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standard"/>
        <c:varyColors val="0"/>
        <c:ser>
          <c:idx val="0"/>
          <c:order val="0"/>
          <c:tx>
            <c:strRef>
              <c:f>[2021年决算图表.xlsx]Sheet5!$B$1:$B$2</c:f>
              <c:strCache>
                <c:ptCount val="1"/>
                <c:pt idx="0">
                  <c:v>一般公共预算财政拨款支出决算变动情况 金额(万元)</c:v>
                </c:pt>
              </c:strCache>
            </c:strRef>
          </c:tx>
          <c:invertIfNegative val="0"/>
          <c:dLbls>
            <c:delete val="1"/>
          </c:dLbls>
          <c:cat>
            <c:strRef>
              <c:f>[2021年决算图表.xlsx]Sheet5!$A$3:$A$4</c:f>
              <c:strCache>
                <c:ptCount val="2"/>
                <c:pt idx="0">
                  <c:v>2020年</c:v>
                </c:pt>
                <c:pt idx="1">
                  <c:v>2021年</c:v>
                </c:pt>
              </c:strCache>
            </c:strRef>
          </c:cat>
          <c:val>
            <c:numRef>
              <c:f>[2021年决算图表.xlsx]Sheet5!$B$3:$B$4</c:f>
              <c:numCache>
                <c:formatCode>General</c:formatCode>
                <c:ptCount val="2"/>
                <c:pt idx="0">
                  <c:v>20020.1</c:v>
                </c:pt>
                <c:pt idx="1">
                  <c:v>24240.1</c:v>
                </c:pt>
              </c:numCache>
            </c:numRef>
          </c:val>
        </c:ser>
        <c:dLbls>
          <c:showLegendKey val="0"/>
          <c:showVal val="0"/>
          <c:showCatName val="0"/>
          <c:showSerName val="0"/>
          <c:showPercent val="0"/>
          <c:showBubbleSize val="0"/>
        </c:dLbls>
        <c:gapWidth val="150"/>
        <c:axId val="101450496"/>
        <c:axId val="101452032"/>
      </c:barChart>
      <c:catAx>
        <c:axId val="10145049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1452032"/>
        <c:crosses val="autoZero"/>
        <c:auto val="1"/>
        <c:lblAlgn val="ctr"/>
        <c:lblOffset val="100"/>
        <c:noMultiLvlLbl val="0"/>
      </c:catAx>
      <c:valAx>
        <c:axId val="10145203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1450496"/>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[2021年决算图表.xlsx]Sheet6!$B$1:$B$3</c:f>
              <c:strCache>
                <c:ptCount val="1"/>
                <c:pt idx="0">
                  <c:v>一般公共预算财政拨款支出决算结构 金额（万元）</c:v>
                </c:pt>
              </c:strCache>
            </c:strRef>
          </c:tx>
          <c:explosion val="25"/>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delete val="1"/>
          </c:dLbls>
          <c:cat>
            <c:strRef>
              <c:f>[2021年决算图表.xlsx]Sheet6!$A$4:$A$11</c:f>
              <c:strCache>
                <c:ptCount val="8"/>
                <c:pt idx="0">
                  <c:v>一般公共服务（类）支出</c:v>
                </c:pt>
                <c:pt idx="1">
                  <c:v>公共安全支出</c:v>
                </c:pt>
                <c:pt idx="2">
                  <c:v>教育支出</c:v>
                </c:pt>
                <c:pt idx="3">
                  <c:v>社会保障和就业（类）支出</c:v>
                </c:pt>
                <c:pt idx="4">
                  <c:v>卫生健康支出</c:v>
                </c:pt>
                <c:pt idx="5">
                  <c:v>住房保障支出</c:v>
                </c:pt>
                <c:pt idx="6">
                  <c:v>灾害防治及应急管理支出</c:v>
                </c:pt>
                <c:pt idx="7">
                  <c:v>合计</c:v>
                </c:pt>
              </c:strCache>
            </c:strRef>
          </c:cat>
          <c:val>
            <c:numRef>
              <c:f>[2021年决算图表.xlsx]Sheet6!$B$4:$B$11</c:f>
              <c:numCache>
                <c:formatCode>General</c:formatCode>
                <c:ptCount val="8"/>
                <c:pt idx="0">
                  <c:v>526.57</c:v>
                </c:pt>
                <c:pt idx="1">
                  <c:v>13121.56</c:v>
                </c:pt>
                <c:pt idx="2">
                  <c:v>7442.31</c:v>
                </c:pt>
                <c:pt idx="3">
                  <c:v>1443.08</c:v>
                </c:pt>
                <c:pt idx="4">
                  <c:v>403.99</c:v>
                </c:pt>
                <c:pt idx="5">
                  <c:v>1297.59</c:v>
                </c:pt>
                <c:pt idx="6">
                  <c:v>5</c:v>
                </c:pt>
                <c:pt idx="7">
                  <c:v>24240.1</c:v>
                </c:pt>
              </c:numCache>
            </c:numRef>
          </c:val>
        </c:ser>
        <c:dLbls>
          <c:showLegendKey val="0"/>
          <c:showVal val="0"/>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t>“三公”经费财政拨款支出（万元）</a:t>
            </a:r>
          </a:p>
        </c:rich>
      </c:tx>
      <c:layout/>
      <c:overlay val="0"/>
    </c:title>
    <c:autoTitleDeleted val="0"/>
    <c:plotArea>
      <c:layout/>
      <c:pieChart>
        <c:varyColors val="1"/>
        <c:ser>
          <c:idx val="0"/>
          <c:order val="0"/>
          <c:tx>
            <c:strRef>
              <c:f>Sheet7!$B$1:$B$3</c:f>
              <c:strCache>
                <c:ptCount val="1"/>
                <c:pt idx="0">
                  <c:v>“三公”经费财政拨款支出 金额（万元）</c:v>
                </c:pt>
              </c:strCache>
            </c:strRef>
          </c:tx>
          <c:explosion val="25"/>
          <c:dPt>
            <c:idx val="0"/>
            <c:bubble3D val="0"/>
          </c:dPt>
          <c:dPt>
            <c:idx val="1"/>
            <c:bubble3D val="0"/>
          </c:dPt>
          <c:dPt>
            <c:idx val="2"/>
            <c:bubble3D val="0"/>
          </c:dPt>
          <c:dPt>
            <c:idx val="3"/>
            <c:bubble3D val="0"/>
          </c:dPt>
          <c:dLbls>
            <c:delete val="1"/>
          </c:dLbls>
          <c:cat>
            <c:strRef>
              <c:f>Sheet7!$A$4:$A$7</c:f>
              <c:strCache>
                <c:ptCount val="4"/>
                <c:pt idx="0">
                  <c:v>因公出国（境）费</c:v>
                </c:pt>
                <c:pt idx="1">
                  <c:v>公务用车购置及运行维护费</c:v>
                </c:pt>
                <c:pt idx="2">
                  <c:v>公务接待费</c:v>
                </c:pt>
                <c:pt idx="3">
                  <c:v>合计</c:v>
                </c:pt>
              </c:strCache>
            </c:strRef>
          </c:cat>
          <c:val>
            <c:numRef>
              <c:f>Sheet7!$B$4:$B$7</c:f>
              <c:numCache>
                <c:formatCode>General</c:formatCode>
                <c:ptCount val="4"/>
                <c:pt idx="0">
                  <c:v>0</c:v>
                </c:pt>
                <c:pt idx="1">
                  <c:v>47.51</c:v>
                </c:pt>
                <c:pt idx="2">
                  <c:v>2.8</c:v>
                </c:pt>
                <c:pt idx="3">
                  <c:v>50.31</c:v>
                </c:pt>
              </c:numCache>
            </c:numRef>
          </c:val>
        </c:ser>
        <c:dLbls>
          <c:showLegendKey val="0"/>
          <c:showVal val="0"/>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30</TotalTime>
  <ScaleCrop>false</ScaleCrop>
  <LinksUpToDate>false</LinksUpToDate>
  <CharactersWithSpaces>8692</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YJLing</cp:lastModifiedBy>
  <cp:lastPrinted>2022-08-26T06:36:00Z</cp:lastPrinted>
  <dcterms:modified xsi:type="dcterms:W3CDTF">2022-08-30T13:32:44Z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