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方正小标宋简体" w:hAnsi="宋体" w:eastAsia="方正小标宋简体"/>
          <w:color w:val="000000" w:themeColor="text1"/>
          <w:sz w:val="72"/>
          <w:szCs w:val="72"/>
          <w:highlight w:val="none"/>
          <w:lang w:val="en-US" w:eastAsia="zh-CN"/>
          <w14:textFill>
            <w14:solidFill>
              <w14:schemeClr w14:val="tx1"/>
            </w14:solidFill>
          </w14:textFill>
        </w:rPr>
      </w:pPr>
      <w:bookmarkStart w:id="0" w:name="_Toc15377425"/>
      <w:bookmarkStart w:id="1" w:name="_Toc15377193"/>
      <w:bookmarkStart w:id="2" w:name="_Toc15396597"/>
      <w:bookmarkStart w:id="3" w:name="_Toc15396475"/>
      <w:bookmarkStart w:id="4" w:name="_Toc15378441"/>
      <w:bookmarkStart w:id="5" w:name="_Toc15306267"/>
    </w:p>
    <w:p>
      <w:pPr>
        <w:spacing w:line="600" w:lineRule="exact"/>
        <w:jc w:val="center"/>
        <w:outlineLvl w:val="0"/>
        <w:rPr>
          <w:rFonts w:ascii="方正小标宋简体" w:hAnsi="宋体" w:eastAsia="方正小标宋简体"/>
          <w:color w:val="000000" w:themeColor="text1"/>
          <w:sz w:val="72"/>
          <w:szCs w:val="72"/>
          <w:highlight w:val="none"/>
          <w14:textFill>
            <w14:solidFill>
              <w14:schemeClr w14:val="tx1"/>
            </w14:solidFill>
          </w14:textFill>
        </w:rPr>
      </w:pPr>
    </w:p>
    <w:p>
      <w:pPr>
        <w:spacing w:line="600" w:lineRule="exact"/>
        <w:jc w:val="center"/>
        <w:outlineLvl w:val="0"/>
        <w:rPr>
          <w:rFonts w:ascii="方正小标宋简体" w:hAnsi="宋体" w:eastAsia="方正小标宋简体"/>
          <w:color w:val="000000" w:themeColor="text1"/>
          <w:sz w:val="72"/>
          <w:szCs w:val="72"/>
          <w:highlight w:val="none"/>
          <w14:textFill>
            <w14:solidFill>
              <w14:schemeClr w14:val="tx1"/>
            </w14:solidFill>
          </w14:textFill>
        </w:rPr>
      </w:pPr>
    </w:p>
    <w:p>
      <w:pPr>
        <w:spacing w:line="600" w:lineRule="exact"/>
        <w:jc w:val="center"/>
        <w:outlineLvl w:val="0"/>
        <w:rPr>
          <w:rFonts w:ascii="方正小标宋简体" w:hAnsi="宋体" w:eastAsia="方正小标宋简体"/>
          <w:color w:val="000000" w:themeColor="text1"/>
          <w:sz w:val="72"/>
          <w:szCs w:val="72"/>
          <w:highlight w:val="none"/>
          <w14:textFill>
            <w14:solidFill>
              <w14:schemeClr w14:val="tx1"/>
            </w14:solidFill>
          </w14:textFill>
        </w:rPr>
      </w:pPr>
    </w:p>
    <w:p>
      <w:pPr>
        <w:adjustRightInd w:val="0"/>
        <w:snapToGrid w:val="0"/>
        <w:spacing w:line="360" w:lineRule="auto"/>
        <w:jc w:val="center"/>
        <w:outlineLvl w:val="0"/>
        <w:rPr>
          <w:rFonts w:hint="eastAsia" w:ascii="方正小标宋简体" w:hAnsi="方正小标宋简体" w:eastAsia="方正小标宋简体" w:cs="方正小标宋简体"/>
          <w:color w:val="000000" w:themeColor="text1"/>
          <w:sz w:val="72"/>
          <w:szCs w:val="72"/>
          <w:highlight w:val="none"/>
          <w14:textFill>
            <w14:solidFill>
              <w14:schemeClr w14:val="tx1"/>
            </w14:solidFill>
          </w14:textFill>
        </w:rPr>
      </w:pPr>
      <w:r>
        <w:rPr>
          <w:rFonts w:hint="eastAsia" w:ascii="方正小标宋简体" w:hAnsi="方正小标宋简体" w:eastAsia="方正小标宋简体" w:cs="方正小标宋简体"/>
          <w:color w:val="000000" w:themeColor="text1"/>
          <w:sz w:val="72"/>
          <w:szCs w:val="72"/>
          <w:highlight w:val="none"/>
          <w14:textFill>
            <w14:solidFill>
              <w14:schemeClr w14:val="tx1"/>
            </w14:solidFill>
          </w14:textFill>
        </w:rPr>
        <w:t>20</w:t>
      </w:r>
      <w:r>
        <w:rPr>
          <w:rFonts w:hint="eastAsia" w:ascii="方正小标宋简体" w:hAnsi="方正小标宋简体" w:eastAsia="方正小标宋简体" w:cs="方正小标宋简体"/>
          <w:color w:val="000000" w:themeColor="text1"/>
          <w:sz w:val="72"/>
          <w:szCs w:val="72"/>
          <w:highlight w:val="none"/>
          <w:lang w:val="en-US" w:eastAsia="zh-CN"/>
          <w14:textFill>
            <w14:solidFill>
              <w14:schemeClr w14:val="tx1"/>
            </w14:solidFill>
          </w14:textFill>
        </w:rPr>
        <w:t>21</w:t>
      </w:r>
      <w:r>
        <w:rPr>
          <w:rFonts w:hint="eastAsia" w:ascii="方正小标宋简体" w:hAnsi="方正小标宋简体" w:eastAsia="方正小标宋简体" w:cs="方正小标宋简体"/>
          <w:color w:val="000000" w:themeColor="text1"/>
          <w:sz w:val="72"/>
          <w:szCs w:val="72"/>
          <w:highlight w:val="none"/>
          <w14:textFill>
            <w14:solidFill>
              <w14:schemeClr w14:val="tx1"/>
            </w14:solidFill>
          </w14:textFill>
        </w:rPr>
        <w:t>年度</w:t>
      </w:r>
      <w:bookmarkEnd w:id="0"/>
      <w:bookmarkEnd w:id="1"/>
      <w:bookmarkEnd w:id="2"/>
      <w:bookmarkEnd w:id="3"/>
      <w:bookmarkEnd w:id="4"/>
    </w:p>
    <w:p>
      <w:pPr>
        <w:adjustRightInd w:val="0"/>
        <w:snapToGrid w:val="0"/>
        <w:spacing w:line="360" w:lineRule="auto"/>
        <w:jc w:val="center"/>
        <w:outlineLvl w:val="0"/>
        <w:rPr>
          <w:rFonts w:hint="eastAsia" w:ascii="方正小标宋简体" w:hAnsi="方正小标宋简体" w:eastAsia="方正小标宋简体" w:cs="方正小标宋简体"/>
          <w:color w:val="000000" w:themeColor="text1"/>
          <w:sz w:val="72"/>
          <w:szCs w:val="72"/>
          <w:highlight w:val="none"/>
          <w14:textFill>
            <w14:solidFill>
              <w14:schemeClr w14:val="tx1"/>
            </w14:solidFill>
          </w14:textFill>
        </w:rPr>
      </w:pPr>
      <w:bookmarkStart w:id="6" w:name="_Toc15377194"/>
      <w:bookmarkStart w:id="7" w:name="_Toc15377426"/>
      <w:bookmarkStart w:id="8" w:name="_Toc15378442"/>
      <w:bookmarkStart w:id="9" w:name="_Toc15396476"/>
      <w:bookmarkStart w:id="10" w:name="_Toc15396598"/>
      <w:r>
        <w:rPr>
          <w:rFonts w:hint="eastAsia" w:ascii="方正小标宋简体" w:hAnsi="方正小标宋简体" w:eastAsia="方正小标宋简体" w:cs="方正小标宋简体"/>
          <w:color w:val="000000" w:themeColor="text1"/>
          <w:sz w:val="72"/>
          <w:szCs w:val="72"/>
          <w:highlight w:val="none"/>
          <w14:textFill>
            <w14:solidFill>
              <w14:schemeClr w14:val="tx1"/>
            </w14:solidFill>
          </w14:textFill>
        </w:rPr>
        <w:t>四川省</w:t>
      </w:r>
      <w:bookmarkEnd w:id="5"/>
      <w:bookmarkStart w:id="11" w:name="_Toc15306268"/>
      <w:r>
        <w:rPr>
          <w:rFonts w:hint="eastAsia" w:ascii="方正小标宋简体" w:hAnsi="方正小标宋简体" w:eastAsia="方正小标宋简体" w:cs="方正小标宋简体"/>
          <w:color w:val="000000" w:themeColor="text1"/>
          <w:sz w:val="72"/>
          <w:szCs w:val="72"/>
          <w:highlight w:val="none"/>
          <w:lang w:eastAsia="zh-CN"/>
          <w14:textFill>
            <w14:solidFill>
              <w14:schemeClr w14:val="tx1"/>
            </w14:solidFill>
          </w14:textFill>
        </w:rPr>
        <w:t>司法厅</w:t>
      </w:r>
      <w:r>
        <w:rPr>
          <w:rFonts w:hint="eastAsia" w:ascii="方正小标宋简体" w:hAnsi="方正小标宋简体" w:eastAsia="方正小标宋简体" w:cs="方正小标宋简体"/>
          <w:color w:val="000000" w:themeColor="text1"/>
          <w:sz w:val="72"/>
          <w:szCs w:val="72"/>
          <w:highlight w:val="none"/>
          <w14:textFill>
            <w14:solidFill>
              <w14:schemeClr w14:val="tx1"/>
            </w14:solidFill>
          </w14:textFill>
        </w:rPr>
        <w:t>部门决算</w:t>
      </w:r>
      <w:bookmarkEnd w:id="6"/>
      <w:bookmarkEnd w:id="7"/>
      <w:bookmarkEnd w:id="8"/>
      <w:bookmarkEnd w:id="9"/>
      <w:bookmarkEnd w:id="10"/>
      <w:bookmarkEnd w:id="11"/>
    </w:p>
    <w:p>
      <w:pPr>
        <w:widowControl/>
        <w:jc w:val="center"/>
        <w:rPr>
          <w:rFonts w:ascii="黑体" w:hAnsi="黑体" w:eastAsia="黑体"/>
          <w:color w:val="000000" w:themeColor="text1"/>
          <w:sz w:val="48"/>
          <w:szCs w:val="48"/>
          <w:highlight w:val="none"/>
          <w14:textFill>
            <w14:solidFill>
              <w14:schemeClr w14:val="tx1"/>
            </w14:solidFill>
          </w14:textFill>
        </w:rPr>
      </w:pPr>
      <w:r>
        <w:rPr>
          <w:rFonts w:ascii="方正小标宋简体" w:hAnsi="宋体" w:eastAsia="方正小标宋简体"/>
          <w:color w:val="000000" w:themeColor="text1"/>
          <w:sz w:val="36"/>
          <w:szCs w:val="36"/>
          <w:highlight w:val="none"/>
          <w14:textFill>
            <w14:solidFill>
              <w14:schemeClr w14:val="tx1"/>
            </w14:solidFill>
          </w14:textFill>
        </w:rPr>
        <w:br w:type="page"/>
      </w:r>
      <w:r>
        <w:rPr>
          <w:rFonts w:hint="eastAsia" w:ascii="黑体" w:hAnsi="黑体" w:eastAsia="黑体"/>
          <w:color w:val="000000" w:themeColor="text1"/>
          <w:sz w:val="48"/>
          <w:szCs w:val="48"/>
          <w:highlight w:val="none"/>
          <w14:textFill>
            <w14:solidFill>
              <w14:schemeClr w14:val="tx1"/>
            </w14:solidFill>
          </w14:textFill>
        </w:rPr>
        <w:t>目</w:t>
      </w:r>
      <w:r>
        <w:rPr>
          <w:rFonts w:hint="eastAsia" w:ascii="黑体" w:hAnsi="黑体" w:eastAsia="黑体"/>
          <w:color w:val="000000" w:themeColor="text1"/>
          <w:sz w:val="48"/>
          <w:szCs w:val="48"/>
          <w:highlight w:val="none"/>
          <w:lang w:val="en-US" w:eastAsia="zh-CN"/>
          <w14:textFill>
            <w14:solidFill>
              <w14:schemeClr w14:val="tx1"/>
            </w14:solidFill>
          </w14:textFill>
        </w:rPr>
        <w:t xml:space="preserve">  </w:t>
      </w:r>
      <w:r>
        <w:rPr>
          <w:rFonts w:hint="eastAsia" w:ascii="黑体" w:hAnsi="黑体" w:eastAsia="黑体"/>
          <w:color w:val="000000" w:themeColor="text1"/>
          <w:sz w:val="48"/>
          <w:szCs w:val="48"/>
          <w:highlight w:val="none"/>
          <w14:textFill>
            <w14:solidFill>
              <w14:schemeClr w14:val="tx1"/>
            </w14:solidFill>
          </w14:textFill>
        </w:rPr>
        <w:t>录</w:t>
      </w:r>
    </w:p>
    <w:p>
      <w:pPr>
        <w:widowControl/>
        <w:jc w:val="center"/>
        <w:rPr>
          <w:rFonts w:ascii="黑体" w:hAnsi="黑体" w:eastAsia="黑体" w:cstheme="minorBidi"/>
          <w:color w:val="000000" w:themeColor="text1"/>
          <w:sz w:val="28"/>
          <w:szCs w:val="28"/>
          <w:highlight w:val="none"/>
          <w14:textFill>
            <w14:solidFill>
              <w14:schemeClr w14:val="tx1"/>
            </w14:solidFill>
          </w14:textFill>
        </w:rPr>
      </w:pPr>
    </w:p>
    <w:p>
      <w:pPr>
        <w:pStyle w:val="12"/>
        <w:jc w:val="center"/>
        <w:rPr>
          <w:rFonts w:hint="eastAsia"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sz w:val="32"/>
          <w:szCs w:val="32"/>
          <w:highlight w:val="none"/>
          <w14:textFill>
            <w14:solidFill>
              <w14:schemeClr w14:val="tx1"/>
            </w14:solidFill>
          </w14:textFill>
        </w:rPr>
        <w:t>公开时间：20</w:t>
      </w:r>
      <w:r>
        <w:rPr>
          <w:rFonts w:hint="eastAsia" w:ascii="宋体" w:hAnsi="宋体" w:eastAsia="宋体" w:cs="宋体"/>
          <w:color w:val="000000" w:themeColor="text1"/>
          <w:sz w:val="32"/>
          <w:szCs w:val="32"/>
          <w:highlight w:val="none"/>
          <w:lang w:val="en-US" w:eastAsia="zh-CN"/>
          <w14:textFill>
            <w14:solidFill>
              <w14:schemeClr w14:val="tx1"/>
            </w14:solidFill>
          </w14:textFill>
        </w:rPr>
        <w:t>22</w:t>
      </w:r>
      <w:r>
        <w:rPr>
          <w:rFonts w:hint="eastAsia" w:ascii="宋体" w:hAnsi="宋体" w:eastAsia="宋体" w:cs="宋体"/>
          <w:color w:val="000000" w:themeColor="text1"/>
          <w:sz w:val="32"/>
          <w:szCs w:val="32"/>
          <w:highlight w:val="none"/>
          <w14:textFill>
            <w14:solidFill>
              <w14:schemeClr w14:val="tx1"/>
            </w14:solidFill>
          </w14:textFill>
        </w:rPr>
        <w:t>年</w:t>
      </w:r>
      <w:r>
        <w:rPr>
          <w:rFonts w:hint="eastAsia" w:ascii="宋体" w:hAnsi="宋体" w:eastAsia="宋体" w:cs="宋体"/>
          <w:color w:val="000000" w:themeColor="text1"/>
          <w:sz w:val="32"/>
          <w:szCs w:val="32"/>
          <w:highlight w:val="none"/>
          <w:lang w:val="en-US" w:eastAsia="zh-CN"/>
          <w14:textFill>
            <w14:solidFill>
              <w14:schemeClr w14:val="tx1"/>
            </w14:solidFill>
          </w14:textFill>
        </w:rPr>
        <w:t>8</w:t>
      </w:r>
      <w:r>
        <w:rPr>
          <w:rFonts w:hint="eastAsia" w:ascii="宋体" w:hAnsi="宋体" w:eastAsia="宋体" w:cs="宋体"/>
          <w:color w:val="000000" w:themeColor="text1"/>
          <w:sz w:val="32"/>
          <w:szCs w:val="32"/>
          <w:highlight w:val="none"/>
          <w14:textFill>
            <w14:solidFill>
              <w14:schemeClr w14:val="tx1"/>
            </w14:solidFill>
          </w14:textFill>
        </w:rPr>
        <w:t>月</w:t>
      </w:r>
      <w:r>
        <w:rPr>
          <w:rFonts w:hint="eastAsia" w:ascii="宋体" w:hAnsi="宋体" w:eastAsia="宋体" w:cs="宋体"/>
          <w:color w:val="000000" w:themeColor="text1"/>
          <w:sz w:val="32"/>
          <w:szCs w:val="32"/>
          <w:highlight w:val="none"/>
          <w:lang w:val="en-US" w:eastAsia="zh-CN"/>
          <w14:textFill>
            <w14:solidFill>
              <w14:schemeClr w14:val="tx1"/>
            </w14:solidFill>
          </w14:textFill>
        </w:rPr>
        <w:t>29</w:t>
      </w:r>
      <w:r>
        <w:rPr>
          <w:rFonts w:hint="eastAsia" w:ascii="宋体" w:hAnsi="宋体" w:eastAsia="宋体" w:cs="宋体"/>
          <w:color w:val="000000" w:themeColor="text1"/>
          <w:sz w:val="32"/>
          <w:szCs w:val="32"/>
          <w:highlight w:val="none"/>
          <w14:textFill>
            <w14:solidFill>
              <w14:schemeClr w14:val="tx1"/>
            </w14:solidFill>
          </w14:textFill>
        </w:rPr>
        <w:t>日</w:t>
      </w:r>
    </w:p>
    <w:p>
      <w:pPr>
        <w:rPr>
          <w:rFonts w:hint="eastAsia" w:ascii="宋体" w:hAnsi="宋体" w:eastAsia="宋体" w:cs="宋体"/>
          <w:color w:val="000000" w:themeColor="text1"/>
          <w:sz w:val="24"/>
          <w:szCs w:val="24"/>
          <w:highlight w:val="none"/>
          <w14:textFill>
            <w14:solidFill>
              <w14:schemeClr w14:val="tx1"/>
            </w14:solidFill>
          </w14:textFill>
        </w:rPr>
      </w:pPr>
    </w:p>
    <w:p>
      <w:pPr>
        <w:pStyle w:val="39"/>
        <w:snapToGrid w:val="0"/>
        <w:spacing w:line="440" w:lineRule="exact"/>
        <w:jc w:val="left"/>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第一部分 部门概况</w:t>
      </w:r>
      <w:r>
        <w:rPr>
          <w:rFonts w:hint="eastAsia" w:ascii="仿宋_GB2312" w:hAnsi="仿宋_GB2312" w:eastAsia="仿宋_GB2312" w:cs="仿宋_GB2312"/>
          <w:color w:val="000000" w:themeColor="text1"/>
          <w:sz w:val="24"/>
          <w14:textFill>
            <w14:solidFill>
              <w14:schemeClr w14:val="tx1"/>
            </w14:solidFill>
          </w14:textFill>
        </w:rPr>
        <w:t>¨¨¨</w:t>
      </w:r>
      <w:r>
        <w:rPr>
          <w:rFonts w:hint="eastAsia" w:ascii="仿宋_GB2312" w:hAnsi="仿宋_GB2312" w:eastAsia="仿宋_GB2312" w:cs="仿宋_GB2312"/>
          <w:color w:val="000000" w:themeColor="text1"/>
          <w:spacing w:val="11"/>
          <w:sz w:val="24"/>
          <w14:textFill>
            <w14:solidFill>
              <w14:schemeClr w14:val="tx1"/>
            </w14:solidFill>
          </w14:textFill>
        </w:rPr>
        <w:t>¨¨¨</w:t>
      </w:r>
      <w:r>
        <w:rPr>
          <w:rFonts w:hint="eastAsia" w:ascii="仿宋_GB2312" w:hAnsi="仿宋_GB2312" w:eastAsia="仿宋_GB2312" w:cs="仿宋_GB2312"/>
          <w:color w:val="000000" w:themeColor="text1"/>
          <w:spacing w:val="11"/>
          <w:sz w:val="24"/>
          <w:szCs w:val="20"/>
          <w14:textFill>
            <w14:solidFill>
              <w14:schemeClr w14:val="tx1"/>
            </w14:solidFill>
          </w14:textFill>
        </w:rPr>
        <w:t>¨</w:t>
      </w:r>
      <w:r>
        <w:rPr>
          <w:rFonts w:hint="eastAsia" w:ascii="仿宋_GB2312" w:hAnsi="仿宋_GB2312" w:eastAsia="仿宋_GB2312" w:cs="仿宋_GB2312"/>
          <w:color w:val="000000" w:themeColor="text1"/>
          <w:spacing w:val="6"/>
          <w:sz w:val="24"/>
          <w:szCs w:val="20"/>
          <w14:textFill>
            <w14:solidFill>
              <w14:schemeClr w14:val="tx1"/>
            </w14:solidFill>
          </w14:textFill>
        </w:rPr>
        <w:t>¨¨¨¨</w:t>
      </w:r>
      <w:r>
        <w:rPr>
          <w:rFonts w:hint="eastAsia" w:ascii="仿宋_GB2312" w:hAnsi="仿宋_GB2312" w:eastAsia="仿宋_GB2312" w:cs="仿宋_GB2312"/>
          <w:color w:val="000000" w:themeColor="text1"/>
          <w:spacing w:val="0"/>
          <w:sz w:val="24"/>
          <w:szCs w:val="20"/>
          <w14:textFill>
            <w14:solidFill>
              <w14:schemeClr w14:val="tx1"/>
            </w14:solidFill>
          </w14:textFill>
        </w:rPr>
        <w:t>¨¨¨¨¨¨¨¨</w:t>
      </w:r>
      <w:r>
        <w:rPr>
          <w:rFonts w:hint="eastAsia" w:ascii="仿宋_GB2312" w:hAnsi="仿宋_GB2312" w:eastAsia="仿宋_GB2312" w:cs="仿宋_GB2312"/>
          <w:color w:val="000000" w:themeColor="text1"/>
          <w:spacing w:val="6"/>
          <w:sz w:val="24"/>
          <w:szCs w:val="20"/>
          <w14:textFill>
            <w14:solidFill>
              <w14:schemeClr w14:val="tx1"/>
            </w14:solidFill>
          </w14:textFill>
        </w:rPr>
        <w:t>¨¨¨</w:t>
      </w:r>
      <w:r>
        <w:rPr>
          <w:rFonts w:hint="eastAsia" w:ascii="仿宋_GB2312" w:hAnsi="仿宋_GB2312" w:eastAsia="仿宋_GB2312" w:cs="仿宋_GB2312"/>
          <w:color w:val="000000" w:themeColor="text1"/>
          <w:spacing w:val="0"/>
          <w:sz w:val="24"/>
          <w:szCs w:val="20"/>
          <w14:textFill>
            <w14:solidFill>
              <w14:schemeClr w14:val="tx1"/>
            </w14:solidFill>
          </w14:textFill>
        </w:rPr>
        <w:t>¨¨¨</w:t>
      </w:r>
      <w:r>
        <w:rPr>
          <w:rFonts w:hint="eastAsia" w:ascii="仿宋_GB2312" w:hAnsi="仿宋_GB2312" w:eastAsia="仿宋_GB2312" w:cs="仿宋_GB2312"/>
          <w:color w:val="000000" w:themeColor="text1"/>
          <w:spacing w:val="0"/>
          <w:sz w:val="24"/>
          <w14:textFill>
            <w14:solidFill>
              <w14:schemeClr w14:val="tx1"/>
            </w14:solidFill>
          </w14:textFill>
        </w:rPr>
        <w:t>¨</w:t>
      </w:r>
      <w:r>
        <w:rPr>
          <w:rFonts w:hint="eastAsia" w:ascii="仿宋_GB2312" w:hAnsi="仿宋_GB2312" w:eastAsia="仿宋_GB2312" w:cs="仿宋_GB2312"/>
          <w:color w:val="000000" w:themeColor="text1"/>
          <w:sz w:val="24"/>
          <w14:textFill>
            <w14:solidFill>
              <w14:schemeClr w14:val="tx1"/>
            </w14:solidFill>
          </w14:textFill>
        </w:rPr>
        <w:t>¨</w:t>
      </w:r>
      <w:r>
        <w:rPr>
          <w:rFonts w:hint="eastAsia" w:ascii="仿宋_GB2312" w:hAnsi="仿宋_GB2312" w:eastAsia="仿宋_GB2312" w:cs="仿宋_GB2312"/>
          <w:color w:val="000000" w:themeColor="text1"/>
          <w:sz w:val="24"/>
          <w:lang w:val="en-US" w:eastAsia="zh-CN"/>
          <w14:textFill>
            <w14:solidFill>
              <w14:schemeClr w14:val="tx1"/>
            </w14:solidFill>
          </w14:textFill>
        </w:rPr>
        <w:t>1</w:t>
      </w:r>
    </w:p>
    <w:p>
      <w:pPr>
        <w:pStyle w:val="13"/>
        <w:adjustRightInd w:val="0"/>
        <w:snapToGrid w:val="0"/>
        <w:spacing w:line="440" w:lineRule="exact"/>
        <w:ind w:left="0" w:leftChars="0" w:firstLine="0" w:firstLineChars="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一、基本职能及主要工作</w:t>
      </w:r>
      <w:r>
        <w:rPr>
          <w:rFonts w:hint="eastAsia" w:ascii="仿宋_GB2312" w:hAnsi="仿宋_GB2312" w:eastAsia="仿宋_GB2312" w:cs="仿宋_GB2312"/>
          <w:color w:val="000000" w:themeColor="text1"/>
          <w:spacing w:val="11"/>
          <w:sz w:val="24"/>
          <w:szCs w:val="20"/>
          <w14:textFill>
            <w14:solidFill>
              <w14:schemeClr w14:val="tx1"/>
            </w14:solidFill>
          </w14:textFill>
        </w:rPr>
        <w:t>¨</w:t>
      </w:r>
      <w:r>
        <w:rPr>
          <w:rFonts w:hint="eastAsia" w:ascii="仿宋_GB2312" w:hAnsi="仿宋_GB2312" w:eastAsia="仿宋_GB2312" w:cs="仿宋_GB2312"/>
          <w:color w:val="000000" w:themeColor="text1"/>
          <w:spacing w:val="0"/>
          <w:sz w:val="24"/>
          <w:szCs w:val="20"/>
          <w14:textFill>
            <w14:solidFill>
              <w14:schemeClr w14:val="tx1"/>
            </w14:solidFill>
          </w14:textFill>
        </w:rPr>
        <w:t>¨¨¨¨¨¨¨¨¨¨¨¨¨¨</w:t>
      </w:r>
      <w:r>
        <w:rPr>
          <w:rFonts w:hint="eastAsia" w:ascii="仿宋_GB2312" w:hAnsi="仿宋_GB2312" w:eastAsia="仿宋_GB2312" w:cs="仿宋_GB2312"/>
          <w:color w:val="000000" w:themeColor="text1"/>
          <w:spacing w:val="0"/>
          <w:sz w:val="24"/>
          <w14:textFill>
            <w14:solidFill>
              <w14:schemeClr w14:val="tx1"/>
            </w14:solidFill>
          </w14:textFill>
        </w:rPr>
        <w:t>¨</w:t>
      </w:r>
      <w:r>
        <w:rPr>
          <w:rFonts w:hint="eastAsia" w:ascii="仿宋_GB2312" w:hAnsi="仿宋_GB2312" w:eastAsia="仿宋_GB2312" w:cs="仿宋_GB2312"/>
          <w:color w:val="000000" w:themeColor="text1"/>
          <w:spacing w:val="6"/>
          <w:sz w:val="24"/>
          <w:szCs w:val="20"/>
          <w:lang w:val="en-US" w:eastAsia="zh-CN" w:bidi="hi-IN"/>
          <w14:textFill>
            <w14:solidFill>
              <w14:schemeClr w14:val="tx1"/>
            </w14:solidFill>
          </w14:textFill>
        </w:rPr>
        <w:t>¨¨</w:t>
      </w:r>
      <w:r>
        <w:rPr>
          <w:rFonts w:hint="eastAsia" w:ascii="仿宋_GB2312" w:hAnsi="仿宋_GB2312" w:eastAsia="仿宋_GB2312" w:cs="仿宋_GB2312"/>
          <w:color w:val="000000" w:themeColor="text1"/>
          <w:spacing w:val="0"/>
          <w:sz w:val="24"/>
          <w:szCs w:val="20"/>
          <w14:textFill>
            <w14:solidFill>
              <w14:schemeClr w14:val="tx1"/>
            </w14:solidFill>
          </w14:textFill>
        </w:rPr>
        <w:t>¨¨¨¨</w:t>
      </w:r>
      <w:r>
        <w:rPr>
          <w:rFonts w:hint="eastAsia" w:ascii="仿宋_GB2312" w:hAnsi="仿宋_GB2312" w:eastAsia="仿宋_GB2312" w:cs="仿宋_GB2312"/>
          <w:color w:val="000000" w:themeColor="text1"/>
          <w:spacing w:val="0"/>
          <w:sz w:val="24"/>
          <w14:textFill>
            <w14:solidFill>
              <w14:schemeClr w14:val="tx1"/>
            </w14:solidFill>
          </w14:textFill>
        </w:rPr>
        <w:t>¨¨¨</w:t>
      </w:r>
      <w:r>
        <w:rPr>
          <w:rFonts w:hint="eastAsia" w:ascii="仿宋_GB2312" w:hAnsi="仿宋_GB2312" w:eastAsia="仿宋_GB2312" w:cs="仿宋_GB2312"/>
          <w:color w:val="000000" w:themeColor="text1"/>
          <w:sz w:val="24"/>
          <w:lang w:val="en-US" w:eastAsia="zh-CN"/>
          <w14:textFill>
            <w14:solidFill>
              <w14:schemeClr w14:val="tx1"/>
            </w14:solidFill>
          </w14:textFill>
        </w:rPr>
        <w:t>1</w:t>
      </w:r>
    </w:p>
    <w:p>
      <w:pPr>
        <w:pStyle w:val="13"/>
        <w:adjustRightInd w:val="0"/>
        <w:snapToGrid w:val="0"/>
        <w:spacing w:line="440" w:lineRule="exact"/>
        <w:ind w:left="0" w:leftChars="0" w:firstLine="0" w:firstLineChars="0"/>
        <w:jc w:val="left"/>
        <w:rPr>
          <w:rFonts w:hint="default" w:ascii="宋体" w:hAnsi="宋体" w:eastAsia="宋体" w:cs="宋体"/>
          <w:color w:val="000000" w:themeColor="text1"/>
          <w:sz w:val="24"/>
          <w:szCs w:val="24"/>
          <w:highlight w:val="none"/>
          <w:lang w:val="en-US"/>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二、机构设置</w:t>
      </w:r>
      <w:r>
        <w:rPr>
          <w:rFonts w:hint="eastAsia" w:ascii="仿宋_GB2312" w:hAnsi="仿宋_GB2312" w:eastAsia="仿宋_GB2312" w:cs="仿宋_GB2312"/>
          <w:color w:val="000000" w:themeColor="text1"/>
          <w:spacing w:val="11"/>
          <w:sz w:val="24"/>
          <w:szCs w:val="20"/>
          <w14:textFill>
            <w14:solidFill>
              <w14:schemeClr w14:val="tx1"/>
            </w14:solidFill>
          </w14:textFill>
        </w:rPr>
        <w:t>¨¨¨¨¨¨¨¨¨¨¨¨</w:t>
      </w:r>
      <w:r>
        <w:rPr>
          <w:rFonts w:hint="eastAsia" w:ascii="仿宋_GB2312" w:hAnsi="仿宋_GB2312" w:eastAsia="仿宋_GB2312" w:cs="仿宋_GB2312"/>
          <w:color w:val="000000" w:themeColor="text1"/>
          <w:spacing w:val="6"/>
          <w:sz w:val="24"/>
          <w:szCs w:val="20"/>
          <w14:textFill>
            <w14:solidFill>
              <w14:schemeClr w14:val="tx1"/>
            </w14:solidFill>
          </w14:textFill>
        </w:rPr>
        <w:t>¨</w:t>
      </w:r>
      <w:r>
        <w:rPr>
          <w:rFonts w:hint="eastAsia" w:ascii="仿宋_GB2312" w:hAnsi="仿宋_GB2312" w:eastAsia="仿宋_GB2312" w:cs="仿宋_GB2312"/>
          <w:color w:val="000000" w:themeColor="text1"/>
          <w:spacing w:val="6"/>
          <w:sz w:val="24"/>
          <w14:textFill>
            <w14:solidFill>
              <w14:schemeClr w14:val="tx1"/>
            </w14:solidFill>
          </w14:textFill>
        </w:rPr>
        <w:t>¨¨¨¨¨¨¨¨¨¨¨¨¨¨</w:t>
      </w:r>
      <w:r>
        <w:rPr>
          <w:rFonts w:hint="eastAsia" w:ascii="仿宋_GB2312" w:hAnsi="仿宋_GB2312" w:eastAsia="仿宋_GB2312" w:cs="仿宋_GB2312"/>
          <w:color w:val="000000" w:themeColor="text1"/>
          <w:sz w:val="24"/>
          <w14:textFill>
            <w14:solidFill>
              <w14:schemeClr w14:val="tx1"/>
            </w14:solidFill>
          </w14:textFill>
        </w:rPr>
        <w:t>¨</w:t>
      </w:r>
      <w:r>
        <w:rPr>
          <w:rFonts w:hint="eastAsia" w:ascii="仿宋_GB2312" w:hAnsi="仿宋_GB2312" w:eastAsia="仿宋_GB2312" w:cs="仿宋_GB2312"/>
          <w:color w:val="000000" w:themeColor="text1"/>
          <w:sz w:val="24"/>
          <w:lang w:val="en-US" w:eastAsia="zh-CN"/>
          <w14:textFill>
            <w14:solidFill>
              <w14:schemeClr w14:val="tx1"/>
            </w14:solidFill>
          </w14:textFill>
        </w:rPr>
        <w:t>11</w:t>
      </w:r>
    </w:p>
    <w:p>
      <w:pPr>
        <w:pStyle w:val="12"/>
        <w:adjustRightInd w:val="0"/>
        <w:snapToGrid w:val="0"/>
        <w:spacing w:before="0" w:line="440" w:lineRule="exact"/>
        <w:jc w:val="left"/>
        <w:rPr>
          <w:rFonts w:hint="default" w:ascii="宋体" w:hAnsi="宋体" w:eastAsia="宋体" w:cs="宋体"/>
          <w:color w:val="000000" w:themeColor="text1"/>
          <w:sz w:val="24"/>
          <w:szCs w:val="24"/>
          <w:highlight w:val="none"/>
          <w:lang w:val="en-US"/>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第二部分</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2021年度</w:t>
      </w:r>
      <w:r>
        <w:rPr>
          <w:rFonts w:hint="eastAsia" w:ascii="宋体" w:hAnsi="宋体" w:eastAsia="宋体" w:cs="宋体"/>
          <w:color w:val="000000" w:themeColor="text1"/>
          <w:sz w:val="24"/>
          <w:szCs w:val="24"/>
          <w:highlight w:val="none"/>
          <w14:textFill>
            <w14:solidFill>
              <w14:schemeClr w14:val="tx1"/>
            </w14:solidFill>
          </w14:textFill>
        </w:rPr>
        <w:t>部门决算情况说明</w:t>
      </w:r>
      <w:r>
        <w:rPr>
          <w:rFonts w:hint="eastAsia" w:ascii="仿宋_GB2312" w:hAnsi="仿宋_GB2312" w:eastAsia="仿宋_GB2312" w:cs="仿宋_GB2312"/>
          <w:color w:val="000000" w:themeColor="text1"/>
          <w:spacing w:val="11"/>
          <w:sz w:val="24"/>
          <w:szCs w:val="20"/>
          <w14:textFill>
            <w14:solidFill>
              <w14:schemeClr w14:val="tx1"/>
            </w14:solidFill>
          </w14:textFill>
        </w:rPr>
        <w:t>¨</w:t>
      </w:r>
      <w:r>
        <w:rPr>
          <w:rFonts w:hint="eastAsia" w:ascii="仿宋_GB2312" w:hAnsi="仿宋_GB2312" w:eastAsia="仿宋_GB2312" w:cs="仿宋_GB2312"/>
          <w:color w:val="000000" w:themeColor="text1"/>
          <w:spacing w:val="0"/>
          <w:sz w:val="24"/>
          <w:szCs w:val="20"/>
          <w14:textFill>
            <w14:solidFill>
              <w14:schemeClr w14:val="tx1"/>
            </w14:solidFill>
          </w14:textFill>
        </w:rPr>
        <w:t>¨¨¨¨¨</w:t>
      </w:r>
      <w:r>
        <w:rPr>
          <w:rFonts w:hint="eastAsia" w:ascii="仿宋_GB2312" w:hAnsi="仿宋_GB2312" w:eastAsia="仿宋_GB2312" w:cs="仿宋_GB2312"/>
          <w:color w:val="000000" w:themeColor="text1"/>
          <w:spacing w:val="0"/>
          <w:sz w:val="24"/>
          <w14:textFill>
            <w14:solidFill>
              <w14:schemeClr w14:val="tx1"/>
            </w14:solidFill>
          </w14:textFill>
        </w:rPr>
        <w:t>¨¨¨</w:t>
      </w:r>
      <w:r>
        <w:rPr>
          <w:rFonts w:hint="eastAsia" w:ascii="仿宋_GB2312" w:hAnsi="仿宋_GB2312" w:eastAsia="仿宋_GB2312" w:cs="仿宋_GB2312"/>
          <w:color w:val="000000" w:themeColor="text1"/>
          <w:spacing w:val="0"/>
          <w:sz w:val="24"/>
          <w:szCs w:val="20"/>
          <w14:textFill>
            <w14:solidFill>
              <w14:schemeClr w14:val="tx1"/>
            </w14:solidFill>
          </w14:textFill>
        </w:rPr>
        <w:t>¨¨¨¨¨¨¨¨</w:t>
      </w:r>
      <w:r>
        <w:rPr>
          <w:rFonts w:hint="eastAsia" w:ascii="仿宋_GB2312" w:hAnsi="仿宋_GB2312" w:eastAsia="仿宋_GB2312" w:cs="仿宋_GB2312"/>
          <w:color w:val="000000" w:themeColor="text1"/>
          <w:spacing w:val="0"/>
          <w:sz w:val="24"/>
          <w14:textFill>
            <w14:solidFill>
              <w14:schemeClr w14:val="tx1"/>
            </w14:solidFill>
          </w14:textFill>
        </w:rPr>
        <w:t>¨</w:t>
      </w:r>
      <w:r>
        <w:rPr>
          <w:rFonts w:hint="eastAsia" w:ascii="仿宋_GB2312" w:hAnsi="仿宋_GB2312" w:eastAsia="仿宋_GB2312" w:cs="仿宋_GB2312"/>
          <w:color w:val="000000" w:themeColor="text1"/>
          <w:sz w:val="24"/>
          <w14:textFill>
            <w14:solidFill>
              <w14:schemeClr w14:val="tx1"/>
            </w14:solidFill>
          </w14:textFill>
        </w:rPr>
        <w:t>¨</w:t>
      </w:r>
      <w:r>
        <w:rPr>
          <w:rFonts w:hint="eastAsia" w:ascii="仿宋_GB2312" w:hAnsi="仿宋_GB2312" w:eastAsia="仿宋_GB2312" w:cs="仿宋_GB2312"/>
          <w:color w:val="000000" w:themeColor="text1"/>
          <w:sz w:val="24"/>
          <w:lang w:val="en-US" w:eastAsia="zh-CN"/>
          <w14:textFill>
            <w14:solidFill>
              <w14:schemeClr w14:val="tx1"/>
            </w14:solidFill>
          </w14:textFill>
        </w:rPr>
        <w:t>12</w:t>
      </w:r>
    </w:p>
    <w:p>
      <w:pPr>
        <w:pStyle w:val="12"/>
        <w:adjustRightInd w:val="0"/>
        <w:snapToGrid w:val="0"/>
        <w:spacing w:before="0" w:line="440" w:lineRule="exact"/>
        <w:jc w:val="left"/>
        <w:rPr>
          <w:rFonts w:hint="default" w:ascii="宋体" w:hAnsi="宋体" w:eastAsia="宋体" w:cs="宋体"/>
          <w:color w:val="000000" w:themeColor="text1"/>
          <w:sz w:val="24"/>
          <w:szCs w:val="24"/>
          <w:highlight w:val="none"/>
          <w:lang w:val="en-US"/>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一、收入支出决算总体情况说明</w:t>
      </w:r>
      <w:r>
        <w:rPr>
          <w:rFonts w:hint="eastAsia" w:ascii="仿宋_GB2312" w:hAnsi="仿宋_GB2312" w:eastAsia="仿宋_GB2312" w:cs="仿宋_GB2312"/>
          <w:color w:val="000000" w:themeColor="text1"/>
          <w:spacing w:val="11"/>
          <w:sz w:val="24"/>
          <w:szCs w:val="20"/>
          <w14:textFill>
            <w14:solidFill>
              <w14:schemeClr w14:val="tx1"/>
            </w14:solidFill>
          </w14:textFill>
        </w:rPr>
        <w:t>¨¨¨¨¨¨¨</w:t>
      </w:r>
      <w:r>
        <w:rPr>
          <w:rFonts w:hint="eastAsia" w:ascii="仿宋_GB2312" w:hAnsi="仿宋_GB2312" w:eastAsia="仿宋_GB2312" w:cs="仿宋_GB2312"/>
          <w:color w:val="000000" w:themeColor="text1"/>
          <w:spacing w:val="0"/>
          <w:sz w:val="24"/>
          <w:szCs w:val="20"/>
          <w14:textFill>
            <w14:solidFill>
              <w14:schemeClr w14:val="tx1"/>
            </w14:solidFill>
          </w14:textFill>
        </w:rPr>
        <w:t>¨¨¨¨¨¨¨¨¨¨</w:t>
      </w:r>
      <w:r>
        <w:rPr>
          <w:rFonts w:hint="eastAsia" w:ascii="仿宋_GB2312" w:hAnsi="仿宋_GB2312" w:eastAsia="仿宋_GB2312" w:cs="仿宋_GB2312"/>
          <w:color w:val="000000" w:themeColor="text1"/>
          <w:spacing w:val="6"/>
          <w:sz w:val="24"/>
          <w:szCs w:val="20"/>
          <w14:textFill>
            <w14:solidFill>
              <w14:schemeClr w14:val="tx1"/>
            </w14:solidFill>
          </w14:textFill>
        </w:rPr>
        <w:t>¨¨¨</w:t>
      </w:r>
      <w:r>
        <w:rPr>
          <w:rFonts w:hint="eastAsia" w:ascii="仿宋_GB2312" w:hAnsi="仿宋_GB2312" w:eastAsia="仿宋_GB2312" w:cs="仿宋_GB2312"/>
          <w:color w:val="000000" w:themeColor="text1"/>
          <w:sz w:val="24"/>
          <w14:textFill>
            <w14:solidFill>
              <w14:schemeClr w14:val="tx1"/>
            </w14:solidFill>
          </w14:textFill>
        </w:rPr>
        <w:t>¨</w:t>
      </w:r>
      <w:r>
        <w:rPr>
          <w:rFonts w:hint="eastAsia" w:ascii="仿宋_GB2312" w:hAnsi="仿宋_GB2312" w:eastAsia="仿宋_GB2312" w:cs="仿宋_GB2312"/>
          <w:color w:val="000000" w:themeColor="text1"/>
          <w:sz w:val="24"/>
          <w:lang w:val="en-US" w:eastAsia="zh-CN"/>
          <w14:textFill>
            <w14:solidFill>
              <w14:schemeClr w14:val="tx1"/>
            </w14:solidFill>
          </w14:textFill>
        </w:rPr>
        <w:t>12</w:t>
      </w:r>
    </w:p>
    <w:p>
      <w:pPr>
        <w:pStyle w:val="12"/>
        <w:adjustRightInd w:val="0"/>
        <w:snapToGrid w:val="0"/>
        <w:spacing w:before="0" w:line="440" w:lineRule="exact"/>
        <w:jc w:val="left"/>
        <w:rPr>
          <w:rFonts w:hint="default" w:ascii="宋体" w:hAnsi="宋体" w:eastAsia="宋体" w:cs="宋体"/>
          <w:color w:val="000000" w:themeColor="text1"/>
          <w:sz w:val="24"/>
          <w:szCs w:val="24"/>
          <w:highlight w:val="none"/>
          <w:lang w:val="en-US"/>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二、收入决算情况说明</w:t>
      </w:r>
      <w:r>
        <w:rPr>
          <w:rFonts w:hint="eastAsia" w:ascii="仿宋_GB2312" w:hAnsi="仿宋_GB2312" w:eastAsia="仿宋_GB2312" w:cs="仿宋_GB2312"/>
          <w:color w:val="000000" w:themeColor="text1"/>
          <w:spacing w:val="11"/>
          <w:sz w:val="24"/>
          <w:szCs w:val="20"/>
          <w14:textFill>
            <w14:solidFill>
              <w14:schemeClr w14:val="tx1"/>
            </w14:solidFill>
          </w14:textFill>
        </w:rPr>
        <w:t>¨¨¨¨¨¨</w:t>
      </w:r>
      <w:r>
        <w:rPr>
          <w:rFonts w:hint="eastAsia" w:ascii="仿宋_GB2312" w:hAnsi="仿宋_GB2312" w:eastAsia="仿宋_GB2312" w:cs="仿宋_GB2312"/>
          <w:color w:val="000000" w:themeColor="text1"/>
          <w:spacing w:val="0"/>
          <w:sz w:val="24"/>
          <w:szCs w:val="20"/>
          <w14:textFill>
            <w14:solidFill>
              <w14:schemeClr w14:val="tx1"/>
            </w14:solidFill>
          </w14:textFill>
        </w:rPr>
        <w:t>¨¨¨¨¨¨</w:t>
      </w:r>
      <w:r>
        <w:rPr>
          <w:rFonts w:hint="eastAsia" w:ascii="仿宋_GB2312" w:hAnsi="仿宋_GB2312" w:eastAsia="仿宋_GB2312" w:cs="仿宋_GB2312"/>
          <w:color w:val="000000" w:themeColor="text1"/>
          <w:spacing w:val="6"/>
          <w:sz w:val="24"/>
          <w:szCs w:val="20"/>
          <w14:textFill>
            <w14:solidFill>
              <w14:schemeClr w14:val="tx1"/>
            </w14:solidFill>
          </w14:textFill>
        </w:rPr>
        <w:t>¨</w:t>
      </w:r>
      <w:r>
        <w:rPr>
          <w:rFonts w:hint="eastAsia" w:ascii="仿宋_GB2312" w:hAnsi="仿宋_GB2312" w:eastAsia="仿宋_GB2312" w:cs="仿宋_GB2312"/>
          <w:color w:val="000000" w:themeColor="text1"/>
          <w:spacing w:val="0"/>
          <w:sz w:val="24"/>
          <w14:textFill>
            <w14:solidFill>
              <w14:schemeClr w14:val="tx1"/>
            </w14:solidFill>
          </w14:textFill>
        </w:rPr>
        <w:t>¨</w:t>
      </w:r>
      <w:r>
        <w:rPr>
          <w:rFonts w:hint="eastAsia" w:ascii="仿宋_GB2312" w:hAnsi="仿宋_GB2312" w:eastAsia="仿宋_GB2312" w:cs="仿宋_GB2312"/>
          <w:color w:val="000000" w:themeColor="text1"/>
          <w:spacing w:val="0"/>
          <w:sz w:val="24"/>
          <w:szCs w:val="20"/>
          <w14:textFill>
            <w14:solidFill>
              <w14:schemeClr w14:val="tx1"/>
            </w14:solidFill>
          </w14:textFill>
        </w:rPr>
        <w:t>¨</w:t>
      </w:r>
      <w:r>
        <w:rPr>
          <w:rFonts w:hint="eastAsia" w:ascii="仿宋_GB2312" w:hAnsi="仿宋_GB2312" w:eastAsia="仿宋_GB2312" w:cs="仿宋_GB2312"/>
          <w:color w:val="000000" w:themeColor="text1"/>
          <w:spacing w:val="6"/>
          <w:sz w:val="24"/>
          <w:szCs w:val="20"/>
          <w14:textFill>
            <w14:solidFill>
              <w14:schemeClr w14:val="tx1"/>
            </w14:solidFill>
          </w14:textFill>
        </w:rPr>
        <w:t>¨¨¨</w:t>
      </w:r>
      <w:r>
        <w:rPr>
          <w:rFonts w:hint="eastAsia" w:ascii="仿宋_GB2312" w:hAnsi="仿宋_GB2312" w:eastAsia="仿宋_GB2312" w:cs="仿宋_GB2312"/>
          <w:color w:val="000000" w:themeColor="text1"/>
          <w:spacing w:val="0"/>
          <w:sz w:val="24"/>
          <w14:textFill>
            <w14:solidFill>
              <w14:schemeClr w14:val="tx1"/>
            </w14:solidFill>
          </w14:textFill>
        </w:rPr>
        <w:t>¨¨</w:t>
      </w:r>
      <w:r>
        <w:rPr>
          <w:rFonts w:hint="eastAsia" w:ascii="仿宋_GB2312" w:hAnsi="仿宋_GB2312" w:eastAsia="仿宋_GB2312" w:cs="仿宋_GB2312"/>
          <w:color w:val="000000" w:themeColor="text1"/>
          <w:spacing w:val="0"/>
          <w:sz w:val="24"/>
          <w:szCs w:val="20"/>
          <w14:textFill>
            <w14:solidFill>
              <w14:schemeClr w14:val="tx1"/>
            </w14:solidFill>
          </w14:textFill>
        </w:rPr>
        <w:t>¨¨¨</w:t>
      </w:r>
      <w:r>
        <w:rPr>
          <w:rFonts w:hint="eastAsia" w:ascii="仿宋_GB2312" w:hAnsi="仿宋_GB2312" w:eastAsia="仿宋_GB2312" w:cs="仿宋_GB2312"/>
          <w:color w:val="000000" w:themeColor="text1"/>
          <w:spacing w:val="0"/>
          <w:sz w:val="24"/>
          <w14:textFill>
            <w14:solidFill>
              <w14:schemeClr w14:val="tx1"/>
            </w14:solidFill>
          </w14:textFill>
        </w:rPr>
        <w:t>¨¨</w:t>
      </w:r>
      <w:r>
        <w:rPr>
          <w:rFonts w:hint="eastAsia" w:ascii="仿宋_GB2312" w:hAnsi="仿宋_GB2312" w:eastAsia="仿宋_GB2312" w:cs="仿宋_GB2312"/>
          <w:color w:val="000000" w:themeColor="text1"/>
          <w:sz w:val="24"/>
          <w:lang w:val="en-US" w:eastAsia="zh-CN"/>
          <w14:textFill>
            <w14:solidFill>
              <w14:schemeClr w14:val="tx1"/>
            </w14:solidFill>
          </w14:textFill>
        </w:rPr>
        <w:t>12</w:t>
      </w:r>
    </w:p>
    <w:p>
      <w:pPr>
        <w:pStyle w:val="12"/>
        <w:adjustRightInd w:val="0"/>
        <w:snapToGrid w:val="0"/>
        <w:spacing w:before="0" w:line="440" w:lineRule="exact"/>
        <w:jc w:val="left"/>
        <w:rPr>
          <w:rFonts w:hint="default" w:ascii="宋体" w:hAnsi="宋体" w:eastAsia="宋体" w:cs="宋体"/>
          <w:color w:val="000000" w:themeColor="text1"/>
          <w:sz w:val="24"/>
          <w:szCs w:val="24"/>
          <w:highlight w:val="none"/>
          <w:lang w:val="en-US"/>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三、支出决算情况说明</w:t>
      </w:r>
      <w:r>
        <w:rPr>
          <w:rFonts w:hint="eastAsia" w:ascii="仿宋_GB2312" w:hAnsi="仿宋_GB2312" w:eastAsia="仿宋_GB2312" w:cs="仿宋_GB2312"/>
          <w:color w:val="000000" w:themeColor="text1"/>
          <w:spacing w:val="11"/>
          <w:sz w:val="24"/>
          <w:szCs w:val="20"/>
          <w14:textFill>
            <w14:solidFill>
              <w14:schemeClr w14:val="tx1"/>
            </w14:solidFill>
          </w14:textFill>
        </w:rPr>
        <w:t>¨¨¨¨¨¨¨¨¨¨¨</w:t>
      </w:r>
      <w:r>
        <w:rPr>
          <w:rFonts w:hint="eastAsia" w:ascii="仿宋_GB2312" w:hAnsi="仿宋_GB2312" w:eastAsia="仿宋_GB2312" w:cs="仿宋_GB2312"/>
          <w:color w:val="000000" w:themeColor="text1"/>
          <w:spacing w:val="0"/>
          <w:sz w:val="24"/>
          <w:szCs w:val="20"/>
          <w14:textFill>
            <w14:solidFill>
              <w14:schemeClr w14:val="tx1"/>
            </w14:solidFill>
          </w14:textFill>
        </w:rPr>
        <w:t>¨¨¨</w:t>
      </w:r>
      <w:r>
        <w:rPr>
          <w:rFonts w:hint="eastAsia" w:ascii="仿宋_GB2312" w:hAnsi="仿宋_GB2312" w:eastAsia="仿宋_GB2312" w:cs="仿宋_GB2312"/>
          <w:color w:val="000000" w:themeColor="text1"/>
          <w:spacing w:val="0"/>
          <w:sz w:val="24"/>
          <w14:textFill>
            <w14:solidFill>
              <w14:schemeClr w14:val="tx1"/>
            </w14:solidFill>
          </w14:textFill>
        </w:rPr>
        <w:t>¨</w:t>
      </w:r>
      <w:r>
        <w:rPr>
          <w:rFonts w:hint="eastAsia" w:ascii="仿宋_GB2312" w:hAnsi="仿宋_GB2312" w:eastAsia="仿宋_GB2312" w:cs="仿宋_GB2312"/>
          <w:color w:val="000000" w:themeColor="text1"/>
          <w:spacing w:val="0"/>
          <w:sz w:val="24"/>
          <w:szCs w:val="20"/>
          <w14:textFill>
            <w14:solidFill>
              <w14:schemeClr w14:val="tx1"/>
            </w14:solidFill>
          </w14:textFill>
        </w:rPr>
        <w:t>¨</w:t>
      </w:r>
      <w:r>
        <w:rPr>
          <w:rFonts w:hint="eastAsia" w:ascii="仿宋_GB2312" w:hAnsi="仿宋_GB2312" w:eastAsia="仿宋_GB2312" w:cs="仿宋_GB2312"/>
          <w:color w:val="000000" w:themeColor="text1"/>
          <w:spacing w:val="0"/>
          <w:sz w:val="24"/>
          <w14:textFill>
            <w14:solidFill>
              <w14:schemeClr w14:val="tx1"/>
            </w14:solidFill>
          </w14:textFill>
        </w:rPr>
        <w:t>¨</w:t>
      </w:r>
      <w:r>
        <w:rPr>
          <w:rFonts w:hint="eastAsia" w:ascii="仿宋_GB2312" w:hAnsi="仿宋_GB2312" w:eastAsia="仿宋_GB2312" w:cs="仿宋_GB2312"/>
          <w:color w:val="000000" w:themeColor="text1"/>
          <w:spacing w:val="0"/>
          <w:sz w:val="24"/>
          <w:szCs w:val="20"/>
          <w14:textFill>
            <w14:solidFill>
              <w14:schemeClr w14:val="tx1"/>
            </w14:solidFill>
          </w14:textFill>
        </w:rPr>
        <w:t>¨</w:t>
      </w:r>
      <w:r>
        <w:rPr>
          <w:rFonts w:hint="eastAsia" w:ascii="仿宋_GB2312" w:hAnsi="仿宋_GB2312" w:eastAsia="仿宋_GB2312" w:cs="仿宋_GB2312"/>
          <w:color w:val="000000" w:themeColor="text1"/>
          <w:spacing w:val="0"/>
          <w:sz w:val="24"/>
          <w14:textFill>
            <w14:solidFill>
              <w14:schemeClr w14:val="tx1"/>
            </w14:solidFill>
          </w14:textFill>
        </w:rPr>
        <w:t>¨</w:t>
      </w:r>
      <w:r>
        <w:rPr>
          <w:rFonts w:hint="eastAsia" w:ascii="仿宋_GB2312" w:hAnsi="仿宋_GB2312" w:eastAsia="仿宋_GB2312" w:cs="仿宋_GB2312"/>
          <w:color w:val="000000" w:themeColor="text1"/>
          <w:spacing w:val="0"/>
          <w:sz w:val="24"/>
          <w:szCs w:val="20"/>
          <w14:textFill>
            <w14:solidFill>
              <w14:schemeClr w14:val="tx1"/>
            </w14:solidFill>
          </w14:textFill>
        </w:rPr>
        <w:t>¨</w:t>
      </w:r>
      <w:r>
        <w:rPr>
          <w:rFonts w:hint="eastAsia" w:ascii="仿宋_GB2312" w:hAnsi="仿宋_GB2312" w:eastAsia="仿宋_GB2312" w:cs="仿宋_GB2312"/>
          <w:color w:val="000000" w:themeColor="text1"/>
          <w:spacing w:val="0"/>
          <w:sz w:val="24"/>
          <w14:textFill>
            <w14:solidFill>
              <w14:schemeClr w14:val="tx1"/>
            </w14:solidFill>
          </w14:textFill>
        </w:rPr>
        <w:t>¨¨</w:t>
      </w:r>
      <w:r>
        <w:rPr>
          <w:rFonts w:hint="eastAsia" w:ascii="仿宋_GB2312" w:hAnsi="仿宋_GB2312" w:eastAsia="仿宋_GB2312" w:cs="仿宋_GB2312"/>
          <w:color w:val="000000" w:themeColor="text1"/>
          <w:spacing w:val="0"/>
          <w:sz w:val="24"/>
          <w:szCs w:val="20"/>
          <w14:textFill>
            <w14:solidFill>
              <w14:schemeClr w14:val="tx1"/>
            </w14:solidFill>
          </w14:textFill>
        </w:rPr>
        <w:t>¨</w:t>
      </w:r>
      <w:r>
        <w:rPr>
          <w:rFonts w:hint="eastAsia" w:ascii="仿宋_GB2312" w:hAnsi="仿宋_GB2312" w:eastAsia="仿宋_GB2312" w:cs="仿宋_GB2312"/>
          <w:color w:val="000000" w:themeColor="text1"/>
          <w:spacing w:val="0"/>
          <w:sz w:val="24"/>
          <w14:textFill>
            <w14:solidFill>
              <w14:schemeClr w14:val="tx1"/>
            </w14:solidFill>
          </w14:textFill>
        </w:rPr>
        <w:t>¨¨</w:t>
      </w:r>
      <w:r>
        <w:rPr>
          <w:rFonts w:hint="eastAsia" w:ascii="仿宋_GB2312" w:hAnsi="仿宋_GB2312" w:eastAsia="仿宋_GB2312" w:cs="仿宋_GB2312"/>
          <w:color w:val="000000" w:themeColor="text1"/>
          <w:sz w:val="24"/>
          <w:lang w:val="en-US" w:eastAsia="zh-CN"/>
          <w14:textFill>
            <w14:solidFill>
              <w14:schemeClr w14:val="tx1"/>
            </w14:solidFill>
          </w14:textFill>
        </w:rPr>
        <w:t>13</w:t>
      </w:r>
    </w:p>
    <w:p>
      <w:pPr>
        <w:pStyle w:val="12"/>
        <w:adjustRightInd w:val="0"/>
        <w:snapToGrid w:val="0"/>
        <w:spacing w:before="0" w:line="440" w:lineRule="exact"/>
        <w:jc w:val="left"/>
        <w:rPr>
          <w:rFonts w:hint="default" w:ascii="宋体" w:hAnsi="宋体" w:eastAsia="宋体" w:cs="宋体"/>
          <w:color w:val="000000" w:themeColor="text1"/>
          <w:sz w:val="24"/>
          <w:szCs w:val="24"/>
          <w:highlight w:val="none"/>
          <w:lang w:val="en-US"/>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四、财政拨款收入支出决算总体情况说明</w:t>
      </w:r>
      <w:r>
        <w:rPr>
          <w:rFonts w:hint="eastAsia" w:ascii="仿宋_GB2312" w:hAnsi="仿宋_GB2312" w:eastAsia="仿宋_GB2312" w:cs="仿宋_GB2312"/>
          <w:color w:val="000000" w:themeColor="text1"/>
          <w:spacing w:val="11"/>
          <w:sz w:val="24"/>
          <w:szCs w:val="20"/>
          <w14:textFill>
            <w14:solidFill>
              <w14:schemeClr w14:val="tx1"/>
            </w14:solidFill>
          </w14:textFill>
        </w:rPr>
        <w:t>¨¨¨¨¨¨¨¨¨¨¨</w:t>
      </w:r>
      <w:r>
        <w:rPr>
          <w:rFonts w:hint="eastAsia" w:ascii="仿宋_GB2312" w:hAnsi="仿宋_GB2312" w:eastAsia="仿宋_GB2312" w:cs="仿宋_GB2312"/>
          <w:color w:val="000000" w:themeColor="text1"/>
          <w:spacing w:val="6"/>
          <w:sz w:val="24"/>
          <w:szCs w:val="20"/>
          <w14:textFill>
            <w14:solidFill>
              <w14:schemeClr w14:val="tx1"/>
            </w14:solidFill>
          </w14:textFill>
        </w:rPr>
        <w:t>¨¨</w:t>
      </w:r>
      <w:r>
        <w:rPr>
          <w:rFonts w:hint="eastAsia" w:ascii="仿宋_GB2312" w:hAnsi="仿宋_GB2312" w:eastAsia="仿宋_GB2312" w:cs="仿宋_GB2312"/>
          <w:color w:val="000000" w:themeColor="text1"/>
          <w:spacing w:val="11"/>
          <w:sz w:val="24"/>
          <w:szCs w:val="20"/>
          <w14:textFill>
            <w14:solidFill>
              <w14:schemeClr w14:val="tx1"/>
            </w14:solidFill>
          </w14:textFill>
        </w:rPr>
        <w:t>¨</w:t>
      </w:r>
      <w:r>
        <w:rPr>
          <w:rFonts w:hint="eastAsia" w:ascii="仿宋_GB2312" w:hAnsi="仿宋_GB2312" w:eastAsia="仿宋_GB2312" w:cs="仿宋_GB2312"/>
          <w:color w:val="000000" w:themeColor="text1"/>
          <w:spacing w:val="6"/>
          <w:sz w:val="24"/>
          <w:szCs w:val="20"/>
          <w14:textFill>
            <w14:solidFill>
              <w14:schemeClr w14:val="tx1"/>
            </w14:solidFill>
          </w14:textFill>
        </w:rPr>
        <w:t>¨</w:t>
      </w:r>
      <w:r>
        <w:rPr>
          <w:rFonts w:hint="eastAsia" w:ascii="仿宋_GB2312" w:hAnsi="仿宋_GB2312" w:eastAsia="仿宋_GB2312" w:cs="仿宋_GB2312"/>
          <w:color w:val="000000" w:themeColor="text1"/>
          <w:spacing w:val="6"/>
          <w:sz w:val="24"/>
          <w14:textFill>
            <w14:solidFill>
              <w14:schemeClr w14:val="tx1"/>
            </w14:solidFill>
          </w14:textFill>
        </w:rPr>
        <w:t>¨</w:t>
      </w:r>
      <w:r>
        <w:rPr>
          <w:rFonts w:hint="eastAsia" w:ascii="仿宋_GB2312" w:hAnsi="仿宋_GB2312" w:eastAsia="仿宋_GB2312" w:cs="仿宋_GB2312"/>
          <w:color w:val="000000" w:themeColor="text1"/>
          <w:sz w:val="24"/>
          <w14:textFill>
            <w14:solidFill>
              <w14:schemeClr w14:val="tx1"/>
            </w14:solidFill>
          </w14:textFill>
        </w:rPr>
        <w:t>¨</w:t>
      </w:r>
      <w:r>
        <w:rPr>
          <w:rFonts w:hint="eastAsia" w:ascii="仿宋_GB2312" w:hAnsi="仿宋_GB2312" w:eastAsia="仿宋_GB2312" w:cs="仿宋_GB2312"/>
          <w:color w:val="000000" w:themeColor="text1"/>
          <w:sz w:val="24"/>
          <w:lang w:val="en-US" w:eastAsia="zh-CN"/>
          <w14:textFill>
            <w14:solidFill>
              <w14:schemeClr w14:val="tx1"/>
            </w14:solidFill>
          </w14:textFill>
        </w:rPr>
        <w:t>14</w:t>
      </w:r>
    </w:p>
    <w:p>
      <w:pPr>
        <w:pStyle w:val="12"/>
        <w:adjustRightInd w:val="0"/>
        <w:snapToGrid w:val="0"/>
        <w:spacing w:before="0" w:line="440" w:lineRule="exact"/>
        <w:jc w:val="left"/>
        <w:rPr>
          <w:rFonts w:hint="default" w:ascii="宋体" w:hAnsi="宋体" w:eastAsia="宋体" w:cs="宋体"/>
          <w:color w:val="000000" w:themeColor="text1"/>
          <w:sz w:val="24"/>
          <w:szCs w:val="24"/>
          <w:highlight w:val="none"/>
          <w:lang w:val="en-US"/>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五、一般公共预算财政拨款支出决算情况说明</w:t>
      </w:r>
      <w:r>
        <w:rPr>
          <w:rFonts w:hint="eastAsia" w:ascii="仿宋_GB2312" w:hAnsi="仿宋_GB2312" w:eastAsia="仿宋_GB2312" w:cs="仿宋_GB2312"/>
          <w:color w:val="000000" w:themeColor="text1"/>
          <w:spacing w:val="11"/>
          <w:sz w:val="24"/>
          <w:szCs w:val="20"/>
          <w14:textFill>
            <w14:solidFill>
              <w14:schemeClr w14:val="tx1"/>
            </w14:solidFill>
          </w14:textFill>
        </w:rPr>
        <w:t>¨¨¨¨¨¨¨¨¨</w:t>
      </w:r>
      <w:r>
        <w:rPr>
          <w:rFonts w:hint="eastAsia" w:ascii="仿宋_GB2312" w:hAnsi="仿宋_GB2312" w:eastAsia="仿宋_GB2312" w:cs="仿宋_GB2312"/>
          <w:color w:val="000000" w:themeColor="text1"/>
          <w:spacing w:val="6"/>
          <w:sz w:val="24"/>
          <w:szCs w:val="20"/>
          <w14:textFill>
            <w14:solidFill>
              <w14:schemeClr w14:val="tx1"/>
            </w14:solidFill>
          </w14:textFill>
        </w:rPr>
        <w:t>¨¨</w:t>
      </w:r>
      <w:r>
        <w:rPr>
          <w:rFonts w:hint="eastAsia" w:ascii="仿宋_GB2312" w:hAnsi="仿宋_GB2312" w:eastAsia="仿宋_GB2312" w:cs="仿宋_GB2312"/>
          <w:color w:val="000000" w:themeColor="text1"/>
          <w:spacing w:val="11"/>
          <w:sz w:val="24"/>
          <w:szCs w:val="20"/>
          <w14:textFill>
            <w14:solidFill>
              <w14:schemeClr w14:val="tx1"/>
            </w14:solidFill>
          </w14:textFill>
        </w:rPr>
        <w:t>¨</w:t>
      </w:r>
      <w:r>
        <w:rPr>
          <w:rFonts w:hint="eastAsia" w:ascii="仿宋_GB2312" w:hAnsi="仿宋_GB2312" w:eastAsia="仿宋_GB2312" w:cs="仿宋_GB2312"/>
          <w:color w:val="000000" w:themeColor="text1"/>
          <w:spacing w:val="6"/>
          <w:sz w:val="24"/>
          <w:szCs w:val="20"/>
          <w14:textFill>
            <w14:solidFill>
              <w14:schemeClr w14:val="tx1"/>
            </w14:solidFill>
          </w14:textFill>
        </w:rPr>
        <w:t>¨</w:t>
      </w:r>
      <w:r>
        <w:rPr>
          <w:rFonts w:hint="eastAsia" w:ascii="仿宋_GB2312" w:hAnsi="仿宋_GB2312" w:eastAsia="仿宋_GB2312" w:cs="仿宋_GB2312"/>
          <w:color w:val="000000" w:themeColor="text1"/>
          <w:spacing w:val="6"/>
          <w:sz w:val="24"/>
          <w14:textFill>
            <w14:solidFill>
              <w14:schemeClr w14:val="tx1"/>
            </w14:solidFill>
          </w14:textFill>
        </w:rPr>
        <w:t>¨</w:t>
      </w:r>
      <w:r>
        <w:rPr>
          <w:rFonts w:hint="eastAsia" w:ascii="仿宋_GB2312" w:hAnsi="仿宋_GB2312" w:eastAsia="仿宋_GB2312" w:cs="仿宋_GB2312"/>
          <w:color w:val="000000" w:themeColor="text1"/>
          <w:sz w:val="24"/>
          <w14:textFill>
            <w14:solidFill>
              <w14:schemeClr w14:val="tx1"/>
            </w14:solidFill>
          </w14:textFill>
        </w:rPr>
        <w:t>¨</w:t>
      </w:r>
      <w:r>
        <w:rPr>
          <w:rFonts w:hint="eastAsia" w:ascii="仿宋_GB2312" w:hAnsi="仿宋_GB2312" w:eastAsia="仿宋_GB2312" w:cs="仿宋_GB2312"/>
          <w:color w:val="000000" w:themeColor="text1"/>
          <w:sz w:val="24"/>
          <w:lang w:val="en-US" w:eastAsia="zh-CN"/>
          <w14:textFill>
            <w14:solidFill>
              <w14:schemeClr w14:val="tx1"/>
            </w14:solidFill>
          </w14:textFill>
        </w:rPr>
        <w:t>15</w:t>
      </w:r>
    </w:p>
    <w:p>
      <w:pPr>
        <w:pStyle w:val="12"/>
        <w:adjustRightInd w:val="0"/>
        <w:snapToGrid w:val="0"/>
        <w:spacing w:before="0" w:line="440" w:lineRule="exact"/>
        <w:jc w:val="left"/>
        <w:rPr>
          <w:rFonts w:hint="default" w:ascii="宋体" w:hAnsi="宋体" w:eastAsia="宋体" w:cs="宋体"/>
          <w:color w:val="000000" w:themeColor="text1"/>
          <w:sz w:val="24"/>
          <w:szCs w:val="24"/>
          <w:highlight w:val="none"/>
          <w:lang w:val="en-US"/>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六、一般公共预算财政拨款基本支出决算情况说明</w:t>
      </w:r>
      <w:r>
        <w:rPr>
          <w:rFonts w:hint="eastAsia" w:ascii="仿宋_GB2312" w:hAnsi="仿宋_GB2312" w:eastAsia="仿宋_GB2312" w:cs="仿宋_GB2312"/>
          <w:color w:val="000000" w:themeColor="text1"/>
          <w:spacing w:val="11"/>
          <w:sz w:val="24"/>
          <w:szCs w:val="20"/>
          <w14:textFill>
            <w14:solidFill>
              <w14:schemeClr w14:val="tx1"/>
            </w14:solidFill>
          </w14:textFill>
        </w:rPr>
        <w:t>¨¨¨¨</w:t>
      </w:r>
      <w:r>
        <w:rPr>
          <w:rFonts w:hint="eastAsia" w:ascii="仿宋_GB2312" w:hAnsi="仿宋_GB2312" w:eastAsia="仿宋_GB2312" w:cs="仿宋_GB2312"/>
          <w:color w:val="000000" w:themeColor="text1"/>
          <w:spacing w:val="6"/>
          <w:sz w:val="24"/>
          <w:szCs w:val="20"/>
          <w14:textFill>
            <w14:solidFill>
              <w14:schemeClr w14:val="tx1"/>
            </w14:solidFill>
          </w14:textFill>
        </w:rPr>
        <w:t>¨¨¨¨¨¨¨</w:t>
      </w:r>
      <w:r>
        <w:rPr>
          <w:rFonts w:hint="eastAsia" w:ascii="仿宋_GB2312" w:hAnsi="仿宋_GB2312" w:eastAsia="仿宋_GB2312" w:cs="仿宋_GB2312"/>
          <w:color w:val="000000" w:themeColor="text1"/>
          <w:spacing w:val="6"/>
          <w:sz w:val="24"/>
          <w14:textFill>
            <w14:solidFill>
              <w14:schemeClr w14:val="tx1"/>
            </w14:solidFill>
          </w14:textFill>
        </w:rPr>
        <w:t>¨</w:t>
      </w:r>
      <w:r>
        <w:rPr>
          <w:rFonts w:hint="eastAsia" w:ascii="仿宋_GB2312" w:hAnsi="仿宋_GB2312" w:eastAsia="仿宋_GB2312" w:cs="仿宋_GB2312"/>
          <w:color w:val="000000" w:themeColor="text1"/>
          <w:sz w:val="24"/>
          <w14:textFill>
            <w14:solidFill>
              <w14:schemeClr w14:val="tx1"/>
            </w14:solidFill>
          </w14:textFill>
        </w:rPr>
        <w:t>¨</w:t>
      </w:r>
      <w:r>
        <w:rPr>
          <w:rFonts w:hint="eastAsia" w:ascii="仿宋_GB2312" w:hAnsi="仿宋_GB2312" w:eastAsia="仿宋_GB2312" w:cs="仿宋_GB2312"/>
          <w:color w:val="000000" w:themeColor="text1"/>
          <w:sz w:val="24"/>
          <w:lang w:val="en-US" w:eastAsia="zh-CN"/>
          <w14:textFill>
            <w14:solidFill>
              <w14:schemeClr w14:val="tx1"/>
            </w14:solidFill>
          </w14:textFill>
        </w:rPr>
        <w:t>19</w:t>
      </w:r>
    </w:p>
    <w:p>
      <w:pPr>
        <w:pStyle w:val="13"/>
        <w:adjustRightInd w:val="0"/>
        <w:snapToGrid w:val="0"/>
        <w:spacing w:line="440" w:lineRule="exact"/>
        <w:ind w:left="0" w:leftChars="0" w:firstLine="0" w:firstLineChars="0"/>
        <w:jc w:val="left"/>
        <w:rPr>
          <w:rFonts w:hint="default" w:ascii="宋体" w:hAnsi="宋体" w:eastAsia="宋体" w:cs="宋体"/>
          <w:color w:val="000000" w:themeColor="text1"/>
          <w:sz w:val="24"/>
          <w:szCs w:val="24"/>
          <w:highlight w:val="none"/>
          <w:lang w:val="en-US"/>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七、</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三公”经费财政拨款支出决算情况说明</w:t>
      </w:r>
      <w:r>
        <w:rPr>
          <w:rFonts w:hint="eastAsia" w:ascii="仿宋_GB2312" w:hAnsi="仿宋_GB2312" w:eastAsia="仿宋_GB2312" w:cs="仿宋_GB2312"/>
          <w:color w:val="000000" w:themeColor="text1"/>
          <w:spacing w:val="11"/>
          <w:sz w:val="24"/>
          <w:szCs w:val="20"/>
          <w14:textFill>
            <w14:solidFill>
              <w14:schemeClr w14:val="tx1"/>
            </w14:solidFill>
          </w14:textFill>
        </w:rPr>
        <w:t>¨¨¨¨¨¨¨</w:t>
      </w:r>
      <w:r>
        <w:rPr>
          <w:rFonts w:hint="eastAsia" w:ascii="仿宋_GB2312" w:hAnsi="仿宋_GB2312" w:eastAsia="仿宋_GB2312" w:cs="仿宋_GB2312"/>
          <w:color w:val="000000" w:themeColor="text1"/>
          <w:spacing w:val="6"/>
          <w:sz w:val="24"/>
          <w:szCs w:val="20"/>
          <w14:textFill>
            <w14:solidFill>
              <w14:schemeClr w14:val="tx1"/>
            </w14:solidFill>
          </w14:textFill>
        </w:rPr>
        <w:t>¨¨</w:t>
      </w:r>
      <w:r>
        <w:rPr>
          <w:rFonts w:hint="eastAsia" w:ascii="仿宋_GB2312" w:hAnsi="仿宋_GB2312" w:eastAsia="仿宋_GB2312" w:cs="仿宋_GB2312"/>
          <w:color w:val="000000" w:themeColor="text1"/>
          <w:spacing w:val="11"/>
          <w:sz w:val="24"/>
          <w:szCs w:val="20"/>
          <w14:textFill>
            <w14:solidFill>
              <w14:schemeClr w14:val="tx1"/>
            </w14:solidFill>
          </w14:textFill>
        </w:rPr>
        <w:t>¨¨¨</w:t>
      </w:r>
      <w:r>
        <w:rPr>
          <w:rFonts w:hint="eastAsia" w:ascii="仿宋_GB2312" w:hAnsi="仿宋_GB2312" w:eastAsia="仿宋_GB2312" w:cs="仿宋_GB2312"/>
          <w:color w:val="000000" w:themeColor="text1"/>
          <w:spacing w:val="6"/>
          <w:sz w:val="24"/>
          <w:szCs w:val="20"/>
          <w14:textFill>
            <w14:solidFill>
              <w14:schemeClr w14:val="tx1"/>
            </w14:solidFill>
          </w14:textFill>
        </w:rPr>
        <w:t>¨</w:t>
      </w:r>
      <w:r>
        <w:rPr>
          <w:rFonts w:hint="eastAsia" w:ascii="仿宋_GB2312" w:hAnsi="仿宋_GB2312" w:eastAsia="仿宋_GB2312" w:cs="仿宋_GB2312"/>
          <w:color w:val="000000" w:themeColor="text1"/>
          <w:spacing w:val="6"/>
          <w:sz w:val="24"/>
          <w14:textFill>
            <w14:solidFill>
              <w14:schemeClr w14:val="tx1"/>
            </w14:solidFill>
          </w14:textFill>
        </w:rPr>
        <w:t>¨</w:t>
      </w:r>
      <w:r>
        <w:rPr>
          <w:rFonts w:hint="eastAsia" w:ascii="仿宋_GB2312" w:hAnsi="仿宋_GB2312" w:eastAsia="仿宋_GB2312" w:cs="仿宋_GB2312"/>
          <w:color w:val="000000" w:themeColor="text1"/>
          <w:sz w:val="24"/>
          <w14:textFill>
            <w14:solidFill>
              <w14:schemeClr w14:val="tx1"/>
            </w14:solidFill>
          </w14:textFill>
        </w:rPr>
        <w:t>¨</w:t>
      </w:r>
      <w:r>
        <w:rPr>
          <w:rFonts w:hint="eastAsia" w:ascii="仿宋_GB2312" w:hAnsi="仿宋_GB2312" w:eastAsia="仿宋_GB2312" w:cs="仿宋_GB2312"/>
          <w:color w:val="000000" w:themeColor="text1"/>
          <w:sz w:val="24"/>
          <w:lang w:val="en-US" w:eastAsia="zh-CN"/>
          <w14:textFill>
            <w14:solidFill>
              <w14:schemeClr w14:val="tx1"/>
            </w14:solidFill>
          </w14:textFill>
        </w:rPr>
        <w:t>20</w:t>
      </w:r>
    </w:p>
    <w:p>
      <w:pPr>
        <w:pStyle w:val="13"/>
        <w:adjustRightInd w:val="0"/>
        <w:snapToGrid w:val="0"/>
        <w:spacing w:line="440" w:lineRule="exact"/>
        <w:ind w:left="0" w:leftChars="0" w:firstLine="0" w:firstLineChars="0"/>
        <w:jc w:val="left"/>
        <w:rPr>
          <w:rFonts w:hint="default" w:ascii="宋体" w:hAnsi="宋体" w:eastAsia="宋体" w:cs="宋体"/>
          <w:color w:val="000000" w:themeColor="text1"/>
          <w:sz w:val="24"/>
          <w:szCs w:val="24"/>
          <w:highlight w:val="none"/>
          <w:lang w:val="en-US"/>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八、政府性基金预算支出决算情况说明</w:t>
      </w:r>
      <w:r>
        <w:rPr>
          <w:rFonts w:hint="eastAsia" w:ascii="仿宋_GB2312" w:hAnsi="仿宋_GB2312" w:eastAsia="仿宋_GB2312" w:cs="仿宋_GB2312"/>
          <w:color w:val="000000" w:themeColor="text1"/>
          <w:spacing w:val="11"/>
          <w:sz w:val="24"/>
          <w:szCs w:val="20"/>
          <w14:textFill>
            <w14:solidFill>
              <w14:schemeClr w14:val="tx1"/>
            </w14:solidFill>
          </w14:textFill>
        </w:rPr>
        <w:t>¨¨¨¨¨¨¨¨¨</w:t>
      </w:r>
      <w:r>
        <w:rPr>
          <w:rFonts w:hint="eastAsia" w:ascii="仿宋_GB2312" w:hAnsi="仿宋_GB2312" w:eastAsia="仿宋_GB2312" w:cs="仿宋_GB2312"/>
          <w:color w:val="000000" w:themeColor="text1"/>
          <w:spacing w:val="6"/>
          <w:sz w:val="24"/>
          <w:szCs w:val="20"/>
          <w14:textFill>
            <w14:solidFill>
              <w14:schemeClr w14:val="tx1"/>
            </w14:solidFill>
          </w14:textFill>
        </w:rPr>
        <w:t>¨¨¨¨¨</w:t>
      </w:r>
      <w:r>
        <w:rPr>
          <w:rFonts w:hint="eastAsia" w:ascii="仿宋_GB2312" w:hAnsi="仿宋_GB2312" w:eastAsia="仿宋_GB2312" w:cs="仿宋_GB2312"/>
          <w:color w:val="000000" w:themeColor="text1"/>
          <w:spacing w:val="11"/>
          <w:sz w:val="24"/>
          <w:szCs w:val="20"/>
          <w14:textFill>
            <w14:solidFill>
              <w14:schemeClr w14:val="tx1"/>
            </w14:solidFill>
          </w14:textFill>
        </w:rPr>
        <w:t>¨</w:t>
      </w:r>
      <w:r>
        <w:rPr>
          <w:rFonts w:hint="eastAsia" w:ascii="仿宋_GB2312" w:hAnsi="仿宋_GB2312" w:eastAsia="仿宋_GB2312" w:cs="仿宋_GB2312"/>
          <w:color w:val="000000" w:themeColor="text1"/>
          <w:spacing w:val="6"/>
          <w:sz w:val="24"/>
          <w:szCs w:val="20"/>
          <w14:textFill>
            <w14:solidFill>
              <w14:schemeClr w14:val="tx1"/>
            </w14:solidFill>
          </w14:textFill>
        </w:rPr>
        <w:t>¨</w:t>
      </w:r>
      <w:r>
        <w:rPr>
          <w:rFonts w:hint="eastAsia" w:ascii="仿宋_GB2312" w:hAnsi="仿宋_GB2312" w:eastAsia="仿宋_GB2312" w:cs="仿宋_GB2312"/>
          <w:color w:val="000000" w:themeColor="text1"/>
          <w:spacing w:val="6"/>
          <w:sz w:val="24"/>
          <w14:textFill>
            <w14:solidFill>
              <w14:schemeClr w14:val="tx1"/>
            </w14:solidFill>
          </w14:textFill>
        </w:rPr>
        <w:t>¨</w:t>
      </w:r>
      <w:r>
        <w:rPr>
          <w:rFonts w:hint="eastAsia" w:ascii="仿宋_GB2312" w:hAnsi="仿宋_GB2312" w:eastAsia="仿宋_GB2312" w:cs="仿宋_GB2312"/>
          <w:color w:val="000000" w:themeColor="text1"/>
          <w:sz w:val="24"/>
          <w14:textFill>
            <w14:solidFill>
              <w14:schemeClr w14:val="tx1"/>
            </w14:solidFill>
          </w14:textFill>
        </w:rPr>
        <w:t>¨</w:t>
      </w:r>
      <w:r>
        <w:rPr>
          <w:rFonts w:hint="eastAsia" w:ascii="仿宋_GB2312" w:hAnsi="仿宋_GB2312" w:eastAsia="仿宋_GB2312" w:cs="仿宋_GB2312"/>
          <w:color w:val="000000" w:themeColor="text1"/>
          <w:sz w:val="24"/>
          <w:lang w:val="en-US" w:eastAsia="zh-CN"/>
          <w14:textFill>
            <w14:solidFill>
              <w14:schemeClr w14:val="tx1"/>
            </w14:solidFill>
          </w14:textFill>
        </w:rPr>
        <w:t>22</w:t>
      </w:r>
    </w:p>
    <w:p>
      <w:pPr>
        <w:pStyle w:val="13"/>
        <w:adjustRightInd w:val="0"/>
        <w:snapToGrid w:val="0"/>
        <w:spacing w:line="440" w:lineRule="exact"/>
        <w:ind w:left="0" w:leftChars="0" w:firstLine="0" w:firstLineChars="0"/>
        <w:jc w:val="left"/>
        <w:rPr>
          <w:rFonts w:hint="default" w:ascii="宋体" w:hAnsi="宋体" w:eastAsia="宋体" w:cs="宋体"/>
          <w:color w:val="000000" w:themeColor="text1"/>
          <w:sz w:val="24"/>
          <w:szCs w:val="24"/>
          <w:highlight w:val="none"/>
          <w:lang w:val="en-US"/>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九、</w:t>
      </w:r>
      <w:r>
        <w:rPr>
          <w:rFonts w:hint="eastAsia" w:ascii="宋体" w:hAnsi="宋体" w:eastAsia="宋体" w:cs="宋体"/>
          <w:color w:val="000000" w:themeColor="text1"/>
          <w:sz w:val="24"/>
          <w:szCs w:val="24"/>
          <w:highlight w:val="none"/>
          <w:lang w:eastAsia="zh-CN"/>
          <w14:textFill>
            <w14:solidFill>
              <w14:schemeClr w14:val="tx1"/>
            </w14:solidFill>
          </w14:textFill>
        </w:rPr>
        <w:t>国</w:t>
      </w:r>
      <w:r>
        <w:rPr>
          <w:rFonts w:hint="eastAsia" w:ascii="宋体" w:hAnsi="宋体" w:eastAsia="宋体" w:cs="宋体"/>
          <w:color w:val="000000" w:themeColor="text1"/>
          <w:sz w:val="24"/>
          <w:szCs w:val="24"/>
          <w:highlight w:val="none"/>
          <w14:textFill>
            <w14:solidFill>
              <w14:schemeClr w14:val="tx1"/>
            </w14:solidFill>
          </w14:textFill>
        </w:rPr>
        <w:t>有资本经营预算支出决算情况说明</w:t>
      </w:r>
      <w:r>
        <w:rPr>
          <w:rFonts w:hint="eastAsia" w:ascii="仿宋_GB2312" w:hAnsi="仿宋_GB2312" w:eastAsia="仿宋_GB2312" w:cs="仿宋_GB2312"/>
          <w:color w:val="000000" w:themeColor="text1"/>
          <w:spacing w:val="11"/>
          <w:sz w:val="24"/>
          <w:szCs w:val="20"/>
          <w14:textFill>
            <w14:solidFill>
              <w14:schemeClr w14:val="tx1"/>
            </w14:solidFill>
          </w14:textFill>
        </w:rPr>
        <w:t>¨¨¨¨¨¨¨¨</w:t>
      </w:r>
      <w:r>
        <w:rPr>
          <w:rFonts w:hint="eastAsia" w:ascii="仿宋_GB2312" w:hAnsi="仿宋_GB2312" w:eastAsia="仿宋_GB2312" w:cs="仿宋_GB2312"/>
          <w:color w:val="000000" w:themeColor="text1"/>
          <w:spacing w:val="6"/>
          <w:sz w:val="24"/>
          <w:szCs w:val="20"/>
          <w14:textFill>
            <w14:solidFill>
              <w14:schemeClr w14:val="tx1"/>
            </w14:solidFill>
          </w14:textFill>
        </w:rPr>
        <w:t>¨¨¨¨</w:t>
      </w:r>
      <w:r>
        <w:rPr>
          <w:rFonts w:hint="eastAsia" w:ascii="仿宋_GB2312" w:hAnsi="仿宋_GB2312" w:eastAsia="仿宋_GB2312" w:cs="仿宋_GB2312"/>
          <w:color w:val="000000" w:themeColor="text1"/>
          <w:spacing w:val="11"/>
          <w:sz w:val="24"/>
          <w:szCs w:val="20"/>
          <w14:textFill>
            <w14:solidFill>
              <w14:schemeClr w14:val="tx1"/>
            </w14:solidFill>
          </w14:textFill>
        </w:rPr>
        <w:t>¨¨</w:t>
      </w:r>
      <w:r>
        <w:rPr>
          <w:rFonts w:hint="eastAsia" w:ascii="仿宋_GB2312" w:hAnsi="仿宋_GB2312" w:eastAsia="仿宋_GB2312" w:cs="仿宋_GB2312"/>
          <w:color w:val="000000" w:themeColor="text1"/>
          <w:spacing w:val="6"/>
          <w:sz w:val="24"/>
          <w:szCs w:val="20"/>
          <w14:textFill>
            <w14:solidFill>
              <w14:schemeClr w14:val="tx1"/>
            </w14:solidFill>
          </w14:textFill>
        </w:rPr>
        <w:t>¨</w:t>
      </w:r>
      <w:r>
        <w:rPr>
          <w:rFonts w:hint="eastAsia" w:ascii="仿宋_GB2312" w:hAnsi="仿宋_GB2312" w:eastAsia="仿宋_GB2312" w:cs="仿宋_GB2312"/>
          <w:color w:val="000000" w:themeColor="text1"/>
          <w:spacing w:val="6"/>
          <w:sz w:val="24"/>
          <w14:textFill>
            <w14:solidFill>
              <w14:schemeClr w14:val="tx1"/>
            </w14:solidFill>
          </w14:textFill>
        </w:rPr>
        <w:t>¨</w:t>
      </w:r>
      <w:r>
        <w:rPr>
          <w:rFonts w:hint="eastAsia" w:ascii="仿宋_GB2312" w:hAnsi="仿宋_GB2312" w:eastAsia="仿宋_GB2312" w:cs="仿宋_GB2312"/>
          <w:color w:val="000000" w:themeColor="text1"/>
          <w:sz w:val="24"/>
          <w14:textFill>
            <w14:solidFill>
              <w14:schemeClr w14:val="tx1"/>
            </w14:solidFill>
          </w14:textFill>
        </w:rPr>
        <w:t>¨</w:t>
      </w:r>
      <w:r>
        <w:rPr>
          <w:rFonts w:hint="eastAsia" w:ascii="仿宋_GB2312" w:hAnsi="仿宋_GB2312" w:eastAsia="仿宋_GB2312" w:cs="仿宋_GB2312"/>
          <w:color w:val="000000" w:themeColor="text1"/>
          <w:sz w:val="24"/>
          <w:lang w:val="en-US" w:eastAsia="zh-CN"/>
          <w14:textFill>
            <w14:solidFill>
              <w14:schemeClr w14:val="tx1"/>
            </w14:solidFill>
          </w14:textFill>
        </w:rPr>
        <w:t>22</w:t>
      </w:r>
    </w:p>
    <w:p>
      <w:pPr>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hint="default" w:ascii="宋体" w:hAnsi="宋体" w:eastAsia="宋体" w:cs="宋体"/>
          <w:color w:val="000000" w:themeColor="text1"/>
          <w:sz w:val="24"/>
          <w:szCs w:val="24"/>
          <w:highlight w:val="none"/>
          <w:lang w:val="en-US"/>
          <w14:textFill>
            <w14:solidFill>
              <w14:schemeClr w14:val="tx1"/>
            </w14:solidFill>
          </w14:textFill>
        </w:rPr>
      </w:pPr>
      <w:r>
        <w:rPr>
          <w:rStyle w:val="17"/>
          <w:rFonts w:hint="eastAsia" w:ascii="宋体" w:hAnsi="宋体" w:eastAsia="宋体" w:cs="宋体"/>
          <w:color w:val="000000" w:themeColor="text1"/>
          <w:sz w:val="24"/>
          <w:szCs w:val="24"/>
          <w:highlight w:val="none"/>
          <w:u w:val="none"/>
          <w:lang w:eastAsia="zh-CN"/>
          <w14:textFill>
            <w14:solidFill>
              <w14:schemeClr w14:val="tx1"/>
            </w14:solidFill>
          </w14:textFill>
        </w:rPr>
        <w:t>十</w:t>
      </w:r>
      <w:r>
        <w:rPr>
          <w:rStyle w:val="17"/>
          <w:rFonts w:hint="eastAsia" w:ascii="宋体" w:hAnsi="宋体" w:eastAsia="宋体" w:cs="宋体"/>
          <w:color w:val="000000" w:themeColor="text1"/>
          <w:sz w:val="24"/>
          <w:szCs w:val="24"/>
          <w:highlight w:val="none"/>
          <w:u w:val="none"/>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其他重要事项的情况说明</w:t>
      </w:r>
      <w:r>
        <w:rPr>
          <w:rFonts w:hint="eastAsia" w:ascii="仿宋_GB2312" w:hAnsi="仿宋_GB2312" w:eastAsia="仿宋_GB2312" w:cs="仿宋_GB2312"/>
          <w:color w:val="000000" w:themeColor="text1"/>
          <w:spacing w:val="11"/>
          <w:sz w:val="24"/>
          <w:szCs w:val="20"/>
          <w14:textFill>
            <w14:solidFill>
              <w14:schemeClr w14:val="tx1"/>
            </w14:solidFill>
          </w14:textFill>
        </w:rPr>
        <w:t>¨¨¨¨</w:t>
      </w:r>
      <w:r>
        <w:rPr>
          <w:rFonts w:hint="eastAsia" w:ascii="仿宋_GB2312" w:hAnsi="仿宋_GB2312" w:eastAsia="仿宋_GB2312" w:cs="仿宋_GB2312"/>
          <w:color w:val="000000" w:themeColor="text1"/>
          <w:spacing w:val="0"/>
          <w:sz w:val="24"/>
          <w:szCs w:val="20"/>
          <w14:textFill>
            <w14:solidFill>
              <w14:schemeClr w14:val="tx1"/>
            </w14:solidFill>
          </w14:textFill>
        </w:rPr>
        <w:t>¨¨¨¨¨¨¨</w:t>
      </w:r>
      <w:r>
        <w:rPr>
          <w:rFonts w:hint="eastAsia" w:ascii="仿宋_GB2312" w:hAnsi="仿宋_GB2312" w:eastAsia="仿宋_GB2312" w:cs="仿宋_GB2312"/>
          <w:color w:val="000000" w:themeColor="text1"/>
          <w:spacing w:val="6"/>
          <w:kern w:val="0"/>
          <w:sz w:val="24"/>
          <w:szCs w:val="20"/>
          <w:lang w:val="en-US" w:eastAsia="zh-CN" w:bidi="hi-IN"/>
          <w14:textFill>
            <w14:solidFill>
              <w14:schemeClr w14:val="tx1"/>
            </w14:solidFill>
          </w14:textFill>
        </w:rPr>
        <w:t>¨¨¨¨¨¨¨¨¨¨</w:t>
      </w:r>
      <w:r>
        <w:rPr>
          <w:rFonts w:hint="eastAsia" w:ascii="仿宋_GB2312" w:hAnsi="仿宋_GB2312" w:eastAsia="仿宋_GB2312" w:cs="仿宋_GB2312"/>
          <w:color w:val="000000" w:themeColor="text1"/>
          <w:spacing w:val="0"/>
          <w:sz w:val="24"/>
          <w14:textFill>
            <w14:solidFill>
              <w14:schemeClr w14:val="tx1"/>
            </w14:solidFill>
          </w14:textFill>
        </w:rPr>
        <w:t>¨</w:t>
      </w:r>
      <w:r>
        <w:rPr>
          <w:rFonts w:hint="eastAsia" w:ascii="仿宋_GB2312" w:hAnsi="仿宋_GB2312" w:eastAsia="仿宋_GB2312" w:cs="仿宋_GB2312"/>
          <w:color w:val="000000" w:themeColor="text1"/>
          <w:sz w:val="24"/>
          <w:lang w:val="en-US" w:eastAsia="zh-CN"/>
          <w14:textFill>
            <w14:solidFill>
              <w14:schemeClr w14:val="tx1"/>
            </w14:solidFill>
          </w14:textFill>
        </w:rPr>
        <w:t>22</w:t>
      </w:r>
    </w:p>
    <w:p>
      <w:pPr>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hint="default" w:ascii="仿宋_GB2312" w:hAnsi="仿宋_GB2312" w:eastAsia="仿宋_GB2312" w:cs="仿宋_GB2312"/>
          <w:color w:val="000000" w:themeColor="text1"/>
          <w:spacing w:val="11"/>
          <w:sz w:val="24"/>
          <w:szCs w:val="20"/>
          <w:lang w:val="en-US"/>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第三部分 名词解释</w:t>
      </w:r>
      <w:r>
        <w:rPr>
          <w:rFonts w:hint="eastAsia" w:ascii="仿宋_GB2312" w:hAnsi="仿宋_GB2312" w:eastAsia="仿宋_GB2312" w:cs="仿宋_GB2312"/>
          <w:color w:val="000000" w:themeColor="text1"/>
          <w:spacing w:val="11"/>
          <w:sz w:val="24"/>
          <w:szCs w:val="20"/>
          <w14:textFill>
            <w14:solidFill>
              <w14:schemeClr w14:val="tx1"/>
            </w14:solidFill>
          </w14:textFill>
        </w:rPr>
        <w:t>¨¨¨¨¨¨¨¨¨</w:t>
      </w:r>
      <w:r>
        <w:rPr>
          <w:rFonts w:hint="eastAsia" w:ascii="仿宋_GB2312" w:hAnsi="仿宋_GB2312" w:eastAsia="仿宋_GB2312" w:cs="仿宋_GB2312"/>
          <w:color w:val="000000" w:themeColor="text1"/>
          <w:spacing w:val="6"/>
          <w:sz w:val="24"/>
          <w:szCs w:val="20"/>
          <w14:textFill>
            <w14:solidFill>
              <w14:schemeClr w14:val="tx1"/>
            </w14:solidFill>
          </w14:textFill>
        </w:rPr>
        <w:t>¨</w:t>
      </w:r>
      <w:r>
        <w:rPr>
          <w:rFonts w:hint="eastAsia" w:ascii="仿宋_GB2312" w:hAnsi="仿宋_GB2312" w:eastAsia="仿宋_GB2312" w:cs="仿宋_GB2312"/>
          <w:color w:val="000000" w:themeColor="text1"/>
          <w:spacing w:val="6"/>
          <w:sz w:val="24"/>
          <w:szCs w:val="20"/>
          <w:lang w:val="en-US" w:eastAsia="zh-CN"/>
          <w14:textFill>
            <w14:solidFill>
              <w14:schemeClr w14:val="tx1"/>
            </w14:solidFill>
          </w14:textFill>
        </w:rPr>
        <w:t>¨¨¨¨¨¨¨¨¨¨¨ ¨¨</w:t>
      </w:r>
      <w:r>
        <w:rPr>
          <w:rFonts w:hint="eastAsia" w:ascii="仿宋_GB2312" w:hAnsi="仿宋_GB2312" w:eastAsia="仿宋_GB2312" w:cs="仿宋_GB2312"/>
          <w:color w:val="000000" w:themeColor="text1"/>
          <w:spacing w:val="11"/>
          <w:sz w:val="24"/>
          <w:szCs w:val="20"/>
          <w:lang w:val="en-US" w:eastAsia="zh-CN"/>
          <w14:textFill>
            <w14:solidFill>
              <w14:schemeClr w14:val="tx1"/>
            </w14:solidFill>
          </w14:textFill>
        </w:rPr>
        <w:t>¨</w:t>
      </w:r>
      <w:r>
        <w:rPr>
          <w:rFonts w:hint="eastAsia" w:ascii="仿宋_GB2312" w:hAnsi="仿宋_GB2312" w:eastAsia="仿宋_GB2312" w:cs="仿宋_GB2312"/>
          <w:color w:val="000000" w:themeColor="text1"/>
          <w:spacing w:val="11"/>
          <w:sz w:val="24"/>
          <w:szCs w:val="20"/>
          <w14:textFill>
            <w14:solidFill>
              <w14:schemeClr w14:val="tx1"/>
            </w14:solidFill>
          </w14:textFill>
        </w:rPr>
        <w:t>¨</w:t>
      </w:r>
      <w:r>
        <w:rPr>
          <w:rFonts w:hint="eastAsia" w:ascii="仿宋_GB2312" w:hAnsi="仿宋_GB2312" w:eastAsia="仿宋_GB2312" w:cs="仿宋_GB2312"/>
          <w:color w:val="000000" w:themeColor="text1"/>
          <w:spacing w:val="11"/>
          <w:sz w:val="24"/>
          <w:szCs w:val="20"/>
          <w:lang w:val="en-US" w:eastAsia="zh-CN"/>
          <w14:textFill>
            <w14:solidFill>
              <w14:schemeClr w14:val="tx1"/>
            </w14:solidFill>
          </w14:textFill>
        </w:rPr>
        <w:t>24</w:t>
      </w:r>
    </w:p>
    <w:p>
      <w:pPr>
        <w:pStyle w:val="12"/>
        <w:adjustRightInd w:val="0"/>
        <w:snapToGrid w:val="0"/>
        <w:spacing w:before="0" w:line="440" w:lineRule="exact"/>
        <w:jc w:val="left"/>
        <w:rPr>
          <w:rFonts w:hint="eastAsia" w:ascii="仿宋_GB2312" w:hAnsi="仿宋_GB2312" w:eastAsia="仿宋_GB2312" w:cs="仿宋_GB2312"/>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第四部分 附件</w:t>
      </w:r>
      <w:r>
        <w:rPr>
          <w:rFonts w:hint="eastAsia" w:ascii="仿宋_GB2312" w:hAnsi="仿宋_GB2312" w:eastAsia="仿宋_GB2312" w:cs="仿宋_GB2312"/>
          <w:color w:val="000000" w:themeColor="text1"/>
          <w:spacing w:val="11"/>
          <w:sz w:val="24"/>
          <w:szCs w:val="20"/>
          <w14:textFill>
            <w14:solidFill>
              <w14:schemeClr w14:val="tx1"/>
            </w14:solidFill>
          </w14:textFill>
        </w:rPr>
        <w:t>¨</w:t>
      </w:r>
      <w:r>
        <w:rPr>
          <w:rFonts w:hint="eastAsia" w:ascii="仿宋_GB2312" w:hAnsi="仿宋_GB2312" w:eastAsia="仿宋_GB2312" w:cs="仿宋_GB2312"/>
          <w:color w:val="000000" w:themeColor="text1"/>
          <w:spacing w:val="0"/>
          <w:sz w:val="24"/>
          <w:szCs w:val="20"/>
          <w14:textFill>
            <w14:solidFill>
              <w14:schemeClr w14:val="tx1"/>
            </w14:solidFill>
          </w14:textFill>
        </w:rPr>
        <w:t>¨¨¨¨¨¨¨¨¨¨</w:t>
      </w:r>
      <w:r>
        <w:rPr>
          <w:rFonts w:hint="eastAsia" w:ascii="仿宋_GB2312" w:hAnsi="仿宋_GB2312" w:eastAsia="仿宋_GB2312" w:cs="仿宋_GB2312"/>
          <w:color w:val="000000" w:themeColor="text1"/>
          <w:spacing w:val="0"/>
          <w:sz w:val="24"/>
          <w14:textFill>
            <w14:solidFill>
              <w14:schemeClr w14:val="tx1"/>
            </w14:solidFill>
          </w14:textFill>
        </w:rPr>
        <w:t>¨</w:t>
      </w:r>
      <w:r>
        <w:rPr>
          <w:rFonts w:hint="eastAsia" w:ascii="仿宋_GB2312" w:hAnsi="仿宋_GB2312" w:eastAsia="仿宋_GB2312" w:cs="仿宋_GB2312"/>
          <w:color w:val="000000" w:themeColor="text1"/>
          <w:spacing w:val="0"/>
          <w:sz w:val="24"/>
          <w:szCs w:val="20"/>
          <w14:textFill>
            <w14:solidFill>
              <w14:schemeClr w14:val="tx1"/>
            </w14:solidFill>
          </w14:textFill>
        </w:rPr>
        <w:t>¨¨¨¨¨¨¨¨¨¨¨¨¨¨¨¨</w:t>
      </w:r>
      <w:r>
        <w:rPr>
          <w:rFonts w:hint="eastAsia" w:ascii="仿宋_GB2312" w:hAnsi="仿宋_GB2312" w:eastAsia="仿宋_GB2312" w:cs="仿宋_GB2312"/>
          <w:color w:val="000000" w:themeColor="text1"/>
          <w:spacing w:val="0"/>
          <w:sz w:val="24"/>
          <w14:textFill>
            <w14:solidFill>
              <w14:schemeClr w14:val="tx1"/>
            </w14:solidFill>
          </w14:textFill>
        </w:rPr>
        <w:t>¨</w:t>
      </w:r>
      <w:r>
        <w:rPr>
          <w:rFonts w:hint="eastAsia" w:ascii="仿宋_GB2312" w:hAnsi="仿宋_GB2312" w:eastAsia="仿宋_GB2312" w:cs="仿宋_GB2312"/>
          <w:color w:val="000000" w:themeColor="text1"/>
          <w:sz w:val="24"/>
          <w:lang w:val="en-US" w:eastAsia="zh-CN"/>
          <w14:textFill>
            <w14:solidFill>
              <w14:schemeClr w14:val="tx1"/>
            </w14:solidFill>
          </w14:textFill>
        </w:rPr>
        <w:t>29</w:t>
      </w:r>
    </w:p>
    <w:p>
      <w:pPr>
        <w:pStyle w:val="12"/>
        <w:adjustRightInd w:val="0"/>
        <w:snapToGrid w:val="0"/>
        <w:spacing w:before="0" w:line="440" w:lineRule="exact"/>
        <w:jc w:val="left"/>
        <w:rPr>
          <w:rFonts w:hint="default" w:ascii="宋体" w:hAnsi="宋体" w:eastAsia="宋体" w:cs="宋体"/>
          <w:color w:val="000000" w:themeColor="text1"/>
          <w:sz w:val="24"/>
          <w:szCs w:val="24"/>
          <w:highlight w:val="none"/>
          <w:lang w:val="en-US"/>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第五部分 附表</w:t>
      </w:r>
      <w:r>
        <w:rPr>
          <w:rFonts w:hint="eastAsia" w:ascii="仿宋_GB2312" w:hAnsi="仿宋_GB2312" w:eastAsia="仿宋_GB2312" w:cs="仿宋_GB2312"/>
          <w:color w:val="000000" w:themeColor="text1"/>
          <w:spacing w:val="11"/>
          <w:sz w:val="24"/>
          <w:szCs w:val="20"/>
          <w14:textFill>
            <w14:solidFill>
              <w14:schemeClr w14:val="tx1"/>
            </w14:solidFill>
          </w14:textFill>
        </w:rPr>
        <w:t>¨</w:t>
      </w:r>
      <w:r>
        <w:rPr>
          <w:rFonts w:hint="eastAsia" w:ascii="仿宋_GB2312" w:hAnsi="仿宋_GB2312" w:eastAsia="仿宋_GB2312" w:cs="仿宋_GB2312"/>
          <w:color w:val="000000" w:themeColor="text1"/>
          <w:spacing w:val="6"/>
          <w:sz w:val="24"/>
          <w:szCs w:val="20"/>
          <w14:textFill>
            <w14:solidFill>
              <w14:schemeClr w14:val="tx1"/>
            </w14:solidFill>
          </w14:textFill>
        </w:rPr>
        <w:t>¨¨</w:t>
      </w:r>
      <w:r>
        <w:rPr>
          <w:rFonts w:hint="eastAsia" w:ascii="仿宋_GB2312" w:hAnsi="仿宋_GB2312" w:eastAsia="仿宋_GB2312" w:cs="仿宋_GB2312"/>
          <w:color w:val="000000" w:themeColor="text1"/>
          <w:spacing w:val="11"/>
          <w:sz w:val="24"/>
          <w:szCs w:val="20"/>
          <w14:textFill>
            <w14:solidFill>
              <w14:schemeClr w14:val="tx1"/>
            </w14:solidFill>
          </w14:textFill>
        </w:rPr>
        <w:t>¨</w:t>
      </w:r>
      <w:r>
        <w:rPr>
          <w:rFonts w:hint="eastAsia" w:ascii="仿宋_GB2312" w:hAnsi="仿宋_GB2312" w:eastAsia="仿宋_GB2312" w:cs="仿宋_GB2312"/>
          <w:color w:val="000000" w:themeColor="text1"/>
          <w:spacing w:val="6"/>
          <w:sz w:val="24"/>
          <w:szCs w:val="20"/>
          <w14:textFill>
            <w14:solidFill>
              <w14:schemeClr w14:val="tx1"/>
            </w14:solidFill>
          </w14:textFill>
        </w:rPr>
        <w:t>¨¨¨¨¨¨¨</w:t>
      </w:r>
      <w:r>
        <w:rPr>
          <w:rFonts w:hint="eastAsia" w:ascii="仿宋_GB2312" w:hAnsi="仿宋_GB2312" w:eastAsia="仿宋_GB2312" w:cs="仿宋_GB2312"/>
          <w:color w:val="000000" w:themeColor="text1"/>
          <w:spacing w:val="0"/>
          <w:sz w:val="24"/>
          <w:szCs w:val="20"/>
          <w14:textFill>
            <w14:solidFill>
              <w14:schemeClr w14:val="tx1"/>
            </w14:solidFill>
          </w14:textFill>
        </w:rPr>
        <w:t>¨¨¨¨¨¨¨</w:t>
      </w:r>
      <w:r>
        <w:rPr>
          <w:rFonts w:hint="eastAsia" w:ascii="仿宋_GB2312" w:hAnsi="仿宋_GB2312" w:eastAsia="仿宋_GB2312" w:cs="仿宋_GB2312"/>
          <w:color w:val="000000" w:themeColor="text1"/>
          <w:spacing w:val="6"/>
          <w:sz w:val="24"/>
          <w:szCs w:val="20"/>
          <w14:textFill>
            <w14:solidFill>
              <w14:schemeClr w14:val="tx1"/>
            </w14:solidFill>
          </w14:textFill>
        </w:rPr>
        <w:t>¨¨¨¨¨¨¨¨</w:t>
      </w:r>
      <w:r>
        <w:rPr>
          <w:rFonts w:hint="eastAsia" w:ascii="仿宋_GB2312" w:hAnsi="仿宋_GB2312" w:eastAsia="仿宋_GB2312" w:cs="仿宋_GB2312"/>
          <w:color w:val="000000" w:themeColor="text1"/>
          <w:spacing w:val="6"/>
          <w:sz w:val="24"/>
          <w14:textFill>
            <w14:solidFill>
              <w14:schemeClr w14:val="tx1"/>
            </w14:solidFill>
          </w14:textFill>
        </w:rPr>
        <w:t>¨</w:t>
      </w:r>
      <w:r>
        <w:rPr>
          <w:rFonts w:hint="eastAsia" w:ascii="仿宋_GB2312" w:hAnsi="仿宋_GB2312" w:eastAsia="仿宋_GB2312" w:cs="仿宋_GB2312"/>
          <w:color w:val="000000" w:themeColor="text1"/>
          <w:sz w:val="24"/>
          <w14:textFill>
            <w14:solidFill>
              <w14:schemeClr w14:val="tx1"/>
            </w14:solidFill>
          </w14:textFill>
        </w:rPr>
        <w:t>¨</w:t>
      </w:r>
      <w:r>
        <w:rPr>
          <w:rFonts w:hint="eastAsia" w:ascii="仿宋_GB2312" w:hAnsi="仿宋_GB2312" w:eastAsia="仿宋_GB2312" w:cs="仿宋_GB2312"/>
          <w:color w:val="000000" w:themeColor="text1"/>
          <w:sz w:val="24"/>
          <w:lang w:val="en-US" w:eastAsia="zh-CN"/>
          <w14:textFill>
            <w14:solidFill>
              <w14:schemeClr w14:val="tx1"/>
            </w14:solidFill>
          </w14:textFill>
        </w:rPr>
        <w:t>69</w:t>
      </w:r>
    </w:p>
    <w:p>
      <w:pPr>
        <w:pStyle w:val="13"/>
        <w:adjustRightInd w:val="0"/>
        <w:snapToGrid w:val="0"/>
        <w:spacing w:line="440" w:lineRule="exact"/>
        <w:ind w:left="0" w:leftChars="0" w:firstLine="0" w:firstLineChars="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一、收入支出决算总表</w:t>
      </w:r>
    </w:p>
    <w:p>
      <w:pPr>
        <w:pStyle w:val="13"/>
        <w:adjustRightInd w:val="0"/>
        <w:snapToGrid w:val="0"/>
        <w:spacing w:line="440" w:lineRule="exact"/>
        <w:ind w:left="0" w:leftChars="0" w:firstLine="0" w:firstLineChars="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二、收入决算表</w:t>
      </w:r>
    </w:p>
    <w:p>
      <w:pPr>
        <w:pStyle w:val="13"/>
        <w:adjustRightInd w:val="0"/>
        <w:snapToGrid w:val="0"/>
        <w:spacing w:line="440" w:lineRule="exact"/>
        <w:ind w:left="0" w:leftChars="0" w:firstLine="0" w:firstLineChars="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三、支出决算表</w:t>
      </w:r>
    </w:p>
    <w:p>
      <w:pPr>
        <w:pStyle w:val="13"/>
        <w:adjustRightInd w:val="0"/>
        <w:snapToGrid w:val="0"/>
        <w:spacing w:line="440" w:lineRule="exact"/>
        <w:ind w:left="0" w:leftChars="0" w:firstLine="0" w:firstLineChars="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四、财政拨款收入支出决算总表</w:t>
      </w:r>
    </w:p>
    <w:p>
      <w:pPr>
        <w:pStyle w:val="13"/>
        <w:adjustRightInd w:val="0"/>
        <w:snapToGrid w:val="0"/>
        <w:spacing w:line="440" w:lineRule="exact"/>
        <w:ind w:left="0" w:leftChars="0" w:firstLine="0" w:firstLineChars="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五、财政拨款支出决算明细表</w:t>
      </w:r>
    </w:p>
    <w:p>
      <w:pPr>
        <w:pStyle w:val="13"/>
        <w:adjustRightInd w:val="0"/>
        <w:snapToGrid w:val="0"/>
        <w:spacing w:line="440" w:lineRule="exact"/>
        <w:ind w:left="0" w:leftChars="0" w:firstLine="0" w:firstLineChars="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六、一般公共预算财政拨款支出决算表</w:t>
      </w:r>
    </w:p>
    <w:p>
      <w:pPr>
        <w:pStyle w:val="13"/>
        <w:adjustRightInd w:val="0"/>
        <w:snapToGrid w:val="0"/>
        <w:spacing w:line="440" w:lineRule="exact"/>
        <w:ind w:left="0" w:leftChars="0" w:firstLine="0" w:firstLineChars="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七、一般公共预算财政拨款支出决算明细表</w:t>
      </w:r>
    </w:p>
    <w:p>
      <w:pPr>
        <w:pStyle w:val="13"/>
        <w:adjustRightInd w:val="0"/>
        <w:snapToGrid w:val="0"/>
        <w:spacing w:line="440" w:lineRule="exact"/>
        <w:ind w:left="0" w:leftChars="0" w:firstLine="0" w:firstLineChars="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八、一般公共预算财政拨款基本支出决算表</w:t>
      </w:r>
    </w:p>
    <w:p>
      <w:pPr>
        <w:pStyle w:val="13"/>
        <w:adjustRightInd w:val="0"/>
        <w:snapToGrid w:val="0"/>
        <w:spacing w:line="440" w:lineRule="exact"/>
        <w:ind w:left="0" w:leftChars="0" w:firstLine="0" w:firstLineChars="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九、一般公共预算财政拨款项目支出决算表</w:t>
      </w:r>
    </w:p>
    <w:p>
      <w:pPr>
        <w:pStyle w:val="13"/>
        <w:adjustRightInd w:val="0"/>
        <w:snapToGrid w:val="0"/>
        <w:spacing w:line="440" w:lineRule="exact"/>
        <w:ind w:left="0" w:leftChars="0" w:firstLine="0" w:firstLineChars="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十、一般公共预算财政拨款“三公”经费支出决算表</w:t>
      </w:r>
    </w:p>
    <w:p>
      <w:pPr>
        <w:pStyle w:val="13"/>
        <w:adjustRightInd w:val="0"/>
        <w:snapToGrid w:val="0"/>
        <w:spacing w:line="440" w:lineRule="exact"/>
        <w:ind w:left="0" w:leftChars="0" w:firstLine="0" w:firstLineChars="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十一、政府性基金预算财政拨款收入支出决算表</w:t>
      </w:r>
    </w:p>
    <w:p>
      <w:pPr>
        <w:pStyle w:val="13"/>
        <w:adjustRightInd w:val="0"/>
        <w:snapToGrid w:val="0"/>
        <w:spacing w:line="440" w:lineRule="exact"/>
        <w:ind w:left="0" w:leftChars="0" w:firstLine="0" w:firstLineChars="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十二、政府性基金预算财政拨款“三公”经费支出决算表</w:t>
      </w:r>
    </w:p>
    <w:p>
      <w:pPr>
        <w:pStyle w:val="13"/>
        <w:adjustRightInd w:val="0"/>
        <w:snapToGrid w:val="0"/>
        <w:spacing w:line="440" w:lineRule="exact"/>
        <w:ind w:left="0" w:leftChars="0" w:firstLine="0" w:firstLineChars="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十三、国有资本经营预算</w:t>
      </w:r>
      <w:r>
        <w:rPr>
          <w:rFonts w:hint="eastAsia" w:ascii="宋体" w:hAnsi="宋体" w:eastAsia="宋体" w:cs="宋体"/>
          <w:color w:val="000000" w:themeColor="text1"/>
          <w:sz w:val="24"/>
          <w:szCs w:val="24"/>
          <w:highlight w:val="none"/>
          <w:lang w:eastAsia="zh-CN"/>
          <w14:textFill>
            <w14:solidFill>
              <w14:schemeClr w14:val="tx1"/>
            </w14:solidFill>
          </w14:textFill>
        </w:rPr>
        <w:t>财政拨款收入</w:t>
      </w:r>
      <w:r>
        <w:rPr>
          <w:rFonts w:hint="eastAsia" w:ascii="宋体" w:hAnsi="宋体" w:eastAsia="宋体" w:cs="宋体"/>
          <w:color w:val="000000" w:themeColor="text1"/>
          <w:sz w:val="24"/>
          <w:szCs w:val="24"/>
          <w:highlight w:val="none"/>
          <w14:textFill>
            <w14:solidFill>
              <w14:schemeClr w14:val="tx1"/>
            </w14:solidFill>
          </w14:textFill>
        </w:rPr>
        <w:t>支出决算表</w:t>
      </w:r>
    </w:p>
    <w:p>
      <w:pPr>
        <w:pStyle w:val="13"/>
        <w:adjustRightInd w:val="0"/>
        <w:snapToGrid w:val="0"/>
        <w:spacing w:line="440" w:lineRule="exact"/>
        <w:ind w:left="0" w:leftChars="0" w:firstLine="0" w:firstLineChars="0"/>
        <w:jc w:val="left"/>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十四、国有资本经营预算财政拨款支出决算表</w:t>
      </w:r>
    </w:p>
    <w:p>
      <w:pPr>
        <w:bidi w:val="0"/>
        <w:jc w:val="center"/>
        <w:rPr>
          <w:rFonts w:hint="eastAsia" w:ascii="黑体" w:hAnsi="黑体" w:eastAsia="黑体"/>
          <w:b w:val="0"/>
          <w:color w:val="000000" w:themeColor="text1"/>
          <w:sz w:val="44"/>
          <w:szCs w:val="44"/>
          <w:highlight w:val="none"/>
          <w14:textFill>
            <w14:solidFill>
              <w14:schemeClr w14:val="tx1"/>
            </w14:solidFill>
          </w14:textFill>
        </w:rPr>
        <w:sectPr>
          <w:footerReference r:id="rId3" w:type="default"/>
          <w:pgSz w:w="11906" w:h="16838"/>
          <w:pgMar w:top="1701" w:right="1474" w:bottom="1701" w:left="1587" w:header="851" w:footer="1417" w:gutter="0"/>
          <w:pgNumType w:fmt="decimal" w:start="1"/>
          <w:cols w:space="425" w:num="1"/>
          <w:titlePg/>
          <w:docGrid w:type="lines" w:linePitch="312" w:charSpace="0"/>
        </w:sectPr>
      </w:pPr>
      <w:bookmarkStart w:id="12" w:name="_Toc15396599"/>
      <w:bookmarkStart w:id="13" w:name="_Toc15377196"/>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Style w:val="26"/>
          <w:rFonts w:hint="eastAsia" w:ascii="方正小标宋_GBK" w:hAnsi="方正小标宋_GBK" w:eastAsia="方正小标宋_GBK" w:cs="方正小标宋_GBK"/>
          <w:b/>
          <w:bCs w:val="0"/>
          <w:color w:val="000000" w:themeColor="text1"/>
          <w:sz w:val="44"/>
          <w:szCs w:val="44"/>
          <w:highlight w:val="none"/>
          <w14:textFill>
            <w14:solidFill>
              <w14:schemeClr w14:val="tx1"/>
            </w14:solidFill>
          </w14:textFill>
        </w:rPr>
      </w:pPr>
      <w:r>
        <w:rPr>
          <w:rFonts w:hint="eastAsia" w:ascii="方正小标宋_GBK" w:hAnsi="方正小标宋_GBK" w:eastAsia="方正小标宋_GBK" w:cs="方正小标宋_GBK"/>
          <w:b w:val="0"/>
          <w:color w:val="000000" w:themeColor="text1"/>
          <w:sz w:val="44"/>
          <w:szCs w:val="44"/>
          <w:highlight w:val="none"/>
          <w14:textFill>
            <w14:solidFill>
              <w14:schemeClr w14:val="tx1"/>
            </w14:solidFill>
          </w14:textFill>
        </w:rPr>
        <w:t>第一部分</w:t>
      </w:r>
      <w:r>
        <w:rPr>
          <w:rFonts w:hint="eastAsia" w:ascii="方正小标宋_GBK" w:hAnsi="方正小标宋_GBK" w:eastAsia="方正小标宋_GBK" w:cs="方正小标宋_GBK"/>
          <w:b w:val="0"/>
          <w:color w:val="000000" w:themeColor="text1"/>
          <w:sz w:val="44"/>
          <w:szCs w:val="44"/>
          <w:highlight w:val="none"/>
          <w:lang w:val="en-US" w:eastAsia="zh-CN"/>
          <w14:textFill>
            <w14:solidFill>
              <w14:schemeClr w14:val="tx1"/>
            </w14:solidFill>
          </w14:textFill>
        </w:rPr>
        <w:t xml:space="preserve"> </w:t>
      </w:r>
      <w:r>
        <w:rPr>
          <w:rFonts w:hint="eastAsia" w:ascii="方正小标宋_GBK" w:hAnsi="方正小标宋_GBK" w:eastAsia="方正小标宋_GBK" w:cs="方正小标宋_GBK"/>
          <w:b w:val="0"/>
          <w:color w:val="000000" w:themeColor="text1"/>
          <w:sz w:val="44"/>
          <w:szCs w:val="44"/>
          <w:highlight w:val="none"/>
          <w14:textFill>
            <w14:solidFill>
              <w14:schemeClr w14:val="tx1"/>
            </w14:solidFill>
          </w14:textFill>
        </w:rPr>
        <w:t xml:space="preserve"> </w:t>
      </w:r>
      <w:r>
        <w:rPr>
          <w:rStyle w:val="26"/>
          <w:rFonts w:hint="eastAsia" w:ascii="方正小标宋_GBK" w:hAnsi="方正小标宋_GBK" w:eastAsia="方正小标宋_GBK" w:cs="方正小标宋_GBK"/>
          <w:b w:val="0"/>
          <w:bCs w:val="0"/>
          <w:color w:val="000000" w:themeColor="text1"/>
          <w:sz w:val="44"/>
          <w:szCs w:val="44"/>
          <w:highlight w:val="none"/>
          <w14:textFill>
            <w14:solidFill>
              <w14:schemeClr w14:val="tx1"/>
            </w14:solidFill>
          </w14:textFill>
        </w:rPr>
        <w:t>部门概况</w:t>
      </w:r>
      <w:bookmarkEnd w:id="12"/>
      <w:bookmarkEnd w:id="13"/>
    </w:p>
    <w:p>
      <w:pPr>
        <w:widowControl/>
        <w:jc w:val="left"/>
        <w:rPr>
          <w:rFonts w:ascii="黑体" w:eastAsia="黑体"/>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spacing w:line="600" w:lineRule="exact"/>
        <w:ind w:firstLine="640" w:firstLineChars="200"/>
        <w:jc w:val="both"/>
        <w:rPr>
          <w:rStyle w:val="27"/>
          <w:rFonts w:hint="eastAsia" w:ascii="黑体" w:hAnsi="黑体" w:eastAsia="黑体" w:cs="黑体"/>
          <w:b w:val="0"/>
          <w:bCs w:val="0"/>
          <w:i w:val="0"/>
          <w:iCs w:val="0"/>
          <w:color w:val="000000" w:themeColor="text1"/>
          <w:sz w:val="32"/>
          <w:szCs w:val="32"/>
          <w:highlight w:val="none"/>
          <w:u w:val="none" w:color="auto"/>
          <w14:textFill>
            <w14:solidFill>
              <w14:schemeClr w14:val="tx1"/>
            </w14:solidFill>
          </w14:textFill>
        </w:rPr>
      </w:pPr>
      <w:bookmarkStart w:id="14" w:name="_Toc15396600"/>
      <w:bookmarkStart w:id="15" w:name="_Toc15377197"/>
      <w:r>
        <w:rPr>
          <w:rFonts w:hint="eastAsia" w:ascii="黑体" w:hAnsi="黑体" w:eastAsia="黑体" w:cs="黑体"/>
          <w:b w:val="0"/>
          <w:i w:val="0"/>
          <w:iCs w:val="0"/>
          <w:color w:val="000000" w:themeColor="text1"/>
          <w:sz w:val="32"/>
          <w:szCs w:val="32"/>
          <w:highlight w:val="none"/>
          <w:u w:val="none" w:color="auto"/>
          <w14:textFill>
            <w14:solidFill>
              <w14:schemeClr w14:val="tx1"/>
            </w14:solidFill>
          </w14:textFill>
        </w:rPr>
        <w:t>一、基</w:t>
      </w:r>
      <w:r>
        <w:rPr>
          <w:rStyle w:val="27"/>
          <w:rFonts w:hint="eastAsia" w:ascii="黑体" w:hAnsi="黑体" w:eastAsia="黑体" w:cs="黑体"/>
          <w:b w:val="0"/>
          <w:bCs w:val="0"/>
          <w:i w:val="0"/>
          <w:iCs w:val="0"/>
          <w:color w:val="000000" w:themeColor="text1"/>
          <w:sz w:val="32"/>
          <w:szCs w:val="32"/>
          <w:highlight w:val="none"/>
          <w:u w:val="none" w:color="auto"/>
          <w14:textFill>
            <w14:solidFill>
              <w14:schemeClr w14:val="tx1"/>
            </w14:solidFill>
          </w14:textFill>
        </w:rPr>
        <w:t>本职能及主要工作</w:t>
      </w:r>
      <w:bookmarkEnd w:id="14"/>
      <w:bookmarkEnd w:id="15"/>
    </w:p>
    <w:p>
      <w:pPr>
        <w:keepNext w:val="0"/>
        <w:keepLines w:val="0"/>
        <w:pageBreakBefore w:val="0"/>
        <w:widowControl w:val="0"/>
        <w:shd w:val="clear" w:color="auto" w:fill="FFFFFF"/>
        <w:kinsoku/>
        <w:wordWrap/>
        <w:overflowPunct/>
        <w:topLinePunct w:val="0"/>
        <w:autoSpaceDE/>
        <w:autoSpaceDN/>
        <w:bidi w:val="0"/>
        <w:spacing w:line="600" w:lineRule="exact"/>
        <w:ind w:firstLine="630"/>
        <w:jc w:val="both"/>
        <w:rPr>
          <w:rFonts w:hint="eastAsia" w:ascii="仿宋_GB2312" w:hAnsi="仿宋_GB2312" w:eastAsia="仿宋_GB2312" w:cs="仿宋_GB2312"/>
          <w:bCs/>
          <w:i w:val="0"/>
          <w:iCs w:val="0"/>
          <w:color w:val="000000" w:themeColor="text1"/>
          <w:kern w:val="0"/>
          <w:sz w:val="32"/>
          <w:szCs w:val="32"/>
          <w:u w:val="none" w:color="auto"/>
          <w14:textFill>
            <w14:solidFill>
              <w14:schemeClr w14:val="tx1"/>
            </w14:solidFill>
          </w14:textFill>
        </w:rPr>
      </w:pPr>
      <w:bookmarkStart w:id="16" w:name="_Toc15378445"/>
      <w:bookmarkStart w:id="17" w:name="_Toc15377198"/>
      <w:r>
        <w:rPr>
          <w:rFonts w:hint="eastAsia" w:ascii="楷体_GB2312" w:hAnsi="楷体_GB2312" w:eastAsia="楷体_GB2312" w:cs="楷体_GB2312"/>
          <w:bCs/>
          <w:i w:val="0"/>
          <w:iCs w:val="0"/>
          <w:color w:val="000000" w:themeColor="text1"/>
          <w:sz w:val="32"/>
          <w:szCs w:val="32"/>
          <w:highlight w:val="none"/>
          <w:u w:val="none" w:color="auto"/>
          <w14:textFill>
            <w14:solidFill>
              <w14:schemeClr w14:val="tx1"/>
            </w14:solidFill>
          </w14:textFill>
        </w:rPr>
        <w:t>（一）主要职能。</w:t>
      </w:r>
      <w:bookmarkEnd w:id="16"/>
      <w:bookmarkEnd w:id="17"/>
      <w:bookmarkStart w:id="18" w:name="_Toc15378446"/>
      <w:bookmarkStart w:id="19" w:name="_Toc15377199"/>
      <w:r>
        <w:rPr>
          <w:rFonts w:hint="eastAsia" w:ascii="仿宋_GB2312" w:hAnsi="仿宋_GB2312" w:eastAsia="仿宋_GB2312" w:cs="仿宋_GB2312"/>
          <w:bCs/>
          <w:i w:val="0"/>
          <w:iCs w:val="0"/>
          <w:color w:val="000000" w:themeColor="text1"/>
          <w:kern w:val="0"/>
          <w:sz w:val="32"/>
          <w:szCs w:val="32"/>
          <w:u w:val="none" w:color="auto"/>
          <w14:textFill>
            <w14:solidFill>
              <w14:schemeClr w14:val="tx1"/>
            </w14:solidFill>
          </w14:textFill>
        </w:rPr>
        <w:t>省司法厅是主管全省司法行政工作的省政府组成部门,负责贯彻落实党中央关于全面依法治国的方针政策和省委的决策部署,在履行职责过程中坚持和加强党对全面依法治国工作的集中统一领导。其主要工作包括：承担全面依法治国、依法治省重大问题的政策研究，协调有关方面提出全面依法治省规划建议，负责有关重大决策部署督察工作；承担统筹规划立法工作的责任。协调有关方面提出立法规划和年度立法工作计划的建议，负责跟踪了解各部门对立法工作计划的落实情况，加强组织实施和督促指导，研究提出立法与改革决策相衔接的意见、措施。负责面向社会征集地方性法规、规章制定项目建议；负责起草或者组织起草地方性法规、省政府规章草案。负责省政府各部门报送省政府的地方性法规、规章草案的审查工作。负责立法协调；承担省政府规章的解释、立法后评估工作。负责协调各地、各部门实施法律、法规、规章中的有关争议和问题。承办省政府规章的清理、编纂、翻译工作。承办省政府规章报送备案工作。负责市（州）政府规章备案审查工作；负责省政府规范性文件、重大行政决策发布前的合法性审查。承办省政府规范性文件的报送备案工作。负责各市（州）政府和省政府各部门规范性文件报送省政府的备案审查工作。组织开展规范性文件清理；承担统筹推进法治政府建设的责任。指导监督省政府各部门、省以下各级政府依法行政工作。负责综合协调、监督检查行政执法，承担推进行政执法体制改革有关工作，推进严格规范公正文明执法。指导监督全省行政复议、行政应诉和行政赔偿工作，承办向省政府申请的行政复议、行政赔偿案件，代理省政府行政应诉案件；承担统筹规划法治社会建设的责任。负责拟订法治宣传教育规划，组织实施普法宣传工作，组织对外法治宣传。推动人民参与和促进法治建设。指导依法治理和法治创建工作。指导调解工作。负责并指导人民监督员的选任管理工作。指导人民陪审员选任工作。推进司法所建设。将安全生产、职业健康法律法规纳入公民普法教育重要内容并会同有关部门开展宣传普及，做好职责范围内的安全生产工作；负责全省监狱管理工作。负责监狱系统党的建设、党风廉政建设和领导班子建设，指导监督刑罚执行、罪犯改造的工作。指导管理社区矫正工作。指导刑满释放人员帮教安置工作；负责全省司法行政戒毒管理工作。负责司法行政戒毒系统党的建设、党风廉政建设和领导班子建设。指导监督本系统强制隔离戒毒执行和戒毒康复工作。对社区戒毒和社区康复工作提供指导、支持和协助；负责拟订全省公共法律服务体系建设规划并指导实施，统筹和布局全省城乡、区域法律服务资源。指导监督律师、法律援助、司法鉴定、公证、仲裁和基层法律服务管理工作；负责全省国家统一法律职业资格考试的组织实施工作。负责全省国家统一法律职业资格管理工作。负责规划和指导法律职业人员入职前培训工作；负责本系统枪支、弹药、服装和警车管理工作。指导监督本系统财务、装备、设施、场所等保障工作。指导监督监狱系统、司法行政戒毒系统和四川司法警官职业学院的计划财务工作。负责监狱系统、司法行政戒毒系统、四川司法警官职业学院及厅直属单位内部审计工作；规划、协调、指导法治人才队伍建设相关工作，指导监督本系统队伍建设。负责本系统人民警察警务管理和警务督察工作。负责四川司法警官职业学院领导班子建设，协助市（州）管理司法局领导干部；负责并指导本系统行政审批工作。负责全省外来企业投诉处理和民营企业法律服务工作。</w:t>
      </w:r>
    </w:p>
    <w:p>
      <w:pPr>
        <w:pStyle w:val="5"/>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jc w:val="both"/>
        <w:outlineLvl w:val="2"/>
        <w:rPr>
          <w:rFonts w:hint="eastAsia" w:ascii="楷体_GB2312" w:hAnsi="楷体_GB2312" w:eastAsia="楷体_GB2312" w:cs="楷体_GB2312"/>
          <w:bCs/>
          <w:i w:val="0"/>
          <w:iCs w:val="0"/>
          <w:color w:val="000000" w:themeColor="text1"/>
          <w:sz w:val="32"/>
          <w:szCs w:val="32"/>
          <w:highlight w:val="none"/>
          <w:u w:val="none" w:color="auto"/>
          <w14:textFill>
            <w14:solidFill>
              <w14:schemeClr w14:val="tx1"/>
            </w14:solidFill>
          </w14:textFill>
        </w:rPr>
      </w:pPr>
      <w:r>
        <w:rPr>
          <w:rFonts w:hint="eastAsia" w:ascii="楷体_GB2312" w:hAnsi="楷体_GB2312" w:eastAsia="楷体_GB2312" w:cs="楷体_GB2312"/>
          <w:bCs/>
          <w:i w:val="0"/>
          <w:iCs w:val="0"/>
          <w:color w:val="000000" w:themeColor="text1"/>
          <w:sz w:val="32"/>
          <w:szCs w:val="32"/>
          <w:highlight w:val="none"/>
          <w:u w:val="none" w:color="auto"/>
          <w14:textFill>
            <w14:solidFill>
              <w14:schemeClr w14:val="tx1"/>
            </w14:solidFill>
          </w14:textFill>
        </w:rPr>
        <w:t>（二）20</w:t>
      </w:r>
      <w:r>
        <w:rPr>
          <w:rFonts w:hint="eastAsia" w:ascii="楷体_GB2312" w:hAnsi="楷体_GB2312" w:eastAsia="楷体_GB2312" w:cs="楷体_GB2312"/>
          <w:bCs/>
          <w:i w:val="0"/>
          <w:iCs w:val="0"/>
          <w:color w:val="000000" w:themeColor="text1"/>
          <w:sz w:val="32"/>
          <w:szCs w:val="32"/>
          <w:highlight w:val="none"/>
          <w:u w:val="none" w:color="auto"/>
          <w:lang w:val="en-US" w:eastAsia="zh-CN"/>
          <w14:textFill>
            <w14:solidFill>
              <w14:schemeClr w14:val="tx1"/>
            </w14:solidFill>
          </w14:textFill>
        </w:rPr>
        <w:t>21</w:t>
      </w:r>
      <w:r>
        <w:rPr>
          <w:rFonts w:hint="eastAsia" w:ascii="楷体_GB2312" w:hAnsi="楷体_GB2312" w:eastAsia="楷体_GB2312" w:cs="楷体_GB2312"/>
          <w:bCs/>
          <w:i w:val="0"/>
          <w:iCs w:val="0"/>
          <w:color w:val="000000" w:themeColor="text1"/>
          <w:sz w:val="32"/>
          <w:szCs w:val="32"/>
          <w:highlight w:val="none"/>
          <w:u w:val="none" w:color="auto"/>
          <w14:textFill>
            <w14:solidFill>
              <w14:schemeClr w14:val="tx1"/>
            </w14:solidFill>
          </w14:textFill>
        </w:rPr>
        <w:t>年重点工作完成情况。</w:t>
      </w:r>
      <w:bookmarkEnd w:id="18"/>
      <w:bookmarkEnd w:id="19"/>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jc w:val="both"/>
        <w:textAlignment w:val="baseline"/>
        <w:rPr>
          <w:rFonts w:hint="eastAsia" w:ascii="仿宋_GB2312" w:hAnsi="仿宋_GB2312" w:eastAsia="仿宋_GB2312" w:cs="仿宋_GB2312"/>
          <w:bCs/>
          <w:i w:val="0"/>
          <w:iCs w:val="0"/>
          <w:color w:val="000000" w:themeColor="text1"/>
          <w:kern w:val="0"/>
          <w:sz w:val="32"/>
          <w:szCs w:val="32"/>
          <w:u w:val="none" w:color="auto"/>
          <w14:textFill>
            <w14:solidFill>
              <w14:schemeClr w14:val="tx1"/>
            </w14:solidFill>
          </w14:textFill>
        </w:rPr>
      </w:pPr>
      <w:r>
        <w:rPr>
          <w:rFonts w:hint="eastAsia" w:ascii="仿宋_GB2312" w:hAnsi="仿宋_GB2312" w:eastAsia="仿宋_GB2312" w:cs="仿宋_GB2312"/>
          <w:b w:val="0"/>
          <w:bCs w:val="0"/>
          <w:i w:val="0"/>
          <w:iCs w:val="0"/>
          <w:color w:val="000000" w:themeColor="text1"/>
          <w:spacing w:val="0"/>
          <w:kern w:val="2"/>
          <w:sz w:val="32"/>
          <w:szCs w:val="32"/>
          <w:u w:val="none" w:color="auto"/>
          <w:lang w:val="en-US" w:eastAsia="zh-CN" w:bidi="ar-SA"/>
          <w14:textFill>
            <w14:solidFill>
              <w14:schemeClr w14:val="tx1"/>
            </w14:solidFill>
          </w14:textFill>
        </w:rPr>
        <w:t>2021年，司法厅在省委、省政府的坚强领导下，坚持以习近平新时代中国特色社会主义思想为指导，深入学习贯彻习近平法治思想，紧紧围绕中心大局，全面加强法治服务和法治保障，各项工作有序推进，取得积极成效。</w:t>
      </w:r>
      <w:r>
        <w:rPr>
          <w:rFonts w:hint="eastAsia" w:ascii="仿宋_GB2312" w:hAnsi="仿宋_GB2312" w:eastAsia="仿宋_GB2312" w:cs="仿宋_GB2312"/>
          <w:i w:val="0"/>
          <w:iCs w:val="0"/>
          <w:color w:val="000000" w:themeColor="text1"/>
          <w:kern w:val="0"/>
          <w:sz w:val="32"/>
          <w:szCs w:val="32"/>
          <w:u w:val="none" w:color="auto"/>
          <w:lang w:eastAsia="zh-CN"/>
          <w14:textFill>
            <w14:solidFill>
              <w14:schemeClr w14:val="tx1"/>
            </w14:solidFill>
          </w14:textFill>
        </w:rPr>
        <w:t>全年省部级以上领导</w:t>
      </w:r>
      <w:r>
        <w:rPr>
          <w:rFonts w:hint="eastAsia" w:ascii="仿宋_GB2312" w:hAnsi="仿宋_GB2312" w:eastAsia="仿宋_GB2312" w:cs="仿宋_GB2312"/>
          <w:i w:val="0"/>
          <w:iCs w:val="0"/>
          <w:color w:val="000000" w:themeColor="text1"/>
          <w:kern w:val="0"/>
          <w:sz w:val="32"/>
          <w:szCs w:val="32"/>
          <w:u w:val="none" w:color="auto"/>
          <w14:textFill>
            <w14:solidFill>
              <w14:schemeClr w14:val="tx1"/>
            </w14:solidFill>
          </w14:textFill>
        </w:rPr>
        <w:t>先后12次作出肯定性批示</w:t>
      </w:r>
      <w:r>
        <w:rPr>
          <w:rFonts w:hint="eastAsia" w:ascii="仿宋_GB2312" w:hAnsi="仿宋_GB2312" w:eastAsia="仿宋_GB2312" w:cs="仿宋_GB2312"/>
          <w:i w:val="0"/>
          <w:iCs w:val="0"/>
          <w:caps w:val="0"/>
          <w:color w:val="000000" w:themeColor="text1"/>
          <w:spacing w:val="0"/>
          <w:kern w:val="0"/>
          <w:sz w:val="32"/>
          <w:szCs w:val="32"/>
          <w:u w:val="none" w:color="auto"/>
          <w:shd w:val="clear" w:color="auto" w:fill="FFFFFF"/>
          <w:lang w:val="en-US" w:eastAsia="zh-CN" w:bidi="ar"/>
          <w14:textFill>
            <w14:solidFill>
              <w14:schemeClr w14:val="tx1"/>
            </w14:solidFill>
          </w14:textFill>
        </w:rPr>
        <w:t>，司法厅先后10次在全国、全省性会议上作经验交流。</w:t>
      </w:r>
      <w:r>
        <w:rPr>
          <w:rFonts w:hint="eastAsia" w:ascii="仿宋_GB2312" w:hAnsi="仿宋_GB2312" w:eastAsia="仿宋_GB2312" w:cs="仿宋_GB2312"/>
          <w:bCs/>
          <w:i w:val="0"/>
          <w:iCs w:val="0"/>
          <w:color w:val="000000" w:themeColor="text1"/>
          <w:kern w:val="0"/>
          <w:sz w:val="32"/>
          <w:szCs w:val="32"/>
          <w:u w:val="none" w:color="auto"/>
          <w14:textFill>
            <w14:solidFill>
              <w14:schemeClr w14:val="tx1"/>
            </w14:solidFill>
          </w14:textFill>
        </w:rPr>
        <w:t>现将一年来的主要事业成效报告如下：</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i w:val="0"/>
          <w:iCs w:val="0"/>
          <w:color w:val="000000" w:themeColor="text1"/>
          <w:sz w:val="32"/>
          <w:szCs w:val="32"/>
          <w:u w:val="none" w:color="auto"/>
          <w:lang w:eastAsia="zh-CN"/>
          <w14:textFill>
            <w14:solidFill>
              <w14:schemeClr w14:val="tx1"/>
            </w14:solidFill>
          </w14:textFill>
        </w:rPr>
      </w:pPr>
      <w:r>
        <w:rPr>
          <w:rFonts w:hint="eastAsia" w:ascii="仿宋_GB2312" w:hAnsi="仿宋_GB2312" w:eastAsia="仿宋_GB2312" w:cs="仿宋_GB2312"/>
          <w:b w:val="0"/>
          <w:bCs w:val="0"/>
          <w:i w:val="0"/>
          <w:iCs w:val="0"/>
          <w:color w:val="000000" w:themeColor="text1"/>
          <w:sz w:val="32"/>
          <w:szCs w:val="32"/>
          <w:u w:val="none" w:color="auto"/>
          <w:lang w:val="en-US" w:eastAsia="zh-CN"/>
          <w14:textFill>
            <w14:solidFill>
              <w14:schemeClr w14:val="tx1"/>
            </w14:solidFill>
          </w14:textFill>
        </w:rPr>
        <w:t>1.</w:t>
      </w:r>
      <w:r>
        <w:rPr>
          <w:rFonts w:hint="eastAsia" w:ascii="仿宋_GB2312" w:hAnsi="仿宋_GB2312" w:eastAsia="仿宋_GB2312" w:cs="仿宋_GB2312"/>
          <w:b w:val="0"/>
          <w:bCs w:val="0"/>
          <w:i w:val="0"/>
          <w:iCs w:val="0"/>
          <w:color w:val="000000" w:themeColor="text1"/>
          <w:spacing w:val="0"/>
          <w:kern w:val="2"/>
          <w:sz w:val="32"/>
          <w:szCs w:val="32"/>
          <w:u w:val="none" w:color="auto"/>
          <w:lang w:val="en-US" w:eastAsia="zh-CN" w:bidi="ar-SA"/>
          <w14:textFill>
            <w14:solidFill>
              <w14:schemeClr w14:val="tx1"/>
            </w14:solidFill>
          </w14:textFill>
        </w:rPr>
        <w:t>统筹抓好全面依法治省工作</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i w:val="0"/>
          <w:iCs w:val="0"/>
          <w:color w:val="000000" w:themeColor="text1"/>
          <w:kern w:val="2"/>
          <w:sz w:val="32"/>
          <w:szCs w:val="32"/>
          <w:u w:val="none" w:color="auto"/>
          <w:lang w:eastAsia="zh-CN"/>
          <w14:textFill>
            <w14:solidFill>
              <w14:schemeClr w14:val="tx1"/>
            </w14:solidFill>
          </w14:textFill>
        </w:rPr>
      </w:pPr>
      <w:r>
        <w:rPr>
          <w:rFonts w:hint="eastAsia" w:ascii="仿宋_GB2312" w:hAnsi="仿宋_GB2312" w:eastAsia="仿宋_GB2312" w:cs="仿宋_GB2312"/>
          <w:b w:val="0"/>
          <w:bCs w:val="0"/>
          <w:i w:val="0"/>
          <w:iCs w:val="0"/>
          <w:color w:val="000000" w:themeColor="text1"/>
          <w:sz w:val="32"/>
          <w:szCs w:val="32"/>
          <w:u w:val="none" w:color="auto"/>
          <w:lang w:eastAsia="zh-CN" w:bidi="ar-SA"/>
          <w14:textFill>
            <w14:solidFill>
              <w14:schemeClr w14:val="tx1"/>
            </w14:solidFill>
          </w14:textFill>
        </w:rPr>
        <w:t>一是深入学习贯彻习近平法治思想。</w:t>
      </w:r>
      <w:r>
        <w:rPr>
          <w:rFonts w:hint="eastAsia" w:ascii="仿宋_GB2312" w:hAnsi="仿宋_GB2312" w:eastAsia="仿宋_GB2312" w:cs="仿宋_GB2312"/>
          <w:i w:val="0"/>
          <w:iCs w:val="0"/>
          <w:color w:val="000000" w:themeColor="text1"/>
          <w:sz w:val="32"/>
          <w:szCs w:val="32"/>
          <w:u w:val="none" w:color="auto"/>
          <w:lang w:val="en-US" w:eastAsia="zh-CN"/>
          <w14:textFill>
            <w14:solidFill>
              <w14:schemeClr w14:val="tx1"/>
            </w14:solidFill>
          </w14:textFill>
        </w:rPr>
        <w:t>研究</w:t>
      </w:r>
      <w:r>
        <w:rPr>
          <w:rFonts w:hint="eastAsia" w:ascii="仿宋_GB2312" w:hAnsi="仿宋_GB2312" w:eastAsia="仿宋_GB2312" w:cs="仿宋_GB2312"/>
          <w:i w:val="0"/>
          <w:iCs w:val="0"/>
          <w:color w:val="000000" w:themeColor="text1"/>
          <w:sz w:val="32"/>
          <w:szCs w:val="32"/>
          <w:u w:val="none" w:color="auto"/>
          <w14:textFill>
            <w14:solidFill>
              <w14:schemeClr w14:val="tx1"/>
            </w14:solidFill>
          </w14:textFill>
        </w:rPr>
        <w:t>制定贯彻落实习近平法治思想深入推进全面依法治省的若干措施，编印《习近平法治思想重要论述摘编》</w:t>
      </w:r>
      <w:r>
        <w:rPr>
          <w:rFonts w:hint="eastAsia" w:ascii="仿宋_GB2312" w:hAnsi="仿宋_GB2312" w:eastAsia="仿宋_GB2312" w:cs="仿宋_GB2312"/>
          <w:i w:val="0"/>
          <w:iCs w:val="0"/>
          <w:color w:val="000000" w:themeColor="text1"/>
          <w:sz w:val="32"/>
          <w:szCs w:val="32"/>
          <w:u w:val="none" w:color="auto"/>
          <w:lang w:eastAsia="zh-CN"/>
          <w14:textFill>
            <w14:solidFill>
              <w14:schemeClr w14:val="tx1"/>
            </w14:solidFill>
          </w14:textFill>
        </w:rPr>
        <w:t>，</w:t>
      </w:r>
      <w:r>
        <w:rPr>
          <w:rFonts w:hint="eastAsia" w:ascii="仿宋_GB2312" w:hAnsi="仿宋_GB2312" w:eastAsia="仿宋_GB2312" w:cs="仿宋_GB2312"/>
          <w:i w:val="0"/>
          <w:iCs w:val="0"/>
          <w:snapToGrid w:val="0"/>
          <w:color w:val="000000" w:themeColor="text1"/>
          <w:sz w:val="32"/>
          <w:szCs w:val="32"/>
          <w:u w:val="none" w:color="auto"/>
          <w:lang w:eastAsia="zh-CN"/>
          <w14:textFill>
            <w14:solidFill>
              <w14:schemeClr w14:val="tx1"/>
            </w14:solidFill>
          </w14:textFill>
        </w:rPr>
        <w:t>举办专题讲座</w:t>
      </w:r>
      <w:r>
        <w:rPr>
          <w:rFonts w:hint="eastAsia" w:ascii="仿宋_GB2312" w:hAnsi="仿宋_GB2312" w:eastAsia="仿宋_GB2312" w:cs="仿宋_GB2312"/>
          <w:i w:val="0"/>
          <w:iCs w:val="0"/>
          <w:color w:val="000000" w:themeColor="text1"/>
          <w:sz w:val="32"/>
          <w:szCs w:val="32"/>
          <w:u w:val="none" w:color="auto"/>
          <w:lang w:eastAsia="zh-CN"/>
          <w14:textFill>
            <w14:solidFill>
              <w14:schemeClr w14:val="tx1"/>
            </w14:solidFill>
          </w14:textFill>
        </w:rPr>
        <w:t>，组织开展</w:t>
      </w:r>
      <w:r>
        <w:rPr>
          <w:rFonts w:hint="eastAsia" w:ascii="仿宋_GB2312" w:hAnsi="仿宋_GB2312" w:eastAsia="仿宋_GB2312" w:cs="仿宋_GB2312"/>
          <w:i w:val="0"/>
          <w:iCs w:val="0"/>
          <w:color w:val="000000" w:themeColor="text1"/>
          <w:sz w:val="32"/>
          <w:szCs w:val="32"/>
          <w:u w:val="none" w:color="auto"/>
          <w:shd w:val="clear" w:color="auto" w:fill="FFFFFF"/>
          <w14:textFill>
            <w14:solidFill>
              <w14:schemeClr w14:val="tx1"/>
            </w14:solidFill>
          </w14:textFill>
        </w:rPr>
        <w:t>以</w:t>
      </w:r>
      <w:r>
        <w:rPr>
          <w:rFonts w:hint="eastAsia" w:ascii="仿宋_GB2312" w:hAnsi="仿宋_GB2312" w:eastAsia="仿宋_GB2312" w:cs="仿宋_GB2312"/>
          <w:i w:val="0"/>
          <w:iCs w:val="0"/>
          <w:color w:val="000000" w:themeColor="text1"/>
          <w:sz w:val="32"/>
          <w:szCs w:val="32"/>
          <w:u w:val="none" w:color="auto"/>
          <w:shd w:val="clear" w:color="auto" w:fill="FFFFFF"/>
          <w:lang w:eastAsia="zh-CN"/>
          <w14:textFill>
            <w14:solidFill>
              <w14:schemeClr w14:val="tx1"/>
            </w14:solidFill>
          </w14:textFill>
        </w:rPr>
        <w:t>“</w:t>
      </w:r>
      <w:r>
        <w:rPr>
          <w:rFonts w:hint="eastAsia" w:ascii="仿宋_GB2312" w:hAnsi="仿宋_GB2312" w:eastAsia="仿宋_GB2312" w:cs="仿宋_GB2312"/>
          <w:i w:val="0"/>
          <w:iCs w:val="0"/>
          <w:color w:val="000000" w:themeColor="text1"/>
          <w:sz w:val="32"/>
          <w:szCs w:val="32"/>
          <w:u w:val="none" w:color="auto"/>
          <w:shd w:val="clear" w:color="auto" w:fill="FFFFFF"/>
          <w14:textFill>
            <w14:solidFill>
              <w14:schemeClr w14:val="tx1"/>
            </w14:solidFill>
          </w14:textFill>
        </w:rPr>
        <w:t>深入学习贯彻习近平法治思想 奋力谱写法治四川建设新篇章</w:t>
      </w:r>
      <w:r>
        <w:rPr>
          <w:rFonts w:hint="eastAsia" w:ascii="仿宋_GB2312" w:hAnsi="仿宋_GB2312" w:eastAsia="仿宋_GB2312" w:cs="仿宋_GB2312"/>
          <w:i w:val="0"/>
          <w:iCs w:val="0"/>
          <w:color w:val="000000" w:themeColor="text1"/>
          <w:sz w:val="32"/>
          <w:szCs w:val="32"/>
          <w:u w:val="none" w:color="auto"/>
          <w:shd w:val="clear" w:color="auto" w:fill="FFFFFF"/>
          <w:lang w:eastAsia="zh-CN"/>
          <w14:textFill>
            <w14:solidFill>
              <w14:schemeClr w14:val="tx1"/>
            </w14:solidFill>
          </w14:textFill>
        </w:rPr>
        <w:t>”</w:t>
      </w:r>
      <w:r>
        <w:rPr>
          <w:rFonts w:hint="eastAsia" w:ascii="仿宋_GB2312" w:hAnsi="仿宋_GB2312" w:eastAsia="仿宋_GB2312" w:cs="仿宋_GB2312"/>
          <w:i w:val="0"/>
          <w:iCs w:val="0"/>
          <w:color w:val="000000" w:themeColor="text1"/>
          <w:sz w:val="32"/>
          <w:szCs w:val="32"/>
          <w:u w:val="none" w:color="auto"/>
          <w:shd w:val="clear" w:color="auto" w:fill="FFFFFF"/>
          <w14:textFill>
            <w14:solidFill>
              <w14:schemeClr w14:val="tx1"/>
            </w14:solidFill>
          </w14:textFill>
        </w:rPr>
        <w:t>为主题</w:t>
      </w:r>
      <w:r>
        <w:rPr>
          <w:rFonts w:hint="eastAsia" w:ascii="仿宋_GB2312" w:hAnsi="仿宋_GB2312" w:eastAsia="仿宋_GB2312" w:cs="仿宋_GB2312"/>
          <w:i w:val="0"/>
          <w:iCs w:val="0"/>
          <w:color w:val="000000" w:themeColor="text1"/>
          <w:sz w:val="32"/>
          <w:szCs w:val="32"/>
          <w:u w:val="none" w:color="auto"/>
          <w:shd w:val="clear" w:color="auto" w:fill="FFFFFF"/>
          <w:lang w:eastAsia="zh-CN"/>
          <w14:textFill>
            <w14:solidFill>
              <w14:schemeClr w14:val="tx1"/>
            </w14:solidFill>
          </w14:textFill>
        </w:rPr>
        <w:t>的“宪法宣传周”活动，</w:t>
      </w:r>
      <w:r>
        <w:rPr>
          <w:rFonts w:hint="eastAsia" w:ascii="仿宋_GB2312" w:hAnsi="仿宋_GB2312" w:eastAsia="仿宋_GB2312" w:cs="仿宋_GB2312"/>
          <w:i w:val="0"/>
          <w:iCs w:val="0"/>
          <w:color w:val="000000" w:themeColor="text1"/>
          <w:sz w:val="32"/>
          <w:szCs w:val="32"/>
          <w:u w:val="none" w:color="auto"/>
          <w14:textFill>
            <w14:solidFill>
              <w14:schemeClr w14:val="tx1"/>
            </w14:solidFill>
          </w14:textFill>
        </w:rPr>
        <w:t>有力推动学习宣传贯彻走深走实。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olor w:val="000000" w:themeColor="text1"/>
          <w:sz w:val="32"/>
          <w:szCs w:val="32"/>
          <w:u w:val="none" w:color="auto"/>
          <w:lang w:eastAsia="zh-CN"/>
          <w14:textFill>
            <w14:solidFill>
              <w14:schemeClr w14:val="tx1"/>
            </w14:solidFill>
          </w14:textFill>
        </w:rPr>
      </w:pPr>
      <w:r>
        <w:rPr>
          <w:rFonts w:hint="eastAsia" w:ascii="仿宋_GB2312" w:hAnsi="仿宋_GB2312" w:eastAsia="仿宋_GB2312" w:cs="仿宋_GB2312"/>
          <w:b w:val="0"/>
          <w:bCs w:val="0"/>
          <w:i w:val="0"/>
          <w:iCs w:val="0"/>
          <w:color w:val="000000" w:themeColor="text1"/>
          <w:sz w:val="32"/>
          <w:szCs w:val="32"/>
          <w:u w:val="none" w:color="auto"/>
          <w:lang w:val="zh-CN" w:eastAsia="zh-CN" w:bidi="ar-SA"/>
          <w14:textFill>
            <w14:solidFill>
              <w14:schemeClr w14:val="tx1"/>
            </w14:solidFill>
          </w14:textFill>
        </w:rPr>
        <w:t>二是统筹编制法治四川建设系列规划。</w:t>
      </w:r>
      <w:r>
        <w:rPr>
          <w:rFonts w:hint="eastAsia" w:ascii="仿宋_GB2312" w:hAnsi="仿宋_GB2312" w:eastAsia="仿宋_GB2312" w:cs="仿宋_GB2312"/>
          <w:i w:val="0"/>
          <w:iCs w:val="0"/>
          <w:color w:val="000000" w:themeColor="text1"/>
          <w:sz w:val="32"/>
          <w:szCs w:val="32"/>
          <w:u w:val="none" w:color="auto"/>
          <w:lang w:eastAsia="zh-CN"/>
          <w14:textFill>
            <w14:solidFill>
              <w14:schemeClr w14:val="tx1"/>
            </w14:solidFill>
          </w14:textFill>
        </w:rPr>
        <w:t>对标中央部署和规划，组织编制法治四川建设规划和法治政府、法治社会建设实施方案，绘制了“十四五”时期全省法治建设蓝图。</w:t>
      </w:r>
    </w:p>
    <w:p>
      <w:pPr>
        <w:keepNext w:val="0"/>
        <w:keepLines w:val="0"/>
        <w:pageBreakBefore w:val="0"/>
        <w:widowControl w:val="0"/>
        <w:shd w:val="clear" w:color="auto" w:fill="FFFFFF"/>
        <w:kinsoku/>
        <w:wordWrap/>
        <w:overflowPunct/>
        <w:topLinePunct w:val="0"/>
        <w:autoSpaceDE/>
        <w:autoSpaceDN/>
        <w:bidi w:val="0"/>
        <w:snapToGrid/>
        <w:spacing w:line="600" w:lineRule="exact"/>
        <w:ind w:firstLine="640" w:firstLineChars="200"/>
        <w:jc w:val="both"/>
        <w:textAlignment w:val="auto"/>
        <w:rPr>
          <w:rFonts w:hint="eastAsia" w:ascii="仿宋_GB2312" w:hAnsi="仿宋_GB2312" w:eastAsia="仿宋_GB2312" w:cs="仿宋_GB2312"/>
          <w:i w:val="0"/>
          <w:iCs w:val="0"/>
          <w:color w:val="000000" w:themeColor="text1"/>
          <w:sz w:val="32"/>
          <w:szCs w:val="32"/>
          <w:u w:val="none" w:color="auto"/>
          <w:lang w:eastAsia="zh-CN"/>
          <w14:textFill>
            <w14:solidFill>
              <w14:schemeClr w14:val="tx1"/>
            </w14:solidFill>
          </w14:textFill>
        </w:rPr>
      </w:pPr>
      <w:r>
        <w:rPr>
          <w:rFonts w:hint="eastAsia" w:ascii="仿宋_GB2312" w:hAnsi="仿宋_GB2312" w:eastAsia="仿宋_GB2312" w:cs="仿宋_GB2312"/>
          <w:b w:val="0"/>
          <w:bCs w:val="0"/>
          <w:i w:val="0"/>
          <w:iCs w:val="0"/>
          <w:color w:val="000000" w:themeColor="text1"/>
          <w:sz w:val="32"/>
          <w:szCs w:val="32"/>
          <w:u w:val="none" w:color="auto"/>
          <w:lang w:val="zh-CN" w:eastAsia="zh-CN" w:bidi="ar-SA"/>
          <w14:textFill>
            <w14:solidFill>
              <w14:schemeClr w14:val="tx1"/>
            </w14:solidFill>
          </w14:textFill>
        </w:rPr>
        <w:t>三是创新开展“</w:t>
      </w:r>
      <w:r>
        <w:rPr>
          <w:rFonts w:hint="eastAsia" w:ascii="仿宋_GB2312" w:hAnsi="仿宋_GB2312" w:eastAsia="仿宋_GB2312" w:cs="仿宋_GB2312"/>
          <w:b w:val="0"/>
          <w:bCs w:val="0"/>
          <w:i w:val="0"/>
          <w:iCs w:val="0"/>
          <w:color w:val="000000" w:themeColor="text1"/>
          <w:sz w:val="32"/>
          <w:szCs w:val="32"/>
          <w:u w:val="none" w:color="auto"/>
          <w:lang w:val="en-US" w:eastAsia="zh-CN" w:bidi="ar-SA"/>
          <w14:textFill>
            <w14:solidFill>
              <w14:schemeClr w14:val="tx1"/>
            </w14:solidFill>
          </w14:textFill>
        </w:rPr>
        <w:t>1+8</w:t>
      </w:r>
      <w:r>
        <w:rPr>
          <w:rFonts w:hint="eastAsia" w:ascii="仿宋_GB2312" w:hAnsi="仿宋_GB2312" w:eastAsia="仿宋_GB2312" w:cs="仿宋_GB2312"/>
          <w:b w:val="0"/>
          <w:bCs w:val="0"/>
          <w:i w:val="0"/>
          <w:iCs w:val="0"/>
          <w:color w:val="000000" w:themeColor="text1"/>
          <w:sz w:val="32"/>
          <w:szCs w:val="32"/>
          <w:u w:val="none" w:color="auto"/>
          <w:lang w:val="zh-CN" w:eastAsia="zh-CN" w:bidi="ar-SA"/>
          <w14:textFill>
            <w14:solidFill>
              <w14:schemeClr w14:val="tx1"/>
            </w14:solidFill>
          </w14:textFill>
        </w:rPr>
        <w:t>”示范试点。</w:t>
      </w:r>
      <w:r>
        <w:rPr>
          <w:rFonts w:hint="eastAsia" w:ascii="仿宋_GB2312" w:hAnsi="仿宋_GB2312" w:eastAsia="仿宋_GB2312" w:cs="仿宋_GB2312"/>
          <w:i w:val="0"/>
          <w:iCs w:val="0"/>
          <w:color w:val="000000" w:themeColor="text1"/>
          <w:sz w:val="32"/>
          <w:szCs w:val="32"/>
          <w:u w:val="none" w:color="auto"/>
          <w:lang w:eastAsia="zh-CN"/>
          <w14:textFill>
            <w14:solidFill>
              <w14:schemeClr w14:val="tx1"/>
            </w14:solidFill>
          </w14:textFill>
        </w:rPr>
        <w:t>在全国率先开展全面依法治</w:t>
      </w:r>
      <w:r>
        <w:rPr>
          <w:rFonts w:hint="eastAsia" w:ascii="仿宋_GB2312" w:hAnsi="仿宋_GB2312" w:eastAsia="仿宋_GB2312" w:cs="仿宋_GB2312"/>
          <w:i w:val="0"/>
          <w:iCs w:val="0"/>
          <w:color w:val="000000" w:themeColor="text1"/>
          <w:sz w:val="32"/>
          <w:szCs w:val="32"/>
          <w:u w:val="none" w:color="auto"/>
          <w14:textFill>
            <w14:solidFill>
              <w14:schemeClr w14:val="tx1"/>
            </w14:solidFill>
          </w14:textFill>
        </w:rPr>
        <w:t>县及推动解决法治领域</w:t>
      </w:r>
      <w:r>
        <w:rPr>
          <w:rFonts w:hint="eastAsia" w:ascii="仿宋_GB2312" w:hAnsi="仿宋_GB2312" w:eastAsia="仿宋_GB2312" w:cs="仿宋_GB2312"/>
          <w:i w:val="0"/>
          <w:iCs w:val="0"/>
          <w:color w:val="000000" w:themeColor="text1"/>
          <w:sz w:val="32"/>
          <w:szCs w:val="32"/>
          <w:u w:val="none" w:color="auto"/>
          <w:lang w:val="en-US" w:eastAsia="zh-CN"/>
          <w14:textFill>
            <w14:solidFill>
              <w14:schemeClr w14:val="tx1"/>
            </w14:solidFill>
          </w14:textFill>
        </w:rPr>
        <w:t>八个</w:t>
      </w:r>
      <w:r>
        <w:rPr>
          <w:rFonts w:hint="eastAsia" w:ascii="仿宋_GB2312" w:hAnsi="仿宋_GB2312" w:eastAsia="仿宋_GB2312" w:cs="仿宋_GB2312"/>
          <w:i w:val="0"/>
          <w:iCs w:val="0"/>
          <w:color w:val="000000" w:themeColor="text1"/>
          <w:sz w:val="32"/>
          <w:szCs w:val="32"/>
          <w:u w:val="none" w:color="auto"/>
          <w14:textFill>
            <w14:solidFill>
              <w14:schemeClr w14:val="tx1"/>
            </w14:solidFill>
          </w14:textFill>
        </w:rPr>
        <w:t>突出问题示范试点</w:t>
      </w:r>
      <w:r>
        <w:rPr>
          <w:rFonts w:hint="eastAsia" w:ascii="仿宋_GB2312" w:hAnsi="仿宋_GB2312" w:eastAsia="仿宋_GB2312" w:cs="仿宋_GB2312"/>
          <w:i w:val="0"/>
          <w:iCs w:val="0"/>
          <w:color w:val="000000" w:themeColor="text1"/>
          <w:sz w:val="32"/>
          <w:szCs w:val="32"/>
          <w:u w:val="none" w:color="auto"/>
          <w:lang w:eastAsia="zh-CN"/>
          <w14:textFill>
            <w14:solidFill>
              <w14:schemeClr w14:val="tx1"/>
            </w14:solidFill>
          </w14:textFill>
        </w:rPr>
        <w:t>，</w:t>
      </w:r>
      <w:r>
        <w:rPr>
          <w:rFonts w:hint="eastAsia" w:ascii="仿宋_GB2312" w:hAnsi="仿宋_GB2312" w:eastAsia="仿宋_GB2312" w:cs="仿宋_GB2312"/>
          <w:i w:val="0"/>
          <w:iCs w:val="0"/>
          <w:color w:val="000000" w:themeColor="text1"/>
          <w:sz w:val="32"/>
          <w:szCs w:val="32"/>
          <w:u w:val="none" w:color="auto"/>
          <w14:textFill>
            <w14:solidFill>
              <w14:schemeClr w14:val="tx1"/>
            </w14:solidFill>
          </w14:textFill>
        </w:rPr>
        <w:t>创新</w:t>
      </w:r>
      <w:r>
        <w:rPr>
          <w:rFonts w:hint="eastAsia" w:ascii="仿宋_GB2312" w:hAnsi="仿宋_GB2312" w:eastAsia="仿宋_GB2312" w:cs="仿宋_GB2312"/>
          <w:i w:val="0"/>
          <w:iCs w:val="0"/>
          <w:color w:val="000000" w:themeColor="text1"/>
          <w:sz w:val="32"/>
          <w:szCs w:val="32"/>
          <w:u w:val="none" w:color="auto"/>
          <w:lang w:eastAsia="zh-CN"/>
          <w14:textFill>
            <w14:solidFill>
              <w14:schemeClr w14:val="tx1"/>
            </w14:solidFill>
          </w14:textFill>
        </w:rPr>
        <w:t>推出</w:t>
      </w:r>
      <w:r>
        <w:rPr>
          <w:rFonts w:hint="eastAsia" w:ascii="仿宋_GB2312" w:hAnsi="仿宋_GB2312" w:eastAsia="仿宋_GB2312" w:cs="仿宋_GB2312"/>
          <w:i w:val="0"/>
          <w:iCs w:val="0"/>
          <w:color w:val="000000" w:themeColor="text1"/>
          <w:sz w:val="32"/>
          <w:szCs w:val="32"/>
          <w:u w:val="none" w:color="auto"/>
          <w14:textFill>
            <w14:solidFill>
              <w14:schemeClr w14:val="tx1"/>
            </w14:solidFill>
          </w14:textFill>
        </w:rPr>
        <w:t>“法治账图”模式，</w:t>
      </w:r>
      <w:r>
        <w:rPr>
          <w:rFonts w:hint="eastAsia" w:ascii="仿宋_GB2312" w:hAnsi="仿宋_GB2312" w:eastAsia="仿宋_GB2312" w:cs="仿宋_GB2312"/>
          <w:b w:val="0"/>
          <w:i w:val="0"/>
          <w:iCs w:val="0"/>
          <w:color w:val="000000" w:themeColor="text1"/>
          <w:kern w:val="2"/>
          <w:sz w:val="32"/>
          <w:szCs w:val="32"/>
          <w:u w:val="none" w:color="auto"/>
          <w:lang w:val="en-US" w:eastAsia="zh-CN"/>
          <w14:textFill>
            <w14:solidFill>
              <w14:schemeClr w14:val="tx1"/>
            </w14:solidFill>
          </w14:textFill>
        </w:rPr>
        <w:t>全面依法治县60项重要指标整体向好，</w:t>
      </w:r>
      <w:r>
        <w:rPr>
          <w:rFonts w:hint="eastAsia" w:ascii="仿宋_GB2312" w:hAnsi="仿宋_GB2312" w:eastAsia="仿宋_GB2312" w:cs="仿宋_GB2312"/>
          <w:i w:val="0"/>
          <w:iCs w:val="0"/>
          <w:color w:val="000000" w:themeColor="text1"/>
          <w:sz w:val="32"/>
          <w:szCs w:val="32"/>
          <w:u w:val="none" w:color="auto"/>
          <w14:textFill>
            <w14:solidFill>
              <w14:schemeClr w14:val="tx1"/>
            </w14:solidFill>
          </w14:textFill>
        </w:rPr>
        <w:t>得到中央依法治国办充分肯定</w:t>
      </w:r>
      <w:r>
        <w:rPr>
          <w:rFonts w:hint="eastAsia" w:ascii="仿宋_GB2312" w:hAnsi="仿宋_GB2312" w:eastAsia="仿宋_GB2312" w:cs="仿宋_GB2312"/>
          <w:i w:val="0"/>
          <w:iCs w:val="0"/>
          <w:color w:val="000000" w:themeColor="text1"/>
          <w:sz w:val="32"/>
          <w:szCs w:val="32"/>
          <w:u w:val="none" w:color="auto"/>
          <w:lang w:eastAsia="zh-CN"/>
          <w14:textFill>
            <w14:solidFill>
              <w14:schemeClr w14:val="tx1"/>
            </w14:solidFill>
          </w14:textFill>
        </w:rPr>
        <w:t>，拟在我省召开现场会向全国推广。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i w:val="0"/>
          <w:iCs w:val="0"/>
          <w:color w:val="000000" w:themeColor="text1"/>
          <w:sz w:val="32"/>
          <w:szCs w:val="32"/>
          <w:u w:val="none" w:color="auto"/>
          <w:lang w:eastAsia="zh-CN"/>
          <w14:textFill>
            <w14:solidFill>
              <w14:schemeClr w14:val="tx1"/>
            </w14:solidFill>
          </w14:textFill>
        </w:rPr>
      </w:pPr>
      <w:r>
        <w:rPr>
          <w:rFonts w:hint="eastAsia" w:ascii="仿宋_GB2312" w:hAnsi="仿宋_GB2312" w:eastAsia="仿宋_GB2312" w:cs="仿宋_GB2312"/>
          <w:b w:val="0"/>
          <w:bCs w:val="0"/>
          <w:i w:val="0"/>
          <w:iCs w:val="0"/>
          <w:color w:val="000000" w:themeColor="text1"/>
          <w:kern w:val="2"/>
          <w:sz w:val="32"/>
          <w:szCs w:val="32"/>
          <w:u w:val="none" w:color="auto"/>
          <w:lang w:val="en-US" w:eastAsia="zh-CN"/>
          <w14:textFill>
            <w14:solidFill>
              <w14:schemeClr w14:val="tx1"/>
            </w14:solidFill>
          </w14:textFill>
        </w:rPr>
        <w:t>2.</w:t>
      </w:r>
      <w:r>
        <w:rPr>
          <w:rFonts w:hint="eastAsia" w:ascii="仿宋_GB2312" w:hAnsi="仿宋_GB2312" w:eastAsia="仿宋_GB2312" w:cs="仿宋_GB2312"/>
          <w:b w:val="0"/>
          <w:bCs w:val="0"/>
          <w:i w:val="0"/>
          <w:iCs w:val="0"/>
          <w:color w:val="000000" w:themeColor="text1"/>
          <w:spacing w:val="0"/>
          <w:kern w:val="2"/>
          <w:sz w:val="32"/>
          <w:szCs w:val="32"/>
          <w:u w:val="none" w:color="auto"/>
          <w:lang w:val="en-US" w:eastAsia="zh-CN" w:bidi="ar-SA"/>
          <w14:textFill>
            <w14:solidFill>
              <w14:schemeClr w14:val="tx1"/>
            </w14:solidFill>
          </w14:textFill>
        </w:rPr>
        <w:t>全面护航经济社会发展</w:t>
      </w:r>
    </w:p>
    <w:p>
      <w:pPr>
        <w:keepNext w:val="0"/>
        <w:keepLines w:val="0"/>
        <w:pageBreakBefore w:val="0"/>
        <w:widowControl w:val="0"/>
        <w:shd w:val="clear" w:color="auto" w:fill="FFFFFF"/>
        <w:kinsoku/>
        <w:wordWrap/>
        <w:overflowPunct/>
        <w:topLinePunct w:val="0"/>
        <w:autoSpaceDE/>
        <w:autoSpaceDN/>
        <w:bidi w:val="0"/>
        <w:snapToGrid/>
        <w:spacing w:line="600" w:lineRule="exact"/>
        <w:ind w:firstLine="640" w:firstLineChars="200"/>
        <w:jc w:val="both"/>
        <w:textAlignment w:val="auto"/>
        <w:rPr>
          <w:rFonts w:hint="eastAsia" w:ascii="仿宋_GB2312" w:hAnsi="仿宋_GB2312" w:eastAsia="仿宋_GB2312" w:cs="仿宋_GB2312"/>
          <w:i w:val="0"/>
          <w:iCs w:val="0"/>
          <w:color w:val="000000" w:themeColor="text1"/>
          <w:sz w:val="32"/>
          <w:szCs w:val="32"/>
          <w:u w:val="none" w:color="auto"/>
          <w:lang w:eastAsia="zh-CN"/>
          <w14:textFill>
            <w14:solidFill>
              <w14:schemeClr w14:val="tx1"/>
            </w14:solidFill>
          </w14:textFill>
        </w:rPr>
      </w:pPr>
      <w:r>
        <w:rPr>
          <w:rFonts w:hint="eastAsia" w:ascii="仿宋_GB2312" w:hAnsi="仿宋_GB2312" w:eastAsia="仿宋_GB2312" w:cs="仿宋_GB2312"/>
          <w:b w:val="0"/>
          <w:bCs w:val="0"/>
          <w:i w:val="0"/>
          <w:iCs w:val="0"/>
          <w:color w:val="000000" w:themeColor="text1"/>
          <w:sz w:val="32"/>
          <w:szCs w:val="32"/>
          <w:u w:val="none" w:color="auto"/>
          <w:lang w:val="en-US" w:eastAsia="zh-CN" w:bidi="ar-SA"/>
          <w14:textFill>
            <w14:solidFill>
              <w14:schemeClr w14:val="tx1"/>
            </w14:solidFill>
          </w14:textFill>
        </w:rPr>
        <w:t>一是实施重大项目和重点企业专项法律服务。</w:t>
      </w:r>
      <w:r>
        <w:rPr>
          <w:rFonts w:hint="eastAsia" w:ascii="仿宋_GB2312" w:hAnsi="仿宋_GB2312" w:eastAsia="仿宋_GB2312" w:cs="仿宋_GB2312"/>
          <w:i w:val="0"/>
          <w:iCs w:val="0"/>
          <w:color w:val="000000" w:themeColor="text1"/>
          <w:sz w:val="32"/>
          <w:szCs w:val="32"/>
          <w:u w:val="none" w:color="auto"/>
          <w:lang w:eastAsia="zh-CN"/>
          <w14:textFill>
            <w14:solidFill>
              <w14:schemeClr w14:val="tx1"/>
            </w14:solidFill>
          </w14:textFill>
        </w:rPr>
        <w:t>采取</w:t>
      </w:r>
      <w:r>
        <w:rPr>
          <w:rFonts w:hint="eastAsia" w:ascii="仿宋_GB2312" w:hAnsi="仿宋_GB2312" w:eastAsia="仿宋_GB2312" w:cs="仿宋_GB2312"/>
          <w:i w:val="0"/>
          <w:iCs w:val="0"/>
          <w:color w:val="000000" w:themeColor="text1"/>
          <w:sz w:val="32"/>
          <w:szCs w:val="32"/>
          <w:u w:val="none" w:color="auto"/>
          <w14:textFill>
            <w14:solidFill>
              <w14:schemeClr w14:val="tx1"/>
            </w14:solidFill>
          </w14:textFill>
        </w:rPr>
        <w:t>“1个法律顾问团”+“1个专项行动律师服务团”模式，为全省50余个重点项目提供</w:t>
      </w:r>
      <w:r>
        <w:rPr>
          <w:rFonts w:hint="eastAsia" w:ascii="仿宋_GB2312" w:hAnsi="仿宋_GB2312" w:eastAsia="仿宋_GB2312" w:cs="仿宋_GB2312"/>
          <w:i w:val="0"/>
          <w:iCs w:val="0"/>
          <w:color w:val="000000" w:themeColor="text1"/>
          <w:sz w:val="32"/>
          <w:szCs w:val="32"/>
          <w:u w:val="none" w:color="auto"/>
          <w:lang w:eastAsia="zh-CN"/>
          <w14:textFill>
            <w14:solidFill>
              <w14:schemeClr w14:val="tx1"/>
            </w14:solidFill>
          </w14:textFill>
        </w:rPr>
        <w:t>“</w:t>
      </w:r>
      <w:r>
        <w:rPr>
          <w:rFonts w:hint="eastAsia" w:ascii="仿宋_GB2312" w:hAnsi="仿宋_GB2312" w:eastAsia="仿宋_GB2312" w:cs="仿宋_GB2312"/>
          <w:i w:val="0"/>
          <w:iCs w:val="0"/>
          <w:color w:val="000000" w:themeColor="text1"/>
          <w:sz w:val="32"/>
          <w:szCs w:val="32"/>
          <w:u w:val="none" w:color="auto"/>
          <w14:textFill>
            <w14:solidFill>
              <w14:schemeClr w14:val="tx1"/>
            </w14:solidFill>
          </w14:textFill>
        </w:rPr>
        <w:t>点对点</w:t>
      </w:r>
      <w:r>
        <w:rPr>
          <w:rFonts w:hint="eastAsia" w:ascii="仿宋_GB2312" w:hAnsi="仿宋_GB2312" w:eastAsia="仿宋_GB2312" w:cs="仿宋_GB2312"/>
          <w:i w:val="0"/>
          <w:iCs w:val="0"/>
          <w:color w:val="000000" w:themeColor="text1"/>
          <w:sz w:val="32"/>
          <w:szCs w:val="32"/>
          <w:u w:val="none" w:color="auto"/>
          <w:lang w:eastAsia="zh-CN"/>
          <w14:textFill>
            <w14:solidFill>
              <w14:schemeClr w14:val="tx1"/>
            </w14:solidFill>
          </w14:textFill>
        </w:rPr>
        <w:t>”</w:t>
      </w:r>
      <w:r>
        <w:rPr>
          <w:rFonts w:hint="eastAsia" w:ascii="仿宋_GB2312" w:hAnsi="仿宋_GB2312" w:eastAsia="仿宋_GB2312" w:cs="仿宋_GB2312"/>
          <w:i w:val="0"/>
          <w:iCs w:val="0"/>
          <w:color w:val="000000" w:themeColor="text1"/>
          <w:sz w:val="32"/>
          <w:szCs w:val="32"/>
          <w:u w:val="none" w:color="auto"/>
          <w14:textFill>
            <w14:solidFill>
              <w14:schemeClr w14:val="tx1"/>
            </w14:solidFill>
          </w14:textFill>
        </w:rPr>
        <w:t>法律服务。实施“千所百处帮万企”活动，</w:t>
      </w:r>
      <w:r>
        <w:rPr>
          <w:rFonts w:hint="eastAsia" w:ascii="仿宋_GB2312" w:hAnsi="仿宋_GB2312" w:eastAsia="仿宋_GB2312" w:cs="仿宋_GB2312"/>
          <w:i w:val="0"/>
          <w:iCs w:val="0"/>
          <w:color w:val="000000" w:themeColor="text1"/>
          <w:sz w:val="32"/>
          <w:szCs w:val="32"/>
          <w:u w:val="none" w:color="auto"/>
          <w:lang w:eastAsia="zh-CN"/>
          <w14:textFill>
            <w14:solidFill>
              <w14:schemeClr w14:val="tx1"/>
            </w14:solidFill>
          </w14:textFill>
        </w:rPr>
        <w:t>组织</w:t>
      </w:r>
      <w:r>
        <w:rPr>
          <w:rFonts w:hint="eastAsia" w:ascii="仿宋_GB2312" w:hAnsi="仿宋_GB2312" w:eastAsia="仿宋_GB2312" w:cs="仿宋_GB2312"/>
          <w:i w:val="0"/>
          <w:iCs w:val="0"/>
          <w:color w:val="000000" w:themeColor="text1"/>
          <w:sz w:val="32"/>
          <w:szCs w:val="32"/>
          <w:u w:val="none" w:color="auto"/>
          <w:lang w:val="en-US" w:eastAsia="zh-CN"/>
          <w14:textFill>
            <w14:solidFill>
              <w14:schemeClr w14:val="tx1"/>
            </w14:solidFill>
          </w14:textFill>
        </w:rPr>
        <w:t>757家</w:t>
      </w:r>
      <w:r>
        <w:rPr>
          <w:rFonts w:hint="eastAsia" w:ascii="仿宋_GB2312" w:hAnsi="仿宋_GB2312" w:eastAsia="仿宋_GB2312" w:cs="仿宋_GB2312"/>
          <w:i w:val="0"/>
          <w:iCs w:val="0"/>
          <w:color w:val="000000" w:themeColor="text1"/>
          <w:sz w:val="32"/>
          <w:szCs w:val="32"/>
          <w:u w:val="none" w:color="auto"/>
          <w:lang w:eastAsia="zh-CN"/>
          <w14:textFill>
            <w14:solidFill>
              <w14:schemeClr w14:val="tx1"/>
            </w14:solidFill>
          </w14:textFill>
        </w:rPr>
        <w:t>律</w:t>
      </w:r>
      <w:r>
        <w:rPr>
          <w:rFonts w:hint="eastAsia" w:ascii="仿宋_GB2312" w:hAnsi="仿宋_GB2312" w:eastAsia="仿宋_GB2312" w:cs="仿宋_GB2312"/>
          <w:i w:val="0"/>
          <w:iCs w:val="0"/>
          <w:color w:val="000000" w:themeColor="text1"/>
          <w:sz w:val="32"/>
          <w:szCs w:val="32"/>
          <w:u w:val="none" w:color="auto"/>
          <w14:textFill>
            <w14:solidFill>
              <w14:schemeClr w14:val="tx1"/>
            </w14:solidFill>
          </w14:textFill>
        </w:rPr>
        <w:t>师事务所与1205家工商联所属商会建立联系合作，</w:t>
      </w:r>
      <w:r>
        <w:rPr>
          <w:rFonts w:hint="eastAsia" w:ascii="仿宋_GB2312" w:hAnsi="仿宋_GB2312" w:eastAsia="仿宋_GB2312" w:cs="仿宋_GB2312"/>
          <w:b w:val="0"/>
          <w:bCs w:val="0"/>
          <w:i w:val="0"/>
          <w:iCs w:val="0"/>
          <w:color w:val="000000" w:themeColor="text1"/>
          <w:kern w:val="2"/>
          <w:sz w:val="32"/>
          <w:szCs w:val="32"/>
          <w:u w:val="none" w:color="auto"/>
          <w:lang w:val="en-US" w:eastAsia="zh-CN" w:bidi="ar-SA"/>
          <w14:textFill>
            <w14:solidFill>
              <w14:schemeClr w14:val="tx1"/>
            </w14:solidFill>
          </w14:textFill>
        </w:rPr>
        <w:t>为2900余家企业开展“法治体检”</w:t>
      </w:r>
      <w:r>
        <w:rPr>
          <w:rFonts w:hint="eastAsia" w:ascii="仿宋_GB2312" w:hAnsi="仿宋_GB2312" w:eastAsia="仿宋_GB2312" w:cs="仿宋_GB2312"/>
          <w:i w:val="0"/>
          <w:iCs w:val="0"/>
          <w:color w:val="000000" w:themeColor="text1"/>
          <w:sz w:val="32"/>
          <w:szCs w:val="32"/>
          <w:u w:val="none" w:color="auto"/>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snapToGrid/>
        <w:spacing w:line="600" w:lineRule="exact"/>
        <w:ind w:firstLine="640" w:firstLineChars="200"/>
        <w:jc w:val="both"/>
        <w:rPr>
          <w:rFonts w:hint="eastAsia" w:ascii="仿宋_GB2312" w:hAnsi="仿宋_GB2312" w:eastAsia="仿宋_GB2312" w:cs="仿宋_GB2312"/>
          <w:b w:val="0"/>
          <w:bCs w:val="0"/>
          <w:i w:val="0"/>
          <w:iCs w:val="0"/>
          <w:color w:val="000000" w:themeColor="text1"/>
          <w:sz w:val="32"/>
          <w:szCs w:val="32"/>
          <w:u w:val="none" w:color="auto"/>
          <w:lang w:val="en-US" w:eastAsia="zh-CN"/>
          <w14:textFill>
            <w14:solidFill>
              <w14:schemeClr w14:val="tx1"/>
            </w14:solidFill>
          </w14:textFill>
        </w:rPr>
      </w:pPr>
      <w:r>
        <w:rPr>
          <w:rFonts w:hint="eastAsia" w:ascii="仿宋_GB2312" w:hAnsi="仿宋_GB2312" w:eastAsia="仿宋_GB2312" w:cs="仿宋_GB2312"/>
          <w:b w:val="0"/>
          <w:bCs w:val="0"/>
          <w:i w:val="0"/>
          <w:iCs w:val="0"/>
          <w:color w:val="000000" w:themeColor="text1"/>
          <w:sz w:val="32"/>
          <w:szCs w:val="32"/>
          <w:u w:val="none" w:color="auto"/>
          <w:lang w:val="en-US" w:eastAsia="zh-CN" w:bidi="ar-SA"/>
          <w14:textFill>
            <w14:solidFill>
              <w14:schemeClr w14:val="tx1"/>
            </w14:solidFill>
          </w14:textFill>
        </w:rPr>
        <w:t>二是加快推动川渝法治一体化建设。</w:t>
      </w:r>
      <w:r>
        <w:rPr>
          <w:rFonts w:hint="eastAsia" w:ascii="仿宋_GB2312" w:hAnsi="仿宋_GB2312" w:eastAsia="仿宋_GB2312" w:cs="仿宋_GB2312"/>
          <w:b w:val="0"/>
          <w:bCs w:val="0"/>
          <w:i w:val="0"/>
          <w:iCs w:val="0"/>
          <w:color w:val="000000" w:themeColor="text1"/>
          <w:sz w:val="32"/>
          <w:szCs w:val="32"/>
          <w:u w:val="none" w:color="auto"/>
          <w:lang w:val="en-US" w:eastAsia="zh-CN"/>
          <w14:textFill>
            <w14:solidFill>
              <w14:schemeClr w14:val="tx1"/>
            </w14:solidFill>
          </w14:textFill>
        </w:rPr>
        <w:t>紧扣打造区域法治、法律服务、监管安全、法治人才“四个共同体”，</w:t>
      </w:r>
      <w:r>
        <w:rPr>
          <w:rFonts w:hint="eastAsia" w:ascii="仿宋_GB2312" w:hAnsi="仿宋_GB2312" w:eastAsia="仿宋_GB2312" w:cs="仿宋_GB2312"/>
          <w:b w:val="0"/>
          <w:bCs w:val="0"/>
          <w:i w:val="0"/>
          <w:iCs w:val="0"/>
          <w:color w:val="000000" w:themeColor="text1"/>
          <w:sz w:val="32"/>
          <w:szCs w:val="32"/>
          <w:u w:val="none" w:color="auto"/>
          <w14:textFill>
            <w14:solidFill>
              <w14:schemeClr w14:val="tx1"/>
            </w14:solidFill>
          </w14:textFill>
        </w:rPr>
        <w:t>举办川渝涉外法律服务合作论坛</w:t>
      </w:r>
      <w:r>
        <w:rPr>
          <w:rFonts w:hint="eastAsia" w:ascii="仿宋_GB2312" w:hAnsi="仿宋_GB2312" w:eastAsia="仿宋_GB2312" w:cs="仿宋_GB2312"/>
          <w:b w:val="0"/>
          <w:bCs w:val="0"/>
          <w:i w:val="0"/>
          <w:iCs w:val="0"/>
          <w:color w:val="000000" w:themeColor="text1"/>
          <w:sz w:val="32"/>
          <w:szCs w:val="32"/>
          <w:u w:val="none" w:color="auto"/>
          <w:lang w:eastAsia="zh-CN"/>
          <w14:textFill>
            <w14:solidFill>
              <w14:schemeClr w14:val="tx1"/>
            </w14:solidFill>
          </w14:textFill>
        </w:rPr>
        <w:t>，</w:t>
      </w:r>
      <w:r>
        <w:rPr>
          <w:rFonts w:hint="eastAsia" w:ascii="仿宋_GB2312" w:hAnsi="仿宋_GB2312" w:eastAsia="仿宋_GB2312" w:cs="仿宋_GB2312"/>
          <w:b w:val="0"/>
          <w:bCs w:val="0"/>
          <w:i w:val="0"/>
          <w:iCs w:val="0"/>
          <w:color w:val="000000" w:themeColor="text1"/>
          <w:sz w:val="32"/>
          <w:szCs w:val="32"/>
          <w:u w:val="none" w:color="auto"/>
          <w:lang w:val="en-US" w:eastAsia="zh-CN"/>
          <w14:textFill>
            <w14:solidFill>
              <w14:schemeClr w14:val="tx1"/>
            </w14:solidFill>
          </w14:textFill>
        </w:rPr>
        <w:t>签署仲裁合作协议，</w:t>
      </w:r>
      <w:r>
        <w:rPr>
          <w:rFonts w:hint="eastAsia" w:ascii="仿宋_GB2312" w:hAnsi="仿宋_GB2312" w:eastAsia="仿宋_GB2312" w:cs="仿宋_GB2312"/>
          <w:b w:val="0"/>
          <w:bCs w:val="0"/>
          <w:i w:val="0"/>
          <w:iCs w:val="0"/>
          <w:color w:val="000000" w:themeColor="text1"/>
          <w:sz w:val="32"/>
          <w:szCs w:val="32"/>
          <w:u w:val="none" w:color="auto"/>
          <w14:textFill>
            <w14:solidFill>
              <w14:schemeClr w14:val="tx1"/>
            </w14:solidFill>
          </w14:textFill>
        </w:rPr>
        <w:t>建立川渝行政复议专家库</w:t>
      </w:r>
      <w:r>
        <w:rPr>
          <w:rFonts w:hint="eastAsia" w:ascii="仿宋_GB2312" w:hAnsi="仿宋_GB2312" w:eastAsia="仿宋_GB2312" w:cs="仿宋_GB2312"/>
          <w:b w:val="0"/>
          <w:bCs w:val="0"/>
          <w:i w:val="0"/>
          <w:iCs w:val="0"/>
          <w:color w:val="000000" w:themeColor="text1"/>
          <w:sz w:val="32"/>
          <w:szCs w:val="32"/>
          <w:u w:val="none" w:color="auto"/>
          <w:lang w:eastAsia="zh-CN"/>
          <w14:textFill>
            <w14:solidFill>
              <w14:schemeClr w14:val="tx1"/>
            </w14:solidFill>
          </w14:textFill>
        </w:rPr>
        <w:t>和司法鉴定专家库，</w:t>
      </w:r>
      <w:r>
        <w:rPr>
          <w:rFonts w:hint="eastAsia" w:ascii="仿宋_GB2312" w:hAnsi="仿宋_GB2312" w:eastAsia="仿宋_GB2312" w:cs="仿宋_GB2312"/>
          <w:b w:val="0"/>
          <w:bCs w:val="0"/>
          <w:i w:val="0"/>
          <w:iCs w:val="0"/>
          <w:color w:val="000000" w:themeColor="text1"/>
          <w:sz w:val="32"/>
          <w:szCs w:val="32"/>
          <w:u w:val="none" w:color="auto"/>
          <w14:textFill>
            <w14:solidFill>
              <w14:schemeClr w14:val="tx1"/>
            </w14:solidFill>
          </w14:textFill>
        </w:rPr>
        <w:t>发布川渝行政复议年度典型案例。建立</w:t>
      </w:r>
      <w:r>
        <w:rPr>
          <w:rFonts w:hint="eastAsia" w:ascii="仿宋_GB2312" w:hAnsi="仿宋_GB2312" w:eastAsia="仿宋_GB2312" w:cs="仿宋_GB2312"/>
          <w:b w:val="0"/>
          <w:bCs w:val="0"/>
          <w:i w:val="0"/>
          <w:iCs w:val="0"/>
          <w:color w:val="000000" w:themeColor="text1"/>
          <w:sz w:val="32"/>
          <w:szCs w:val="32"/>
          <w:u w:val="none" w:color="auto"/>
          <w:rtl w:val="0"/>
          <w:lang w:val="en-US" w:eastAsia="zh-CN"/>
          <w14:textFill>
            <w14:solidFill>
              <w14:schemeClr w14:val="tx1"/>
            </w14:solidFill>
          </w14:textFill>
        </w:rPr>
        <w:t>跨区域跨部门涉企纠纷受理平台，</w:t>
      </w:r>
      <w:r>
        <w:rPr>
          <w:rFonts w:hint="eastAsia" w:ascii="仿宋_GB2312" w:hAnsi="仿宋_GB2312" w:eastAsia="仿宋_GB2312" w:cs="仿宋_GB2312"/>
          <w:b w:val="0"/>
          <w:bCs w:val="0"/>
          <w:i w:val="0"/>
          <w:iCs w:val="0"/>
          <w:color w:val="000000" w:themeColor="text1"/>
          <w:sz w:val="32"/>
          <w:szCs w:val="32"/>
          <w:u w:val="none" w:color="auto"/>
          <w:lang w:val="en-US" w:eastAsia="zh-CN"/>
          <w14:textFill>
            <w14:solidFill>
              <w14:schemeClr w14:val="tx1"/>
            </w14:solidFill>
          </w14:textFill>
        </w:rPr>
        <w:t>持续深化</w:t>
      </w:r>
      <w:r>
        <w:rPr>
          <w:rFonts w:hint="eastAsia" w:ascii="仿宋_GB2312" w:hAnsi="仿宋_GB2312" w:eastAsia="仿宋_GB2312" w:cs="仿宋_GB2312"/>
          <w:b w:val="0"/>
          <w:bCs w:val="0"/>
          <w:i w:val="0"/>
          <w:iCs w:val="0"/>
          <w:color w:val="000000" w:themeColor="text1"/>
          <w:sz w:val="32"/>
          <w:szCs w:val="32"/>
          <w:u w:val="none" w:color="auto"/>
          <w14:textFill>
            <w14:solidFill>
              <w14:schemeClr w14:val="tx1"/>
            </w14:solidFill>
          </w14:textFill>
        </w:rPr>
        <w:t>边界</w:t>
      </w:r>
      <w:r>
        <w:rPr>
          <w:rFonts w:hint="eastAsia" w:ascii="仿宋_GB2312" w:hAnsi="仿宋_GB2312" w:eastAsia="仿宋_GB2312" w:cs="仿宋_GB2312"/>
          <w:b w:val="0"/>
          <w:bCs w:val="0"/>
          <w:i w:val="0"/>
          <w:iCs w:val="0"/>
          <w:color w:val="000000" w:themeColor="text1"/>
          <w:sz w:val="32"/>
          <w:szCs w:val="32"/>
          <w:u w:val="none" w:color="auto"/>
          <w:lang w:eastAsia="zh-CN"/>
          <w14:textFill>
            <w14:solidFill>
              <w14:schemeClr w14:val="tx1"/>
            </w14:solidFill>
          </w14:textFill>
        </w:rPr>
        <w:t>联调</w:t>
      </w:r>
      <w:r>
        <w:rPr>
          <w:rFonts w:hint="eastAsia" w:ascii="仿宋_GB2312" w:hAnsi="仿宋_GB2312" w:eastAsia="仿宋_GB2312" w:cs="仿宋_GB2312"/>
          <w:b w:val="0"/>
          <w:bCs w:val="0"/>
          <w:i w:val="0"/>
          <w:iCs w:val="0"/>
          <w:color w:val="000000" w:themeColor="text1"/>
          <w:sz w:val="32"/>
          <w:szCs w:val="32"/>
          <w:u w:val="none" w:color="auto"/>
          <w14:textFill>
            <w14:solidFill>
              <w14:schemeClr w14:val="tx1"/>
            </w14:solidFill>
          </w14:textFill>
        </w:rPr>
        <w:t>、法律援助异地申办</w:t>
      </w:r>
      <w:r>
        <w:rPr>
          <w:rFonts w:hint="eastAsia" w:ascii="仿宋_GB2312" w:hAnsi="仿宋_GB2312" w:eastAsia="仿宋_GB2312" w:cs="仿宋_GB2312"/>
          <w:b w:val="0"/>
          <w:bCs w:val="0"/>
          <w:i w:val="0"/>
          <w:iCs w:val="0"/>
          <w:color w:val="000000" w:themeColor="text1"/>
          <w:sz w:val="32"/>
          <w:szCs w:val="32"/>
          <w:u w:val="none" w:color="auto"/>
          <w:lang w:eastAsia="zh-CN"/>
          <w14:textFill>
            <w14:solidFill>
              <w14:schemeClr w14:val="tx1"/>
            </w14:solidFill>
          </w14:textFill>
        </w:rPr>
        <w:t>、</w:t>
      </w:r>
      <w:r>
        <w:rPr>
          <w:rFonts w:hint="eastAsia" w:ascii="仿宋_GB2312" w:hAnsi="仿宋_GB2312" w:eastAsia="仿宋_GB2312" w:cs="仿宋_GB2312"/>
          <w:b w:val="0"/>
          <w:bCs w:val="0"/>
          <w:i w:val="0"/>
          <w:iCs w:val="0"/>
          <w:color w:val="000000" w:themeColor="text1"/>
          <w:sz w:val="32"/>
          <w:szCs w:val="32"/>
          <w:u w:val="none" w:color="auto"/>
          <w:lang w:val="en-US" w:eastAsia="zh-CN"/>
          <w14:textFill>
            <w14:solidFill>
              <w14:schemeClr w14:val="tx1"/>
            </w14:solidFill>
          </w14:textFill>
        </w:rPr>
        <w:t>行政执法联动响应和协作</w:t>
      </w:r>
      <w:r>
        <w:rPr>
          <w:rFonts w:hint="eastAsia" w:ascii="仿宋_GB2312" w:hAnsi="仿宋_GB2312" w:eastAsia="仿宋_GB2312" w:cs="仿宋_GB2312"/>
          <w:b w:val="0"/>
          <w:bCs w:val="0"/>
          <w:i w:val="0"/>
          <w:iCs w:val="0"/>
          <w:color w:val="000000" w:themeColor="text1"/>
          <w:sz w:val="32"/>
          <w:szCs w:val="32"/>
          <w:u w:val="none" w:color="auto"/>
          <w:lang w:eastAsia="zh-CN"/>
          <w14:textFill>
            <w14:solidFill>
              <w14:schemeClr w14:val="tx1"/>
            </w14:solidFill>
          </w14:textFill>
        </w:rPr>
        <w:t>，新增“</w:t>
      </w:r>
      <w:r>
        <w:rPr>
          <w:rFonts w:hint="eastAsia" w:ascii="仿宋_GB2312" w:hAnsi="仿宋_GB2312" w:eastAsia="仿宋_GB2312" w:cs="仿宋_GB2312"/>
          <w:b w:val="0"/>
          <w:bCs w:val="0"/>
          <w:i w:val="0"/>
          <w:iCs w:val="0"/>
          <w:color w:val="000000" w:themeColor="text1"/>
          <w:sz w:val="32"/>
          <w:szCs w:val="32"/>
          <w:u w:val="none" w:color="auto"/>
          <w14:textFill>
            <w14:solidFill>
              <w14:schemeClr w14:val="tx1"/>
            </w14:solidFill>
          </w14:textFill>
        </w:rPr>
        <w:t>川渝通办</w:t>
      </w:r>
      <w:r>
        <w:rPr>
          <w:rFonts w:hint="eastAsia" w:ascii="仿宋_GB2312" w:hAnsi="仿宋_GB2312" w:eastAsia="仿宋_GB2312" w:cs="仿宋_GB2312"/>
          <w:b w:val="0"/>
          <w:bCs w:val="0"/>
          <w:i w:val="0"/>
          <w:iCs w:val="0"/>
          <w:color w:val="000000" w:themeColor="text1"/>
          <w:sz w:val="32"/>
          <w:szCs w:val="32"/>
          <w:u w:val="none" w:color="auto"/>
          <w:lang w:eastAsia="zh-CN"/>
          <w14:textFill>
            <w14:solidFill>
              <w14:schemeClr w14:val="tx1"/>
            </w14:solidFill>
          </w14:textFill>
        </w:rPr>
        <w:t>”事项</w:t>
      </w:r>
      <w:r>
        <w:rPr>
          <w:rFonts w:hint="eastAsia" w:ascii="仿宋_GB2312" w:hAnsi="仿宋_GB2312" w:eastAsia="仿宋_GB2312" w:cs="仿宋_GB2312"/>
          <w:b w:val="0"/>
          <w:bCs w:val="0"/>
          <w:i w:val="0"/>
          <w:iCs w:val="0"/>
          <w:color w:val="000000" w:themeColor="text1"/>
          <w:sz w:val="32"/>
          <w:szCs w:val="32"/>
          <w:u w:val="none" w:color="auto"/>
          <w:lang w:val="en-US" w:eastAsia="zh-CN"/>
          <w14:textFill>
            <w14:solidFill>
              <w14:schemeClr w14:val="tx1"/>
            </w14:solidFill>
          </w14:textFill>
        </w:rPr>
        <w:t>7项。</w:t>
      </w:r>
    </w:p>
    <w:p>
      <w:pPr>
        <w:keepNext w:val="0"/>
        <w:keepLines w:val="0"/>
        <w:pageBreakBefore w:val="0"/>
        <w:widowControl w:val="0"/>
        <w:numPr>
          <w:ilvl w:val="0"/>
          <w:numId w:val="0"/>
        </w:numPr>
        <w:kinsoku/>
        <w:wordWrap/>
        <w:overflowPunct/>
        <w:topLinePunct w:val="0"/>
        <w:autoSpaceDE/>
        <w:autoSpaceDN/>
        <w:bidi w:val="0"/>
        <w:snapToGrid/>
        <w:spacing w:line="600" w:lineRule="exact"/>
        <w:ind w:firstLine="640" w:firstLineChars="200"/>
        <w:jc w:val="both"/>
        <w:rPr>
          <w:rFonts w:hint="eastAsia" w:ascii="仿宋_GB2312" w:hAnsi="仿宋_GB2312" w:eastAsia="仿宋_GB2312" w:cs="仿宋_GB2312"/>
          <w:b w:val="0"/>
          <w:bCs w:val="0"/>
          <w:i w:val="0"/>
          <w:iCs w:val="0"/>
          <w:color w:val="000000" w:themeColor="text1"/>
          <w:kern w:val="2"/>
          <w:sz w:val="32"/>
          <w:szCs w:val="32"/>
          <w:u w:val="none" w:color="auto"/>
          <w:lang w:val="en-US" w:eastAsia="zh-CN" w:bidi="ar-SA"/>
          <w14:textFill>
            <w14:solidFill>
              <w14:schemeClr w14:val="tx1"/>
            </w14:solidFill>
          </w14:textFill>
        </w:rPr>
      </w:pPr>
      <w:r>
        <w:rPr>
          <w:rFonts w:hint="eastAsia" w:ascii="仿宋_GB2312" w:hAnsi="仿宋_GB2312" w:eastAsia="仿宋_GB2312" w:cs="仿宋_GB2312"/>
          <w:b w:val="0"/>
          <w:bCs w:val="0"/>
          <w:i w:val="0"/>
          <w:iCs w:val="0"/>
          <w:color w:val="000000" w:themeColor="text1"/>
          <w:sz w:val="32"/>
          <w:szCs w:val="32"/>
          <w:u w:val="none" w:color="auto"/>
          <w:lang w:val="en-US" w:eastAsia="zh-CN" w:bidi="ar-SA"/>
          <w14:textFill>
            <w14:solidFill>
              <w14:schemeClr w14:val="tx1"/>
            </w14:solidFill>
          </w14:textFill>
        </w:rPr>
        <w:t>三是创新打造天府中央法务区。</w:t>
      </w:r>
      <w:r>
        <w:rPr>
          <w:rFonts w:hint="eastAsia" w:ascii="仿宋_GB2312" w:hAnsi="仿宋_GB2312" w:eastAsia="仿宋_GB2312" w:cs="仿宋_GB2312"/>
          <w:i w:val="0"/>
          <w:iCs w:val="0"/>
          <w:color w:val="000000" w:themeColor="text1"/>
          <w:sz w:val="32"/>
          <w:szCs w:val="32"/>
          <w:u w:val="none" w:color="auto"/>
          <w:lang w:eastAsia="zh-CN"/>
          <w14:textFill>
            <w14:solidFill>
              <w14:schemeClr w14:val="tx1"/>
            </w14:solidFill>
          </w14:textFill>
        </w:rPr>
        <w:t>按照省委、省政府决策部署，推动建立全国首个省级法律服务集聚区</w:t>
      </w:r>
      <w:r>
        <w:rPr>
          <w:rFonts w:hint="eastAsia" w:ascii="仿宋_GB2312" w:hAnsi="仿宋_GB2312" w:eastAsia="仿宋_GB2312" w:cs="仿宋_GB2312"/>
          <w:i w:val="0"/>
          <w:iCs w:val="0"/>
          <w:color w:val="000000" w:themeColor="text1"/>
          <w:sz w:val="32"/>
          <w:szCs w:val="32"/>
          <w:u w:val="none" w:color="auto"/>
          <w:lang w:val="en-US" w:eastAsia="zh-CN"/>
          <w14:textFill>
            <w14:solidFill>
              <w14:schemeClr w14:val="tx1"/>
            </w14:solidFill>
          </w14:textFill>
        </w:rPr>
        <w:t>“天府中央法务区”，</w:t>
      </w:r>
      <w:r>
        <w:rPr>
          <w:rFonts w:hint="eastAsia" w:ascii="仿宋_GB2312" w:hAnsi="仿宋_GB2312" w:eastAsia="仿宋_GB2312" w:cs="仿宋_GB2312"/>
          <w:i w:val="0"/>
          <w:iCs w:val="0"/>
          <w:color w:val="000000" w:themeColor="text1"/>
          <w:sz w:val="32"/>
          <w:szCs w:val="32"/>
          <w:u w:val="none" w:color="auto"/>
          <w14:textFill>
            <w14:solidFill>
              <w14:schemeClr w14:val="tx1"/>
            </w14:solidFill>
          </w14:textFill>
        </w:rPr>
        <w:t>成功争取司法部项目</w:t>
      </w:r>
      <w:r>
        <w:rPr>
          <w:rFonts w:hint="eastAsia" w:ascii="仿宋_GB2312" w:hAnsi="仿宋_GB2312" w:eastAsia="仿宋_GB2312" w:cs="仿宋_GB2312"/>
          <w:i w:val="0"/>
          <w:iCs w:val="0"/>
          <w:color w:val="000000" w:themeColor="text1"/>
          <w:sz w:val="32"/>
          <w:szCs w:val="32"/>
          <w:u w:val="none" w:color="auto"/>
          <w:lang w:eastAsia="zh-CN"/>
          <w14:textFill>
            <w14:solidFill>
              <w14:schemeClr w14:val="tx1"/>
            </w14:solidFill>
          </w14:textFill>
        </w:rPr>
        <w:t>（</w:t>
      </w:r>
      <w:r>
        <w:rPr>
          <w:rFonts w:hint="eastAsia" w:ascii="仿宋_GB2312" w:hAnsi="仿宋_GB2312" w:eastAsia="仿宋_GB2312" w:cs="仿宋_GB2312"/>
          <w:i w:val="0"/>
          <w:iCs w:val="0"/>
          <w:color w:val="000000" w:themeColor="text1"/>
          <w:sz w:val="32"/>
          <w:szCs w:val="32"/>
          <w:u w:val="none" w:color="auto"/>
          <w14:textFill>
            <w14:solidFill>
              <w14:schemeClr w14:val="tx1"/>
            </w14:solidFill>
          </w14:textFill>
        </w:rPr>
        <w:t>政策</w:t>
      </w:r>
      <w:r>
        <w:rPr>
          <w:rFonts w:hint="eastAsia" w:ascii="仿宋_GB2312" w:hAnsi="仿宋_GB2312" w:eastAsia="仿宋_GB2312" w:cs="仿宋_GB2312"/>
          <w:i w:val="0"/>
          <w:iCs w:val="0"/>
          <w:color w:val="000000" w:themeColor="text1"/>
          <w:sz w:val="32"/>
          <w:szCs w:val="32"/>
          <w:u w:val="none" w:color="auto"/>
          <w:lang w:eastAsia="zh-CN"/>
          <w14:textFill>
            <w14:solidFill>
              <w14:schemeClr w14:val="tx1"/>
            </w14:solidFill>
          </w14:textFill>
        </w:rPr>
        <w:t>）</w:t>
      </w:r>
      <w:r>
        <w:rPr>
          <w:rFonts w:hint="eastAsia" w:ascii="仿宋_GB2312" w:hAnsi="仿宋_GB2312" w:eastAsia="仿宋_GB2312" w:cs="仿宋_GB2312"/>
          <w:i w:val="0"/>
          <w:iCs w:val="0"/>
          <w:color w:val="000000" w:themeColor="text1"/>
          <w:sz w:val="32"/>
          <w:szCs w:val="32"/>
          <w:u w:val="none" w:color="auto"/>
          <w14:textFill>
            <w14:solidFill>
              <w14:schemeClr w14:val="tx1"/>
            </w14:solidFill>
          </w14:textFill>
        </w:rPr>
        <w:t>支持17</w:t>
      </w:r>
      <w:r>
        <w:rPr>
          <w:rFonts w:hint="eastAsia" w:ascii="仿宋_GB2312" w:hAnsi="仿宋_GB2312" w:eastAsia="仿宋_GB2312" w:cs="仿宋_GB2312"/>
          <w:i w:val="0"/>
          <w:iCs w:val="0"/>
          <w:color w:val="000000" w:themeColor="text1"/>
          <w:sz w:val="32"/>
          <w:szCs w:val="32"/>
          <w:u w:val="none" w:color="auto"/>
          <w:lang w:eastAsia="zh-CN"/>
          <w14:textFill>
            <w14:solidFill>
              <w14:schemeClr w14:val="tx1"/>
            </w14:solidFill>
          </w14:textFill>
        </w:rPr>
        <w:t>项</w:t>
      </w:r>
      <w:r>
        <w:rPr>
          <w:rFonts w:hint="eastAsia" w:ascii="仿宋_GB2312" w:hAnsi="仿宋_GB2312" w:eastAsia="仿宋_GB2312" w:cs="仿宋_GB2312"/>
          <w:i w:val="0"/>
          <w:iCs w:val="0"/>
          <w:color w:val="000000" w:themeColor="text1"/>
          <w:sz w:val="32"/>
          <w:szCs w:val="32"/>
          <w:u w:val="none" w:color="auto"/>
          <w14:textFill>
            <w14:solidFill>
              <w14:schemeClr w14:val="tx1"/>
            </w14:solidFill>
          </w14:textFill>
        </w:rPr>
        <w:t>，引进高能级法律服务项目23个</w:t>
      </w:r>
      <w:r>
        <w:rPr>
          <w:rFonts w:hint="eastAsia" w:ascii="仿宋_GB2312" w:hAnsi="仿宋_GB2312" w:eastAsia="仿宋_GB2312" w:cs="仿宋_GB2312"/>
          <w:i w:val="0"/>
          <w:iCs w:val="0"/>
          <w:color w:val="000000" w:themeColor="text1"/>
          <w:sz w:val="32"/>
          <w:szCs w:val="32"/>
          <w:u w:val="none" w:color="auto"/>
          <w:lang w:eastAsia="zh-CN"/>
          <w14:textFill>
            <w14:solidFill>
              <w14:schemeClr w14:val="tx1"/>
            </w14:solidFill>
          </w14:textFill>
        </w:rPr>
        <w:t>，</w:t>
      </w:r>
      <w:r>
        <w:rPr>
          <w:rFonts w:hint="eastAsia" w:ascii="仿宋_GB2312" w:hAnsi="仿宋_GB2312" w:eastAsia="仿宋_GB2312" w:cs="仿宋_GB2312"/>
          <w:i w:val="0"/>
          <w:iCs w:val="0"/>
          <w:color w:val="000000" w:themeColor="text1"/>
          <w:sz w:val="32"/>
          <w:szCs w:val="32"/>
          <w:u w:val="none" w:color="auto"/>
          <w:lang w:val="en-US" w:eastAsia="zh-CN"/>
          <w14:textFill>
            <w14:solidFill>
              <w14:schemeClr w14:val="tx1"/>
            </w14:solidFill>
          </w14:textFill>
        </w:rPr>
        <w:t>创建“天府法务网”，</w:t>
      </w:r>
      <w:r>
        <w:rPr>
          <w:rFonts w:hint="eastAsia" w:ascii="仿宋_GB2312" w:hAnsi="仿宋_GB2312" w:eastAsia="仿宋_GB2312" w:cs="仿宋_GB2312"/>
          <w:b w:val="0"/>
          <w:bCs w:val="0"/>
          <w:i w:val="0"/>
          <w:iCs w:val="0"/>
          <w:color w:val="000000" w:themeColor="text1"/>
          <w:kern w:val="2"/>
          <w:sz w:val="32"/>
          <w:szCs w:val="32"/>
          <w:u w:val="none" w:color="auto"/>
          <w:lang w:val="en-US" w:eastAsia="zh-CN" w:bidi="ar-SA"/>
          <w14:textFill>
            <w14:solidFill>
              <w14:schemeClr w14:val="tx1"/>
            </w14:solidFill>
          </w14:textFill>
        </w:rPr>
        <w:t>法律服务聚集效应初步显现，专报被中办采用，入选中央改革办“中央改革2021年度典型案例”。</w:t>
      </w:r>
    </w:p>
    <w:p>
      <w:pPr>
        <w:keepNext w:val="0"/>
        <w:keepLines w:val="0"/>
        <w:pageBreakBefore w:val="0"/>
        <w:widowControl w:val="0"/>
        <w:numPr>
          <w:ilvl w:val="0"/>
          <w:numId w:val="0"/>
        </w:numPr>
        <w:kinsoku/>
        <w:wordWrap/>
        <w:overflowPunct/>
        <w:topLinePunct w:val="0"/>
        <w:autoSpaceDE/>
        <w:autoSpaceDN/>
        <w:bidi w:val="0"/>
        <w:snapToGrid/>
        <w:spacing w:line="600" w:lineRule="exact"/>
        <w:ind w:firstLine="640" w:firstLineChars="200"/>
        <w:jc w:val="both"/>
        <w:rPr>
          <w:rFonts w:hint="eastAsia" w:ascii="仿宋_GB2312" w:hAnsi="仿宋_GB2312" w:eastAsia="仿宋_GB2312" w:cs="仿宋_GB2312"/>
          <w:i w:val="0"/>
          <w:iCs w:val="0"/>
          <w:color w:val="000000" w:themeColor="text1"/>
          <w:sz w:val="32"/>
          <w:szCs w:val="32"/>
          <w:u w:val="none" w:color="auto"/>
          <w:lang w:val="en-US" w:eastAsia="zh-CN"/>
          <w14:textFill>
            <w14:solidFill>
              <w14:schemeClr w14:val="tx1"/>
            </w14:solidFill>
          </w14:textFill>
        </w:rPr>
      </w:pPr>
      <w:r>
        <w:rPr>
          <w:rFonts w:hint="eastAsia" w:ascii="仿宋_GB2312" w:hAnsi="仿宋_GB2312" w:eastAsia="仿宋_GB2312" w:cs="仿宋_GB2312"/>
          <w:b w:val="0"/>
          <w:bCs w:val="0"/>
          <w:i w:val="0"/>
          <w:iCs w:val="0"/>
          <w:color w:val="000000" w:themeColor="text1"/>
          <w:sz w:val="32"/>
          <w:szCs w:val="32"/>
          <w:u w:val="none" w:color="auto"/>
          <w:lang w:val="en-US" w:eastAsia="zh-CN" w:bidi="ar-SA"/>
          <w14:textFill>
            <w14:solidFill>
              <w14:schemeClr w14:val="tx1"/>
            </w14:solidFill>
          </w14:textFill>
        </w:rPr>
        <w:t>四是持续优化法治化营商环境。</w:t>
      </w:r>
      <w:r>
        <w:rPr>
          <w:rFonts w:hint="eastAsia" w:ascii="仿宋_GB2312" w:hAnsi="仿宋_GB2312" w:eastAsia="仿宋_GB2312" w:cs="仿宋_GB2312"/>
          <w:i w:val="0"/>
          <w:iCs w:val="0"/>
          <w:color w:val="000000" w:themeColor="text1"/>
          <w:sz w:val="32"/>
          <w:szCs w:val="32"/>
          <w:u w:val="none" w:color="auto"/>
          <w:lang w:val="en-US" w:eastAsia="zh-CN"/>
          <w14:textFill>
            <w14:solidFill>
              <w14:schemeClr w14:val="tx1"/>
            </w14:solidFill>
          </w14:textFill>
        </w:rPr>
        <w:t>修订《四川省外来企业投诉处理规定》，及时调处企业投诉，为企业减少、挽回经济损失1.6亿元。举办国际商事法律实务高峰论坛、川渝涉外法律服务合作论坛，启动国内律师事务所聘请外籍律师担任外国法律顾问试点。</w:t>
      </w:r>
    </w:p>
    <w:p>
      <w:pPr>
        <w:keepNext w:val="0"/>
        <w:keepLines w:val="0"/>
        <w:pageBreakBefore w:val="0"/>
        <w:widowControl w:val="0"/>
        <w:numPr>
          <w:ilvl w:val="0"/>
          <w:numId w:val="0"/>
        </w:numPr>
        <w:kinsoku/>
        <w:wordWrap/>
        <w:overflowPunct/>
        <w:topLinePunct w:val="0"/>
        <w:autoSpaceDE/>
        <w:autoSpaceDN/>
        <w:bidi w:val="0"/>
        <w:snapToGrid/>
        <w:spacing w:line="600" w:lineRule="exact"/>
        <w:ind w:firstLine="640" w:firstLineChars="200"/>
        <w:jc w:val="both"/>
        <w:rPr>
          <w:rFonts w:hint="eastAsia" w:ascii="仿宋_GB2312" w:hAnsi="仿宋_GB2312" w:eastAsia="仿宋_GB2312" w:cs="仿宋_GB2312"/>
          <w:i w:val="0"/>
          <w:iCs w:val="0"/>
          <w:color w:val="000000" w:themeColor="text1"/>
          <w:sz w:val="32"/>
          <w:szCs w:val="32"/>
          <w:u w:val="none" w:color="auto"/>
          <w:lang w:eastAsia="zh"/>
          <w14:textFill>
            <w14:solidFill>
              <w14:schemeClr w14:val="tx1"/>
            </w14:solidFill>
          </w14:textFill>
        </w:rPr>
      </w:pPr>
      <w:r>
        <w:rPr>
          <w:rFonts w:hint="eastAsia" w:ascii="仿宋_GB2312" w:hAnsi="仿宋_GB2312" w:eastAsia="仿宋_GB2312" w:cs="仿宋_GB2312"/>
          <w:b w:val="0"/>
          <w:bCs w:val="0"/>
          <w:i w:val="0"/>
          <w:iCs w:val="0"/>
          <w:color w:val="000000" w:themeColor="text1"/>
          <w:sz w:val="32"/>
          <w:szCs w:val="32"/>
          <w:u w:val="none" w:color="auto"/>
          <w:lang w:val="zh-CN" w:eastAsia="zh-CN" w:bidi="ar-SA"/>
          <w14:textFill>
            <w14:solidFill>
              <w14:schemeClr w14:val="tx1"/>
            </w14:solidFill>
          </w14:textFill>
        </w:rPr>
        <w:t>五是积极助力乡村振兴。</w:t>
      </w:r>
      <w:r>
        <w:rPr>
          <w:rFonts w:hint="eastAsia" w:ascii="仿宋_GB2312" w:hAnsi="仿宋_GB2312" w:eastAsia="仿宋_GB2312" w:cs="仿宋_GB2312"/>
          <w:i w:val="0"/>
          <w:iCs w:val="0"/>
          <w:color w:val="000000" w:themeColor="text1"/>
          <w:sz w:val="32"/>
          <w:szCs w:val="32"/>
          <w:u w:val="none" w:color="auto"/>
          <w14:textFill>
            <w14:solidFill>
              <w14:schemeClr w14:val="tx1"/>
            </w14:solidFill>
          </w14:textFill>
        </w:rPr>
        <w:t>开展“乡村振兴 法治同行”专项行动，试点司法所参与乡镇重大行政决策、开展规范性文件合法性审查、监督协调乡镇行政执法工作</w:t>
      </w:r>
      <w:r>
        <w:rPr>
          <w:rFonts w:hint="eastAsia" w:ascii="仿宋_GB2312" w:hAnsi="仿宋_GB2312" w:eastAsia="仿宋_GB2312" w:cs="仿宋_GB2312"/>
          <w:i w:val="0"/>
          <w:iCs w:val="0"/>
          <w:color w:val="000000" w:themeColor="text1"/>
          <w:sz w:val="32"/>
          <w:szCs w:val="32"/>
          <w:u w:val="none" w:color="auto"/>
          <w:lang w:eastAsia="zh-CN"/>
          <w14:textFill>
            <w14:solidFill>
              <w14:schemeClr w14:val="tx1"/>
            </w14:solidFill>
          </w14:textFill>
        </w:rPr>
        <w:t>，</w:t>
      </w:r>
      <w:r>
        <w:rPr>
          <w:rFonts w:hint="eastAsia" w:ascii="仿宋_GB2312" w:hAnsi="仿宋_GB2312" w:eastAsia="仿宋_GB2312" w:cs="仿宋_GB2312"/>
          <w:i w:val="0"/>
          <w:iCs w:val="0"/>
          <w:color w:val="000000" w:themeColor="text1"/>
          <w:sz w:val="32"/>
          <w:szCs w:val="32"/>
          <w:u w:val="none" w:color="auto"/>
          <w14:textFill>
            <w14:solidFill>
              <w14:schemeClr w14:val="tx1"/>
            </w14:solidFill>
          </w14:textFill>
        </w:rPr>
        <w:t>打造省级“枫桥式司法所”</w:t>
      </w:r>
      <w:r>
        <w:rPr>
          <w:rFonts w:hint="eastAsia" w:ascii="仿宋_GB2312" w:hAnsi="仿宋_GB2312" w:eastAsia="仿宋_GB2312" w:cs="仿宋_GB2312"/>
          <w:i w:val="0"/>
          <w:iCs w:val="0"/>
          <w:color w:val="000000" w:themeColor="text1"/>
          <w:sz w:val="32"/>
          <w:szCs w:val="32"/>
          <w:u w:val="none" w:color="auto"/>
          <w:lang w:val="en-US" w:eastAsia="zh-CN"/>
          <w14:textFill>
            <w14:solidFill>
              <w14:schemeClr w14:val="tx1"/>
            </w14:solidFill>
          </w14:textFill>
        </w:rPr>
        <w:t>80</w:t>
      </w:r>
      <w:r>
        <w:rPr>
          <w:rFonts w:hint="eastAsia" w:ascii="仿宋_GB2312" w:hAnsi="仿宋_GB2312" w:eastAsia="仿宋_GB2312" w:cs="仿宋_GB2312"/>
          <w:i w:val="0"/>
          <w:iCs w:val="0"/>
          <w:color w:val="000000" w:themeColor="text1"/>
          <w:sz w:val="32"/>
          <w:szCs w:val="32"/>
          <w:u w:val="none" w:color="auto"/>
          <w:lang w:eastAsia="zh"/>
          <w14:textFill>
            <w14:solidFill>
              <w14:schemeClr w14:val="tx1"/>
            </w14:solidFill>
          </w14:textFill>
        </w:rPr>
        <w:t>个</w:t>
      </w:r>
      <w:r>
        <w:rPr>
          <w:rFonts w:hint="eastAsia" w:ascii="仿宋_GB2312" w:hAnsi="仿宋_GB2312" w:eastAsia="仿宋_GB2312" w:cs="仿宋_GB2312"/>
          <w:i w:val="0"/>
          <w:iCs w:val="0"/>
          <w:color w:val="000000" w:themeColor="text1"/>
          <w:sz w:val="32"/>
          <w:szCs w:val="32"/>
          <w:u w:val="none" w:color="auto"/>
          <w:lang w:eastAsia="zh-CN"/>
          <w14:textFill>
            <w14:solidFill>
              <w14:schemeClr w14:val="tx1"/>
            </w14:solidFill>
          </w14:textFill>
        </w:rPr>
        <w:t>，</w:t>
      </w:r>
      <w:r>
        <w:rPr>
          <w:rFonts w:hint="eastAsia" w:ascii="仿宋_GB2312" w:hAnsi="仿宋_GB2312" w:eastAsia="仿宋_GB2312" w:cs="仿宋_GB2312"/>
          <w:i w:val="0"/>
          <w:iCs w:val="0"/>
          <w:color w:val="000000" w:themeColor="text1"/>
          <w:sz w:val="32"/>
          <w:szCs w:val="32"/>
          <w:u w:val="none" w:color="auto"/>
          <w14:textFill>
            <w14:solidFill>
              <w14:schemeClr w14:val="tx1"/>
            </w14:solidFill>
          </w14:textFill>
        </w:rPr>
        <w:t>49个司法所被</w:t>
      </w:r>
      <w:r>
        <w:rPr>
          <w:rFonts w:hint="eastAsia" w:ascii="仿宋_GB2312" w:hAnsi="仿宋_GB2312" w:eastAsia="仿宋_GB2312" w:cs="仿宋_GB2312"/>
          <w:i w:val="0"/>
          <w:iCs w:val="0"/>
          <w:color w:val="000000" w:themeColor="text1"/>
          <w:sz w:val="32"/>
          <w:szCs w:val="32"/>
          <w:u w:val="none" w:color="auto"/>
          <w:lang w:eastAsia="zh-CN"/>
          <w14:textFill>
            <w14:solidFill>
              <w14:schemeClr w14:val="tx1"/>
            </w14:solidFill>
          </w14:textFill>
        </w:rPr>
        <w:t>评为</w:t>
      </w:r>
      <w:r>
        <w:rPr>
          <w:rFonts w:hint="eastAsia" w:ascii="仿宋_GB2312" w:hAnsi="仿宋_GB2312" w:eastAsia="仿宋_GB2312" w:cs="仿宋_GB2312"/>
          <w:i w:val="0"/>
          <w:iCs w:val="0"/>
          <w:color w:val="000000" w:themeColor="text1"/>
          <w:sz w:val="32"/>
          <w:szCs w:val="32"/>
          <w:u w:val="none" w:color="auto"/>
          <w14:textFill>
            <w14:solidFill>
              <w14:schemeClr w14:val="tx1"/>
            </w14:solidFill>
          </w14:textFill>
        </w:rPr>
        <w:t>“</w:t>
      </w:r>
      <w:r>
        <w:rPr>
          <w:rFonts w:hint="eastAsia" w:ascii="仿宋_GB2312" w:hAnsi="仿宋_GB2312" w:eastAsia="仿宋_GB2312" w:cs="仿宋_GB2312"/>
          <w:i w:val="0"/>
          <w:iCs w:val="0"/>
          <w:color w:val="000000" w:themeColor="text1"/>
          <w:sz w:val="32"/>
          <w:szCs w:val="32"/>
          <w:u w:val="none" w:color="auto"/>
          <w:lang w:eastAsia="zh"/>
          <w14:textFill>
            <w14:solidFill>
              <w14:schemeClr w14:val="tx1"/>
            </w14:solidFill>
          </w14:textFill>
        </w:rPr>
        <w:t>全国模范司法所</w:t>
      </w:r>
      <w:r>
        <w:rPr>
          <w:rFonts w:hint="eastAsia" w:ascii="仿宋_GB2312" w:hAnsi="仿宋_GB2312" w:eastAsia="仿宋_GB2312" w:cs="仿宋_GB2312"/>
          <w:i w:val="0"/>
          <w:iCs w:val="0"/>
          <w:color w:val="000000" w:themeColor="text1"/>
          <w:sz w:val="32"/>
          <w:szCs w:val="32"/>
          <w:u w:val="none" w:color="auto"/>
          <w14:textFill>
            <w14:solidFill>
              <w14:schemeClr w14:val="tx1"/>
            </w14:solidFill>
          </w14:textFill>
        </w:rPr>
        <w:t>”</w:t>
      </w:r>
      <w:r>
        <w:rPr>
          <w:rFonts w:hint="eastAsia" w:ascii="仿宋_GB2312" w:hAnsi="仿宋_GB2312" w:eastAsia="仿宋_GB2312" w:cs="仿宋_GB2312"/>
          <w:i w:val="0"/>
          <w:iCs w:val="0"/>
          <w:color w:val="000000" w:themeColor="text1"/>
          <w:sz w:val="32"/>
          <w:szCs w:val="32"/>
          <w:u w:val="none" w:color="auto"/>
          <w:lang w:eastAsia="zh"/>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i w:val="0"/>
          <w:iCs w:val="0"/>
          <w:color w:val="000000" w:themeColor="text1"/>
          <w:spacing w:val="0"/>
          <w:kern w:val="2"/>
          <w:sz w:val="32"/>
          <w:szCs w:val="32"/>
          <w:u w:val="none" w:color="auto"/>
          <w:lang w:val="en-US" w:eastAsia="zh-CN" w:bidi="ar-SA"/>
          <w14:textFill>
            <w14:solidFill>
              <w14:schemeClr w14:val="tx1"/>
            </w14:solidFill>
          </w14:textFill>
        </w:rPr>
      </w:pPr>
      <w:r>
        <w:rPr>
          <w:rFonts w:hint="eastAsia" w:ascii="仿宋_GB2312" w:hAnsi="仿宋_GB2312" w:eastAsia="仿宋_GB2312" w:cs="仿宋_GB2312"/>
          <w:b w:val="0"/>
          <w:bCs w:val="0"/>
          <w:i w:val="0"/>
          <w:iCs w:val="0"/>
          <w:color w:val="000000" w:themeColor="text1"/>
          <w:kern w:val="2"/>
          <w:sz w:val="32"/>
          <w:szCs w:val="32"/>
          <w:u w:val="none" w:color="auto"/>
          <w:lang w:val="en-US" w:eastAsia="zh-CN"/>
          <w14:textFill>
            <w14:solidFill>
              <w14:schemeClr w14:val="tx1"/>
            </w14:solidFill>
          </w14:textFill>
        </w:rPr>
        <w:t>3.</w:t>
      </w:r>
      <w:r>
        <w:rPr>
          <w:rFonts w:hint="eastAsia" w:ascii="仿宋_GB2312" w:hAnsi="仿宋_GB2312" w:eastAsia="仿宋_GB2312" w:cs="仿宋_GB2312"/>
          <w:b w:val="0"/>
          <w:bCs w:val="0"/>
          <w:i w:val="0"/>
          <w:iCs w:val="0"/>
          <w:color w:val="000000" w:themeColor="text1"/>
          <w:spacing w:val="0"/>
          <w:kern w:val="2"/>
          <w:sz w:val="32"/>
          <w:szCs w:val="32"/>
          <w:u w:val="none" w:color="auto"/>
          <w:lang w:val="en-US" w:eastAsia="zh-CN" w:bidi="ar-SA"/>
          <w14:textFill>
            <w14:solidFill>
              <w14:schemeClr w14:val="tx1"/>
            </w14:solidFill>
          </w14:textFill>
        </w:rPr>
        <w:t>深入推进法治政府建设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olor w:val="000000" w:themeColor="text1"/>
          <w:sz w:val="32"/>
          <w:szCs w:val="32"/>
          <w:u w:val="none" w:color="auto"/>
          <w14:textFill>
            <w14:solidFill>
              <w14:schemeClr w14:val="tx1"/>
            </w14:solidFill>
          </w14:textFill>
        </w:rPr>
      </w:pPr>
      <w:r>
        <w:rPr>
          <w:rFonts w:hint="eastAsia" w:ascii="仿宋_GB2312" w:hAnsi="仿宋_GB2312" w:eastAsia="仿宋_GB2312" w:cs="仿宋_GB2312"/>
          <w:b w:val="0"/>
          <w:bCs w:val="0"/>
          <w:i w:val="0"/>
          <w:iCs w:val="0"/>
          <w:color w:val="000000" w:themeColor="text1"/>
          <w:sz w:val="32"/>
          <w:szCs w:val="32"/>
          <w:u w:val="none" w:color="auto"/>
          <w:lang w:eastAsia="zh-CN" w:bidi="ar-SA"/>
          <w14:textFill>
            <w14:solidFill>
              <w14:schemeClr w14:val="tx1"/>
            </w14:solidFill>
          </w14:textFill>
        </w:rPr>
        <w:t>一是加强法治政府建设工作统筹。</w:t>
      </w:r>
      <w:r>
        <w:rPr>
          <w:rFonts w:hint="eastAsia" w:ascii="仿宋_GB2312" w:hAnsi="仿宋_GB2312" w:eastAsia="仿宋_GB2312" w:cs="仿宋_GB2312"/>
          <w:i w:val="0"/>
          <w:iCs w:val="0"/>
          <w:color w:val="000000" w:themeColor="text1"/>
          <w:sz w:val="32"/>
          <w:szCs w:val="32"/>
          <w:u w:val="none" w:color="auto"/>
          <w:lang w:eastAsia="zh-CN"/>
          <w14:textFill>
            <w14:solidFill>
              <w14:schemeClr w14:val="tx1"/>
            </w14:solidFill>
          </w14:textFill>
        </w:rPr>
        <w:t>组织开展法治政府建设评估，</w:t>
      </w:r>
      <w:r>
        <w:rPr>
          <w:rFonts w:hint="eastAsia" w:ascii="仿宋_GB2312" w:hAnsi="仿宋_GB2312" w:eastAsia="仿宋_GB2312" w:cs="仿宋_GB2312"/>
          <w:i w:val="0"/>
          <w:iCs w:val="0"/>
          <w:color w:val="000000" w:themeColor="text1"/>
          <w:sz w:val="32"/>
          <w:szCs w:val="32"/>
          <w:u w:val="none" w:color="auto"/>
          <w:shd w:val="clear" w:color="auto" w:fill="auto"/>
          <w:lang w:val="en-US" w:eastAsia="zh-CN"/>
          <w14:textFill>
            <w14:solidFill>
              <w14:schemeClr w14:val="tx1"/>
            </w14:solidFill>
          </w14:textFill>
        </w:rPr>
        <w:t>编制新一轮法治政府建设实施方案，出台方案推动党政主要负责人履行推进法治建设第一责任人职责情况列入年终述职内容，</w:t>
      </w:r>
      <w:r>
        <w:rPr>
          <w:rFonts w:hint="eastAsia" w:ascii="仿宋_GB2312" w:hAnsi="仿宋_GB2312" w:eastAsia="仿宋_GB2312" w:cs="仿宋_GB2312"/>
          <w:i w:val="0"/>
          <w:iCs w:val="0"/>
          <w:color w:val="000000" w:themeColor="text1"/>
          <w:sz w:val="32"/>
          <w:szCs w:val="32"/>
          <w:u w:val="none" w:color="auto"/>
          <w:lang w:eastAsia="zh-CN"/>
          <w14:textFill>
            <w14:solidFill>
              <w14:schemeClr w14:val="tx1"/>
            </w14:solidFill>
          </w14:textFill>
        </w:rPr>
        <w:t>积极参评</w:t>
      </w:r>
      <w:r>
        <w:rPr>
          <w:rFonts w:hint="eastAsia" w:ascii="仿宋_GB2312" w:hAnsi="仿宋_GB2312" w:eastAsia="仿宋_GB2312" w:cs="仿宋_GB2312"/>
          <w:i w:val="0"/>
          <w:iCs w:val="0"/>
          <w:color w:val="000000" w:themeColor="text1"/>
          <w:sz w:val="32"/>
          <w:szCs w:val="32"/>
          <w:u w:val="none" w:color="auto"/>
          <w14:textFill>
            <w14:solidFill>
              <w14:schemeClr w14:val="tx1"/>
            </w14:solidFill>
          </w14:textFill>
        </w:rPr>
        <w:t>第二批全国法治政府示范创建。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olor w:val="000000" w:themeColor="text1"/>
          <w:sz w:val="32"/>
          <w:szCs w:val="32"/>
          <w:u w:val="none" w:color="auto"/>
          <w:shd w:val="clear" w:color="auto" w:fill="auto"/>
          <w:lang w:eastAsia="zh-CN"/>
          <w14:textFill>
            <w14:solidFill>
              <w14:schemeClr w14:val="tx1"/>
            </w14:solidFill>
          </w14:textFill>
        </w:rPr>
      </w:pPr>
      <w:r>
        <w:rPr>
          <w:rFonts w:hint="eastAsia" w:ascii="仿宋_GB2312" w:hAnsi="仿宋_GB2312" w:eastAsia="仿宋_GB2312" w:cs="仿宋_GB2312"/>
          <w:b w:val="0"/>
          <w:bCs w:val="0"/>
          <w:i w:val="0"/>
          <w:iCs w:val="0"/>
          <w:color w:val="000000" w:themeColor="text1"/>
          <w:sz w:val="32"/>
          <w:szCs w:val="32"/>
          <w:u w:val="none" w:color="auto"/>
          <w:lang w:eastAsia="zh-CN" w:bidi="ar-SA"/>
          <w14:textFill>
            <w14:solidFill>
              <w14:schemeClr w14:val="tx1"/>
            </w14:solidFill>
          </w14:textFill>
        </w:rPr>
        <w:t>二是提升行政立法质量。</w:t>
      </w:r>
      <w:r>
        <w:rPr>
          <w:rFonts w:hint="eastAsia" w:ascii="仿宋_GB2312" w:hAnsi="仿宋_GB2312" w:eastAsia="仿宋_GB2312" w:cs="仿宋_GB2312"/>
          <w:i w:val="0"/>
          <w:iCs w:val="0"/>
          <w:color w:val="000000" w:themeColor="text1"/>
          <w:sz w:val="32"/>
          <w:szCs w:val="32"/>
          <w:u w:val="none" w:color="auto"/>
          <w14:textFill>
            <w14:solidFill>
              <w14:schemeClr w14:val="tx1"/>
            </w14:solidFill>
          </w14:textFill>
        </w:rPr>
        <w:t>健全区域协同立法工作机制，完善基层立法联系点制度</w:t>
      </w:r>
      <w:r>
        <w:rPr>
          <w:rFonts w:hint="eastAsia" w:ascii="仿宋_GB2312" w:hAnsi="仿宋_GB2312" w:eastAsia="仿宋_GB2312" w:cs="仿宋_GB2312"/>
          <w:i w:val="0"/>
          <w:iCs w:val="0"/>
          <w:color w:val="000000" w:themeColor="text1"/>
          <w:sz w:val="32"/>
          <w:szCs w:val="32"/>
          <w:u w:val="none" w:color="auto"/>
          <w:lang w:eastAsia="zh-CN"/>
          <w14:textFill>
            <w14:solidFill>
              <w14:schemeClr w14:val="tx1"/>
            </w14:solidFill>
          </w14:textFill>
        </w:rPr>
        <w:t>和</w:t>
      </w:r>
      <w:r>
        <w:rPr>
          <w:rFonts w:hint="eastAsia" w:ascii="仿宋_GB2312" w:hAnsi="仿宋_GB2312" w:eastAsia="仿宋_GB2312" w:cs="仿宋_GB2312"/>
          <w:i w:val="0"/>
          <w:iCs w:val="0"/>
          <w:color w:val="000000" w:themeColor="text1"/>
          <w:sz w:val="32"/>
          <w:szCs w:val="32"/>
          <w:u w:val="none" w:color="auto"/>
          <w14:textFill>
            <w14:solidFill>
              <w14:schemeClr w14:val="tx1"/>
            </w14:solidFill>
          </w14:textFill>
        </w:rPr>
        <w:t>专家参与立法制度</w:t>
      </w:r>
      <w:r>
        <w:rPr>
          <w:rFonts w:hint="eastAsia" w:ascii="仿宋_GB2312" w:hAnsi="仿宋_GB2312" w:eastAsia="仿宋_GB2312" w:cs="仿宋_GB2312"/>
          <w:i w:val="0"/>
          <w:iCs w:val="0"/>
          <w:color w:val="000000" w:themeColor="text1"/>
          <w:sz w:val="32"/>
          <w:szCs w:val="32"/>
          <w:u w:val="none" w:color="auto"/>
          <w:lang w:eastAsia="zh-CN"/>
          <w14:textFill>
            <w14:solidFill>
              <w14:schemeClr w14:val="tx1"/>
            </w14:solidFill>
          </w14:textFill>
        </w:rPr>
        <w:t>，</w:t>
      </w:r>
      <w:r>
        <w:rPr>
          <w:rFonts w:hint="eastAsia" w:ascii="仿宋_GB2312" w:hAnsi="仿宋_GB2312" w:eastAsia="仿宋_GB2312" w:cs="仿宋_GB2312"/>
          <w:i w:val="0"/>
          <w:iCs w:val="0"/>
          <w:color w:val="000000" w:themeColor="text1"/>
          <w:sz w:val="32"/>
          <w:szCs w:val="32"/>
          <w:u w:val="none" w:color="auto"/>
          <w:shd w:val="clear" w:color="auto" w:fill="auto"/>
          <w:lang w:eastAsia="zh-CN"/>
          <w14:textFill>
            <w14:solidFill>
              <w14:schemeClr w14:val="tx1"/>
            </w14:solidFill>
          </w14:textFill>
        </w:rPr>
        <w:t>推动出台首个</w:t>
      </w:r>
      <w:r>
        <w:rPr>
          <w:rFonts w:hint="eastAsia" w:ascii="仿宋_GB2312" w:hAnsi="仿宋_GB2312" w:eastAsia="仿宋_GB2312" w:cs="仿宋_GB2312"/>
          <w:i w:val="0"/>
          <w:iCs w:val="0"/>
          <w:color w:val="000000" w:themeColor="text1"/>
          <w:sz w:val="32"/>
          <w:szCs w:val="32"/>
          <w:u w:val="none" w:color="auto"/>
          <w:shd w:val="clear" w:color="auto" w:fill="auto"/>
          <w14:textFill>
            <w14:solidFill>
              <w14:schemeClr w14:val="tx1"/>
            </w14:solidFill>
          </w14:textFill>
        </w:rPr>
        <w:t>川渝协同立法项目《四川省优化营商环境条例》</w:t>
      </w:r>
      <w:r>
        <w:rPr>
          <w:rFonts w:hint="eastAsia" w:ascii="仿宋_GB2312" w:hAnsi="仿宋_GB2312" w:eastAsia="仿宋_GB2312" w:cs="仿宋_GB2312"/>
          <w:i w:val="0"/>
          <w:iCs w:val="0"/>
          <w:color w:val="000000" w:themeColor="text1"/>
          <w:sz w:val="32"/>
          <w:szCs w:val="32"/>
          <w:u w:val="none" w:color="auto"/>
          <w:shd w:val="clear" w:color="auto" w:fill="auto"/>
          <w:lang w:eastAsia="zh-CN"/>
          <w14:textFill>
            <w14:solidFill>
              <w14:schemeClr w14:val="tx1"/>
            </w14:solidFill>
          </w14:textFill>
        </w:rPr>
        <w:t>和全国首个</w:t>
      </w:r>
      <w:r>
        <w:rPr>
          <w:rFonts w:hint="eastAsia" w:ascii="仿宋_GB2312" w:hAnsi="仿宋_GB2312" w:eastAsia="仿宋_GB2312" w:cs="仿宋_GB2312"/>
          <w:i w:val="0"/>
          <w:iCs w:val="0"/>
          <w:color w:val="000000" w:themeColor="text1"/>
          <w:kern w:val="2"/>
          <w:sz w:val="32"/>
          <w:szCs w:val="32"/>
          <w:u w:val="none" w:color="auto"/>
          <w:shd w:val="clear" w:color="auto" w:fill="auto"/>
          <w:lang w:val="en-US" w:eastAsia="zh-CN" w:bidi="ar"/>
          <w14:textFill>
            <w14:solidFill>
              <w14:schemeClr w14:val="tx1"/>
            </w14:solidFill>
          </w14:textFill>
        </w:rPr>
        <w:t>交通运输综合行政执法条例，</w:t>
      </w:r>
      <w:r>
        <w:rPr>
          <w:rFonts w:hint="eastAsia" w:ascii="仿宋_GB2312" w:hAnsi="仿宋_GB2312" w:eastAsia="仿宋_GB2312" w:cs="仿宋_GB2312"/>
          <w:i w:val="0"/>
          <w:iCs w:val="0"/>
          <w:color w:val="000000" w:themeColor="text1"/>
          <w:sz w:val="32"/>
          <w:szCs w:val="32"/>
          <w:u w:val="none" w:color="auto"/>
          <w:lang w:eastAsia="zh-CN"/>
          <w14:textFill>
            <w14:solidFill>
              <w14:schemeClr w14:val="tx1"/>
            </w14:solidFill>
          </w14:textFill>
        </w:rPr>
        <w:t>完成</w:t>
      </w:r>
      <w:r>
        <w:rPr>
          <w:rFonts w:hint="eastAsia" w:ascii="仿宋_GB2312" w:hAnsi="仿宋_GB2312" w:eastAsia="仿宋_GB2312" w:cs="仿宋_GB2312"/>
          <w:i w:val="0"/>
          <w:iCs w:val="0"/>
          <w:color w:val="000000" w:themeColor="text1"/>
          <w:sz w:val="32"/>
          <w:szCs w:val="32"/>
          <w:u w:val="none" w:color="auto"/>
          <w:lang w:val="en-US" w:eastAsia="zh-CN"/>
          <w14:textFill>
            <w14:solidFill>
              <w14:schemeClr w14:val="tx1"/>
            </w14:solidFill>
          </w14:textFill>
        </w:rPr>
        <w:t>农村集体经济组织条例</w:t>
      </w:r>
      <w:r>
        <w:rPr>
          <w:rFonts w:hint="eastAsia" w:ascii="仿宋_GB2312" w:hAnsi="仿宋_GB2312" w:eastAsia="仿宋_GB2312" w:cs="仿宋_GB2312"/>
          <w:b w:val="0"/>
          <w:bCs w:val="0"/>
          <w:i w:val="0"/>
          <w:iCs w:val="0"/>
          <w:color w:val="000000" w:themeColor="text1"/>
          <w:kern w:val="2"/>
          <w:sz w:val="32"/>
          <w:szCs w:val="32"/>
          <w:u w:val="none" w:color="auto"/>
          <w:shd w:val="clear" w:color="auto" w:fill="auto"/>
          <w:lang w:val="en-US" w:eastAsia="zh-CN"/>
          <w14:textFill>
            <w14:solidFill>
              <w14:schemeClr w14:val="tx1"/>
            </w14:solidFill>
          </w14:textFill>
        </w:rPr>
        <w:t>等</w:t>
      </w:r>
      <w:r>
        <w:rPr>
          <w:rFonts w:hint="eastAsia" w:ascii="仿宋_GB2312" w:hAnsi="仿宋_GB2312" w:eastAsia="仿宋_GB2312" w:cs="仿宋_GB2312"/>
          <w:i w:val="0"/>
          <w:iCs w:val="0"/>
          <w:color w:val="000000" w:themeColor="text1"/>
          <w:sz w:val="32"/>
          <w:szCs w:val="32"/>
          <w:u w:val="none" w:color="auto"/>
          <w:shd w:val="clear" w:color="auto" w:fill="auto"/>
          <w:lang w:val="en-US" w:eastAsia="zh-CN"/>
          <w14:textFill>
            <w14:solidFill>
              <w14:schemeClr w14:val="tx1"/>
            </w14:solidFill>
          </w14:textFill>
        </w:rPr>
        <w:t>行政立法项目</w:t>
      </w:r>
      <w:r>
        <w:rPr>
          <w:rFonts w:hint="eastAsia" w:ascii="仿宋_GB2312" w:hAnsi="仿宋_GB2312" w:eastAsia="仿宋_GB2312" w:cs="仿宋_GB2312"/>
          <w:b w:val="0"/>
          <w:bCs w:val="0"/>
          <w:i w:val="0"/>
          <w:iCs w:val="0"/>
          <w:color w:val="000000" w:themeColor="text1"/>
          <w:kern w:val="2"/>
          <w:sz w:val="32"/>
          <w:szCs w:val="32"/>
          <w:u w:val="none" w:color="auto"/>
          <w:shd w:val="clear" w:color="auto" w:fill="auto"/>
          <w:lang w:val="en-US" w:eastAsia="zh-CN"/>
          <w14:textFill>
            <w14:solidFill>
              <w14:schemeClr w14:val="tx1"/>
            </w14:solidFill>
          </w14:textFill>
        </w:rPr>
        <w:t>18个</w:t>
      </w:r>
      <w:r>
        <w:rPr>
          <w:rFonts w:hint="eastAsia" w:ascii="仿宋_GB2312" w:hAnsi="仿宋_GB2312" w:eastAsia="仿宋_GB2312" w:cs="仿宋_GB2312"/>
          <w:i w:val="0"/>
          <w:iCs w:val="0"/>
          <w:color w:val="000000" w:themeColor="text1"/>
          <w:sz w:val="32"/>
          <w:szCs w:val="32"/>
          <w:u w:val="none" w:color="auto"/>
          <w:shd w:val="clear" w:color="auto" w:fill="auto"/>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i w:val="0"/>
          <w:iCs w:val="0"/>
          <w:color w:val="000000" w:themeColor="text1"/>
          <w:kern w:val="2"/>
          <w:sz w:val="32"/>
          <w:szCs w:val="32"/>
          <w:u w:val="none" w:color="auto"/>
          <w:shd w:val="clear" w:color="auto" w:fill="auto"/>
          <w:lang w:eastAsia="zh-CN"/>
          <w14:textFill>
            <w14:solidFill>
              <w14:schemeClr w14:val="tx1"/>
            </w14:solidFill>
          </w14:textFill>
        </w:rPr>
      </w:pPr>
      <w:r>
        <w:rPr>
          <w:rFonts w:hint="eastAsia" w:ascii="仿宋_GB2312" w:hAnsi="仿宋_GB2312" w:eastAsia="仿宋_GB2312" w:cs="仿宋_GB2312"/>
          <w:b w:val="0"/>
          <w:bCs w:val="0"/>
          <w:i w:val="0"/>
          <w:iCs w:val="0"/>
          <w:color w:val="000000" w:themeColor="text1"/>
          <w:sz w:val="32"/>
          <w:szCs w:val="32"/>
          <w:u w:val="none" w:color="auto"/>
          <w:lang w:eastAsia="zh-CN" w:bidi="ar-SA"/>
          <w14:textFill>
            <w14:solidFill>
              <w14:schemeClr w14:val="tx1"/>
            </w14:solidFill>
          </w14:textFill>
        </w:rPr>
        <w:t>三是加强合法性审核。</w:t>
      </w:r>
      <w:r>
        <w:rPr>
          <w:rFonts w:hint="eastAsia" w:ascii="仿宋_GB2312" w:hAnsi="仿宋_GB2312" w:eastAsia="仿宋_GB2312" w:cs="仿宋_GB2312"/>
          <w:b w:val="0"/>
          <w:bCs w:val="0"/>
          <w:i w:val="0"/>
          <w:iCs w:val="0"/>
          <w:color w:val="000000" w:themeColor="text1"/>
          <w:sz w:val="32"/>
          <w:szCs w:val="32"/>
          <w:u w:val="none" w:color="auto"/>
          <w:lang w:eastAsia="zh-CN"/>
          <w14:textFill>
            <w14:solidFill>
              <w14:schemeClr w14:val="tx1"/>
            </w14:solidFill>
          </w14:textFill>
        </w:rPr>
        <w:t>修订《四川省行政规范性文件管理办法》，</w:t>
      </w:r>
      <w:r>
        <w:rPr>
          <w:rFonts w:hint="eastAsia" w:ascii="仿宋_GB2312" w:hAnsi="仿宋_GB2312" w:eastAsia="仿宋_GB2312" w:cs="仿宋_GB2312"/>
          <w:i w:val="0"/>
          <w:iCs w:val="0"/>
          <w:color w:val="000000" w:themeColor="text1"/>
          <w:kern w:val="2"/>
          <w:sz w:val="32"/>
          <w:szCs w:val="32"/>
          <w:u w:val="none" w:color="auto"/>
          <w:lang w:val="en-US" w:eastAsia="zh-CN" w:bidi="ar-SA"/>
          <w14:textFill>
            <w14:solidFill>
              <w14:schemeClr w14:val="tx1"/>
            </w14:solidFill>
          </w14:textFill>
        </w:rPr>
        <w:t>出台</w:t>
      </w:r>
      <w:r>
        <w:rPr>
          <w:rFonts w:hint="eastAsia" w:ascii="仿宋_GB2312" w:hAnsi="仿宋_GB2312" w:eastAsia="仿宋_GB2312" w:cs="仿宋_GB2312"/>
          <w:i w:val="0"/>
          <w:iCs w:val="0"/>
          <w:color w:val="000000" w:themeColor="text1"/>
          <w:sz w:val="32"/>
          <w:szCs w:val="32"/>
          <w:u w:val="none" w:color="auto"/>
          <w:lang w:val="en-US" w:eastAsia="zh-CN"/>
          <w14:textFill>
            <w14:solidFill>
              <w14:schemeClr w14:val="tx1"/>
            </w14:solidFill>
          </w14:textFill>
        </w:rPr>
        <w:t>合法性审查专家协审办法</w:t>
      </w:r>
      <w:r>
        <w:rPr>
          <w:rFonts w:hint="eastAsia" w:ascii="仿宋_GB2312" w:hAnsi="仿宋_GB2312" w:eastAsia="仿宋_GB2312" w:cs="仿宋_GB2312"/>
          <w:i w:val="0"/>
          <w:iCs w:val="0"/>
          <w:color w:val="000000" w:themeColor="text1"/>
          <w:kern w:val="2"/>
          <w:sz w:val="32"/>
          <w:szCs w:val="32"/>
          <w:u w:val="none" w:color="auto"/>
          <w:lang w:val="en-US" w:eastAsia="zh-CN" w:bidi="ar-SA"/>
          <w14:textFill>
            <w14:solidFill>
              <w14:schemeClr w14:val="tx1"/>
            </w14:solidFill>
          </w14:textFill>
        </w:rPr>
        <w:t>和</w:t>
      </w:r>
      <w:r>
        <w:rPr>
          <w:rFonts w:hint="eastAsia" w:ascii="仿宋_GB2312" w:hAnsi="仿宋_GB2312" w:eastAsia="仿宋_GB2312" w:cs="仿宋_GB2312"/>
          <w:i w:val="0"/>
          <w:iCs w:val="0"/>
          <w:color w:val="000000" w:themeColor="text1"/>
          <w:sz w:val="32"/>
          <w:szCs w:val="32"/>
          <w:u w:val="none" w:color="auto"/>
          <w:lang w:val="en-US" w:eastAsia="zh-CN"/>
          <w14:textFill>
            <w14:solidFill>
              <w14:schemeClr w14:val="tx1"/>
            </w14:solidFill>
          </w14:textFill>
        </w:rPr>
        <w:t>备案审查交叉审查办法，</w:t>
      </w:r>
      <w:r>
        <w:rPr>
          <w:rFonts w:hint="eastAsia" w:ascii="仿宋_GB2312" w:hAnsi="仿宋_GB2312" w:eastAsia="仿宋_GB2312" w:cs="仿宋_GB2312"/>
          <w:b w:val="0"/>
          <w:bCs w:val="0"/>
          <w:i w:val="0"/>
          <w:iCs w:val="0"/>
          <w:color w:val="000000" w:themeColor="text1"/>
          <w:kern w:val="2"/>
          <w:sz w:val="32"/>
          <w:szCs w:val="32"/>
          <w:u w:val="none" w:color="auto"/>
          <w:shd w:val="clear" w:color="auto" w:fill="auto"/>
          <w:lang w:eastAsia="zh-CN"/>
          <w14:textFill>
            <w14:solidFill>
              <w14:schemeClr w14:val="tx1"/>
            </w14:solidFill>
          </w14:textFill>
        </w:rPr>
        <w:t>编制全省合法性审查、备案审</w:t>
      </w:r>
      <w:r>
        <w:rPr>
          <w:rFonts w:hint="eastAsia" w:ascii="仿宋_GB2312" w:hAnsi="仿宋_GB2312" w:eastAsia="仿宋_GB2312" w:cs="仿宋_GB2312"/>
          <w:i w:val="0"/>
          <w:iCs w:val="0"/>
          <w:color w:val="000000" w:themeColor="text1"/>
          <w:sz w:val="32"/>
          <w:szCs w:val="32"/>
          <w:u w:val="none" w:color="auto"/>
          <w14:textFill>
            <w14:solidFill>
              <w14:schemeClr w14:val="tx1"/>
            </w14:solidFill>
          </w14:textFill>
        </w:rPr>
        <w:t>查数据分析，</w:t>
      </w:r>
      <w:r>
        <w:rPr>
          <w:rFonts w:hint="eastAsia" w:ascii="仿宋_GB2312" w:hAnsi="仿宋_GB2312" w:eastAsia="仿宋_GB2312" w:cs="仿宋_GB2312"/>
          <w:i w:val="0"/>
          <w:iCs w:val="0"/>
          <w:color w:val="000000" w:themeColor="text1"/>
          <w:sz w:val="32"/>
          <w:szCs w:val="32"/>
          <w:u w:val="none" w:color="auto"/>
          <w:lang w:eastAsia="zh-CN"/>
          <w14:textFill>
            <w14:solidFill>
              <w14:schemeClr w14:val="tx1"/>
            </w14:solidFill>
          </w14:textFill>
        </w:rPr>
        <w:t>编发</w:t>
      </w:r>
      <w:r>
        <w:rPr>
          <w:rFonts w:hint="eastAsia" w:ascii="仿宋_GB2312" w:hAnsi="仿宋_GB2312" w:eastAsia="仿宋_GB2312" w:cs="仿宋_GB2312"/>
          <w:i w:val="0"/>
          <w:iCs w:val="0"/>
          <w:color w:val="000000" w:themeColor="text1"/>
          <w:sz w:val="32"/>
          <w:szCs w:val="32"/>
          <w:u w:val="none" w:color="auto"/>
          <w14:textFill>
            <w14:solidFill>
              <w14:schemeClr w14:val="tx1"/>
            </w14:solidFill>
          </w14:textFill>
        </w:rPr>
        <w:t>典型案例</w:t>
      </w:r>
      <w:r>
        <w:rPr>
          <w:rFonts w:hint="eastAsia" w:ascii="仿宋_GB2312" w:hAnsi="仿宋_GB2312" w:eastAsia="仿宋_GB2312" w:cs="仿宋_GB2312"/>
          <w:i w:val="0"/>
          <w:iCs w:val="0"/>
          <w:color w:val="000000" w:themeColor="text1"/>
          <w:sz w:val="32"/>
          <w:szCs w:val="32"/>
          <w:u w:val="none" w:color="auto"/>
          <w:lang w:eastAsia="zh-CN"/>
          <w14:textFill>
            <w14:solidFill>
              <w14:schemeClr w14:val="tx1"/>
            </w14:solidFill>
          </w14:textFill>
        </w:rPr>
        <w:t>，</w:t>
      </w:r>
      <w:r>
        <w:rPr>
          <w:rFonts w:hint="eastAsia" w:ascii="仿宋_GB2312" w:hAnsi="仿宋_GB2312" w:eastAsia="仿宋_GB2312" w:cs="仿宋_GB2312"/>
          <w:b w:val="0"/>
          <w:bCs w:val="0"/>
          <w:i w:val="0"/>
          <w:iCs w:val="0"/>
          <w:color w:val="000000" w:themeColor="text1"/>
          <w:kern w:val="2"/>
          <w:sz w:val="32"/>
          <w:szCs w:val="32"/>
          <w:u w:val="none" w:color="auto"/>
          <w:shd w:val="clear" w:color="auto" w:fill="auto"/>
          <w:lang w:val="en-US" w:eastAsia="zh-CN"/>
          <w14:textFill>
            <w14:solidFill>
              <w14:schemeClr w14:val="tx1"/>
            </w14:solidFill>
          </w14:textFill>
        </w:rPr>
        <w:t>办理</w:t>
      </w:r>
      <w:r>
        <w:rPr>
          <w:rFonts w:hint="eastAsia" w:ascii="仿宋_GB2312" w:hAnsi="仿宋_GB2312" w:eastAsia="仿宋_GB2312" w:cs="仿宋_GB2312"/>
          <w:b w:val="0"/>
          <w:bCs w:val="0"/>
          <w:i w:val="0"/>
          <w:iCs w:val="0"/>
          <w:color w:val="000000" w:themeColor="text1"/>
          <w:kern w:val="2"/>
          <w:sz w:val="32"/>
          <w:szCs w:val="32"/>
          <w:u w:val="none" w:color="auto"/>
          <w:shd w:val="clear" w:color="auto" w:fill="auto"/>
          <w:lang w:eastAsia="zh-CN"/>
          <w14:textFill>
            <w14:solidFill>
              <w14:schemeClr w14:val="tx1"/>
            </w14:solidFill>
          </w14:textFill>
        </w:rPr>
        <w:t>省委、省政府重大决策、重要文件合法性审查</w:t>
      </w:r>
      <w:r>
        <w:rPr>
          <w:rFonts w:hint="eastAsia" w:ascii="仿宋_GB2312" w:hAnsi="仿宋_GB2312" w:eastAsia="仿宋_GB2312" w:cs="仿宋_GB2312"/>
          <w:b w:val="0"/>
          <w:bCs w:val="0"/>
          <w:i w:val="0"/>
          <w:iCs w:val="0"/>
          <w:color w:val="000000" w:themeColor="text1"/>
          <w:kern w:val="2"/>
          <w:sz w:val="32"/>
          <w:szCs w:val="32"/>
          <w:u w:val="none" w:color="auto"/>
          <w:shd w:val="clear" w:color="auto" w:fill="auto"/>
          <w:lang w:val="en-US" w:eastAsia="zh-CN"/>
          <w14:textFill>
            <w14:solidFill>
              <w14:schemeClr w14:val="tx1"/>
            </w14:solidFill>
          </w14:textFill>
        </w:rPr>
        <w:t>576</w:t>
      </w:r>
      <w:r>
        <w:rPr>
          <w:rFonts w:hint="eastAsia" w:ascii="仿宋_GB2312" w:hAnsi="仿宋_GB2312" w:eastAsia="仿宋_GB2312" w:cs="仿宋_GB2312"/>
          <w:b w:val="0"/>
          <w:bCs w:val="0"/>
          <w:i w:val="0"/>
          <w:iCs w:val="0"/>
          <w:color w:val="000000" w:themeColor="text1"/>
          <w:kern w:val="2"/>
          <w:sz w:val="32"/>
          <w:szCs w:val="32"/>
          <w:u w:val="none" w:color="auto"/>
          <w:shd w:val="clear" w:color="auto" w:fill="auto"/>
          <w:lang w:eastAsia="zh-CN"/>
          <w14:textFill>
            <w14:solidFill>
              <w14:schemeClr w14:val="tx1"/>
            </w14:solidFill>
          </w14:textFill>
        </w:rPr>
        <w:t>件</w:t>
      </w:r>
      <w:r>
        <w:rPr>
          <w:rFonts w:hint="eastAsia" w:ascii="仿宋_GB2312" w:hAnsi="仿宋_GB2312" w:eastAsia="仿宋_GB2312" w:cs="仿宋_GB2312"/>
          <w:b w:val="0"/>
          <w:bCs w:val="0"/>
          <w:i w:val="0"/>
          <w:iCs w:val="0"/>
          <w:color w:val="000000" w:themeColor="text1"/>
          <w:kern w:val="2"/>
          <w:sz w:val="32"/>
          <w:szCs w:val="32"/>
          <w:u w:val="none" w:color="auto"/>
          <w:shd w:val="clear" w:color="auto" w:fill="auto"/>
          <w:lang w:val="en-US" w:eastAsia="zh-CN"/>
          <w14:textFill>
            <w14:solidFill>
              <w14:schemeClr w14:val="tx1"/>
            </w14:solidFill>
          </w14:textFill>
        </w:rPr>
        <w:t>，</w:t>
      </w:r>
      <w:r>
        <w:rPr>
          <w:rFonts w:hint="eastAsia" w:ascii="仿宋_GB2312" w:hAnsi="仿宋_GB2312" w:eastAsia="仿宋_GB2312" w:cs="仿宋_GB2312"/>
          <w:b w:val="0"/>
          <w:bCs w:val="0"/>
          <w:i w:val="0"/>
          <w:iCs w:val="0"/>
          <w:color w:val="000000" w:themeColor="text1"/>
          <w:kern w:val="2"/>
          <w:sz w:val="32"/>
          <w:szCs w:val="32"/>
          <w:u w:val="none" w:color="auto"/>
          <w:shd w:val="clear" w:color="auto" w:fill="auto"/>
          <w:lang w:eastAsia="zh-CN"/>
          <w14:textFill>
            <w14:solidFill>
              <w14:schemeClr w14:val="tx1"/>
            </w14:solidFill>
          </w14:textFill>
        </w:rPr>
        <w:t>开展备案审查</w:t>
      </w:r>
      <w:r>
        <w:rPr>
          <w:rFonts w:hint="eastAsia" w:ascii="仿宋_GB2312" w:hAnsi="仿宋_GB2312" w:eastAsia="仿宋_GB2312" w:cs="仿宋_GB2312"/>
          <w:b w:val="0"/>
          <w:bCs w:val="0"/>
          <w:i w:val="0"/>
          <w:iCs w:val="0"/>
          <w:color w:val="000000" w:themeColor="text1"/>
          <w:kern w:val="2"/>
          <w:sz w:val="32"/>
          <w:szCs w:val="32"/>
          <w:u w:val="none" w:color="auto"/>
          <w:shd w:val="clear" w:color="auto" w:fill="auto"/>
          <w:lang w:val="en-US" w:eastAsia="zh-CN"/>
          <w14:textFill>
            <w14:solidFill>
              <w14:schemeClr w14:val="tx1"/>
            </w14:solidFill>
          </w14:textFill>
        </w:rPr>
        <w:t>535</w:t>
      </w:r>
      <w:r>
        <w:rPr>
          <w:rFonts w:hint="eastAsia" w:ascii="仿宋_GB2312" w:hAnsi="仿宋_GB2312" w:eastAsia="仿宋_GB2312" w:cs="仿宋_GB2312"/>
          <w:b w:val="0"/>
          <w:bCs w:val="0"/>
          <w:i w:val="0"/>
          <w:iCs w:val="0"/>
          <w:color w:val="000000" w:themeColor="text1"/>
          <w:kern w:val="2"/>
          <w:sz w:val="32"/>
          <w:szCs w:val="32"/>
          <w:u w:val="none" w:color="auto"/>
          <w:shd w:val="clear" w:color="auto" w:fill="auto"/>
          <w:lang w:eastAsia="zh-CN"/>
          <w14:textFill>
            <w14:solidFill>
              <w14:schemeClr w14:val="tx1"/>
            </w14:solidFill>
          </w14:textFill>
        </w:rPr>
        <w:t>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olor w:val="000000" w:themeColor="text1"/>
          <w:kern w:val="2"/>
          <w:sz w:val="32"/>
          <w:szCs w:val="32"/>
          <w:u w:val="none" w:color="auto"/>
          <w:rtl w:val="0"/>
          <w:lang w:val="en-US" w:eastAsia="zh-CN" w:bidi="ar-SA"/>
          <w14:textFill>
            <w14:solidFill>
              <w14:schemeClr w14:val="tx1"/>
            </w14:solidFill>
          </w14:textFill>
        </w:rPr>
      </w:pPr>
      <w:r>
        <w:rPr>
          <w:rFonts w:hint="eastAsia" w:ascii="仿宋_GB2312" w:hAnsi="仿宋_GB2312" w:eastAsia="仿宋_GB2312" w:cs="仿宋_GB2312"/>
          <w:b w:val="0"/>
          <w:bCs w:val="0"/>
          <w:i w:val="0"/>
          <w:iCs w:val="0"/>
          <w:color w:val="000000" w:themeColor="text1"/>
          <w:sz w:val="32"/>
          <w:szCs w:val="32"/>
          <w:u w:val="none" w:color="auto"/>
          <w:lang w:eastAsia="zh-CN" w:bidi="ar-SA"/>
          <w14:textFill>
            <w14:solidFill>
              <w14:schemeClr w14:val="tx1"/>
            </w14:solidFill>
          </w14:textFill>
        </w:rPr>
        <w:t>四是强化行政执法监督。</w:t>
      </w:r>
      <w:r>
        <w:rPr>
          <w:rFonts w:hint="eastAsia" w:ascii="仿宋_GB2312" w:hAnsi="仿宋_GB2312" w:eastAsia="仿宋_GB2312" w:cs="仿宋_GB2312"/>
          <w:b w:val="0"/>
          <w:bCs w:val="0"/>
          <w:i w:val="0"/>
          <w:iCs w:val="0"/>
          <w:color w:val="000000" w:themeColor="text1"/>
          <w:kern w:val="2"/>
          <w:sz w:val="32"/>
          <w:szCs w:val="32"/>
          <w:u w:val="none" w:color="auto"/>
          <w:shd w:val="clear" w:color="auto" w:fill="auto"/>
          <w:lang w:eastAsia="zh-CN"/>
          <w14:textFill>
            <w14:solidFill>
              <w14:schemeClr w14:val="tx1"/>
            </w14:solidFill>
          </w14:textFill>
        </w:rPr>
        <w:t>修订《四川省行政执法监督条例》，出台</w:t>
      </w:r>
      <w:r>
        <w:rPr>
          <w:rFonts w:hint="eastAsia" w:ascii="仿宋_GB2312" w:hAnsi="仿宋_GB2312" w:eastAsia="仿宋_GB2312" w:cs="仿宋_GB2312"/>
          <w:b w:val="0"/>
          <w:bCs w:val="0"/>
          <w:i w:val="0"/>
          <w:iCs w:val="0"/>
          <w:color w:val="000000" w:themeColor="text1"/>
          <w:kern w:val="2"/>
          <w:sz w:val="32"/>
          <w:szCs w:val="32"/>
          <w:u w:val="none" w:color="auto"/>
          <w:shd w:val="clear" w:color="auto" w:fill="auto"/>
          <w:lang w:val="en-US" w:eastAsia="zh-CN"/>
          <w14:textFill>
            <w14:solidFill>
              <w14:schemeClr w14:val="tx1"/>
            </w14:solidFill>
          </w14:textFill>
        </w:rPr>
        <w:t>行政执法公示</w:t>
      </w:r>
      <w:r>
        <w:rPr>
          <w:rFonts w:hint="eastAsia" w:ascii="仿宋_GB2312" w:hAnsi="仿宋_GB2312" w:eastAsia="仿宋_GB2312" w:cs="仿宋_GB2312"/>
          <w:i w:val="0"/>
          <w:iCs w:val="0"/>
          <w:color w:val="000000" w:themeColor="text1"/>
          <w:sz w:val="32"/>
          <w:szCs w:val="32"/>
          <w:u w:val="none" w:color="auto"/>
          <w:lang w:val="en-US" w:eastAsia="zh-CN"/>
          <w14:textFill>
            <w14:solidFill>
              <w14:schemeClr w14:val="tx1"/>
            </w14:solidFill>
          </w14:textFill>
        </w:rPr>
        <w:t>、行政执法全过程记录、重大行政执法决定法制审核“三个办法”，</w:t>
      </w:r>
      <w:r>
        <w:rPr>
          <w:rFonts w:hint="eastAsia" w:ascii="仿宋_GB2312" w:hAnsi="仿宋_GB2312" w:eastAsia="仿宋_GB2312" w:cs="仿宋_GB2312"/>
          <w:i w:val="0"/>
          <w:iCs w:val="0"/>
          <w:color w:val="000000" w:themeColor="text1"/>
          <w:sz w:val="32"/>
          <w:szCs w:val="32"/>
          <w:u w:val="none" w:color="auto"/>
          <w:lang w:eastAsia="zh-CN"/>
          <w14:textFill>
            <w14:solidFill>
              <w14:schemeClr w14:val="tx1"/>
            </w14:solidFill>
          </w14:textFill>
        </w:rPr>
        <w:t>编制实施</w:t>
      </w:r>
      <w:r>
        <w:rPr>
          <w:rFonts w:hint="eastAsia" w:ascii="仿宋_GB2312" w:hAnsi="仿宋_GB2312" w:eastAsia="仿宋_GB2312" w:cs="仿宋_GB2312"/>
          <w:i w:val="0"/>
          <w:iCs w:val="0"/>
          <w:color w:val="000000" w:themeColor="text1"/>
          <w:sz w:val="32"/>
          <w:szCs w:val="32"/>
          <w:u w:val="none" w:color="auto"/>
          <w:lang w:val="en-US" w:eastAsia="zh-CN"/>
          <w14:textFill>
            <w14:solidFill>
              <w14:schemeClr w14:val="tx1"/>
            </w14:solidFill>
          </w14:textFill>
        </w:rPr>
        <w:t>行政执法流程、执法文书等行政执法地方标准，</w:t>
      </w:r>
      <w:r>
        <w:rPr>
          <w:rFonts w:hint="eastAsia" w:ascii="仿宋_GB2312" w:hAnsi="仿宋_GB2312" w:eastAsia="仿宋_GB2312" w:cs="仿宋_GB2312"/>
          <w:i w:val="0"/>
          <w:iCs w:val="0"/>
          <w:color w:val="000000" w:themeColor="text1"/>
          <w:kern w:val="2"/>
          <w:sz w:val="32"/>
          <w:szCs w:val="32"/>
          <w:u w:val="none" w:color="auto"/>
          <w:rtl w:val="0"/>
          <w:lang w:val="en-US" w:eastAsia="zh-CN" w:bidi="ar-SA"/>
          <w14:textFill>
            <w14:solidFill>
              <w14:schemeClr w14:val="tx1"/>
            </w14:solidFill>
          </w14:textFill>
        </w:rPr>
        <w:t>在全国率先开展行政裁决程序地方标准建设</w:t>
      </w:r>
      <w:r>
        <w:rPr>
          <w:rFonts w:hint="eastAsia" w:ascii="仿宋_GB2312" w:hAnsi="仿宋_GB2312" w:eastAsia="仿宋_GB2312" w:cs="仿宋_GB2312"/>
          <w:i w:val="0"/>
          <w:iCs w:val="0"/>
          <w:color w:val="000000" w:themeColor="text1"/>
          <w:sz w:val="32"/>
          <w:szCs w:val="32"/>
          <w:u w:val="none" w:color="auto"/>
          <w:rtl w:val="0"/>
          <w:lang w:val="en-US" w:eastAsia="zh-CN"/>
          <w14:textFill>
            <w14:solidFill>
              <w14:schemeClr w14:val="tx1"/>
            </w14:solidFill>
          </w14:textFill>
        </w:rPr>
        <w:t>。</w:t>
      </w:r>
      <w:r>
        <w:rPr>
          <w:rFonts w:hint="eastAsia" w:ascii="仿宋_GB2312" w:hAnsi="仿宋_GB2312" w:eastAsia="仿宋_GB2312" w:cs="仿宋_GB2312"/>
          <w:i w:val="0"/>
          <w:iCs w:val="0"/>
          <w:color w:val="000000" w:themeColor="text1"/>
          <w:kern w:val="2"/>
          <w:sz w:val="32"/>
          <w:szCs w:val="32"/>
          <w:u w:val="none" w:color="auto"/>
          <w:rtl w:val="0"/>
          <w:lang w:val="en-US" w:eastAsia="zh-CN" w:bidi="ar-SA"/>
          <w14:textFill>
            <w14:solidFill>
              <w14:schemeClr w14:val="tx1"/>
            </w14:solidFill>
          </w14:textFill>
        </w:rPr>
        <w:t>纵深推进综合行政执法改革，试点开展省市县乡四级行政执法协调监督工作体系建设，</w:t>
      </w:r>
      <w:r>
        <w:rPr>
          <w:rFonts w:hint="eastAsia" w:ascii="仿宋_GB2312" w:hAnsi="仿宋_GB2312" w:eastAsia="仿宋_GB2312" w:cs="仿宋_GB2312"/>
          <w:i w:val="0"/>
          <w:iCs w:val="0"/>
          <w:color w:val="000000" w:themeColor="text1"/>
          <w:sz w:val="32"/>
          <w:szCs w:val="32"/>
          <w:u w:val="none" w:color="auto"/>
          <w:lang w:eastAsia="zh-CN"/>
          <w14:textFill>
            <w14:solidFill>
              <w14:schemeClr w14:val="tx1"/>
            </w14:solidFill>
          </w14:textFill>
        </w:rPr>
        <w:t>组织开展全省行政执法“大学习、大练兵、大比武”</w:t>
      </w:r>
      <w:r>
        <w:rPr>
          <w:rFonts w:hint="eastAsia" w:ascii="仿宋_GB2312" w:hAnsi="仿宋_GB2312" w:eastAsia="仿宋_GB2312" w:cs="仿宋_GB2312"/>
          <w:i w:val="0"/>
          <w:iCs w:val="0"/>
          <w:color w:val="000000" w:themeColor="text1"/>
          <w:kern w:val="2"/>
          <w:sz w:val="32"/>
          <w:szCs w:val="32"/>
          <w:u w:val="none" w:color="auto"/>
          <w:rtl w:val="0"/>
          <w:lang w:val="en-US" w:eastAsia="zh-CN" w:bidi="ar-SA"/>
          <w14:textFill>
            <w14:solidFill>
              <w14:schemeClr w14:val="tx1"/>
            </w14:solidFill>
          </w14:textFill>
        </w:rPr>
        <w:t>，</w:t>
      </w:r>
      <w:r>
        <w:rPr>
          <w:rFonts w:hint="eastAsia" w:ascii="仿宋_GB2312" w:hAnsi="仿宋_GB2312" w:eastAsia="仿宋_GB2312" w:cs="仿宋_GB2312"/>
          <w:i w:val="0"/>
          <w:iCs w:val="0"/>
          <w:color w:val="000000" w:themeColor="text1"/>
          <w:sz w:val="32"/>
          <w:szCs w:val="32"/>
          <w:u w:val="none" w:color="auto"/>
          <w:lang w:val="en-US" w:eastAsia="zh-CN"/>
          <w14:textFill>
            <w14:solidFill>
              <w14:schemeClr w14:val="tx1"/>
            </w14:solidFill>
          </w14:textFill>
        </w:rPr>
        <w:t>对全省16万余件执法案卷进行案卷评</w:t>
      </w:r>
      <w:r>
        <w:rPr>
          <w:rFonts w:hint="eastAsia" w:ascii="仿宋_GB2312" w:hAnsi="仿宋_GB2312" w:eastAsia="仿宋_GB2312" w:cs="仿宋_GB2312"/>
          <w:i w:val="0"/>
          <w:iCs w:val="0"/>
          <w:color w:val="000000" w:themeColor="text1"/>
          <w:kern w:val="2"/>
          <w:sz w:val="32"/>
          <w:szCs w:val="32"/>
          <w:u w:val="none" w:color="auto"/>
          <w:rtl w:val="0"/>
          <w:lang w:val="en-US" w:eastAsia="zh-CN" w:bidi="ar-SA"/>
          <w14:textFill>
            <w14:solidFill>
              <w14:schemeClr w14:val="tx1"/>
            </w14:solidFill>
          </w14:textFill>
        </w:rPr>
        <w:t>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olor w:val="000000" w:themeColor="text1"/>
          <w:kern w:val="2"/>
          <w:sz w:val="32"/>
          <w:szCs w:val="32"/>
          <w:u w:val="none" w:color="auto"/>
          <w:rtl w:val="0"/>
          <w:lang w:val="en-US" w:eastAsia="zh-CN" w:bidi="ar-SA"/>
          <w14:textFill>
            <w14:solidFill>
              <w14:schemeClr w14:val="tx1"/>
            </w14:solidFill>
          </w14:textFill>
        </w:rPr>
      </w:pPr>
      <w:r>
        <w:rPr>
          <w:rFonts w:hint="eastAsia" w:ascii="仿宋_GB2312" w:hAnsi="仿宋_GB2312" w:eastAsia="仿宋_GB2312" w:cs="仿宋_GB2312"/>
          <w:b w:val="0"/>
          <w:bCs w:val="0"/>
          <w:i w:val="0"/>
          <w:iCs w:val="0"/>
          <w:color w:val="000000" w:themeColor="text1"/>
          <w:sz w:val="32"/>
          <w:szCs w:val="32"/>
          <w:u w:val="none" w:color="auto"/>
          <w:lang w:eastAsia="zh-CN" w:bidi="ar-SA"/>
          <w14:textFill>
            <w14:solidFill>
              <w14:schemeClr w14:val="tx1"/>
            </w14:solidFill>
          </w14:textFill>
        </w:rPr>
        <w:t>五是</w:t>
      </w:r>
      <w:r>
        <w:rPr>
          <w:rFonts w:hint="eastAsia" w:ascii="仿宋_GB2312" w:hAnsi="仿宋_GB2312" w:eastAsia="仿宋_GB2312" w:cs="仿宋_GB2312"/>
          <w:b w:val="0"/>
          <w:bCs w:val="0"/>
          <w:i w:val="0"/>
          <w:iCs w:val="0"/>
          <w:color w:val="000000" w:themeColor="text1"/>
          <w:sz w:val="32"/>
          <w:szCs w:val="32"/>
          <w:u w:val="none" w:color="auto"/>
          <w:rtl w:val="0"/>
          <w:lang w:val="zh-TW" w:eastAsia="zh-CN" w:bidi="ar-SA"/>
          <w14:textFill>
            <w14:solidFill>
              <w14:schemeClr w14:val="tx1"/>
            </w14:solidFill>
          </w14:textFill>
        </w:rPr>
        <w:t>有序推进行政复议体制改革。</w:t>
      </w:r>
      <w:r>
        <w:rPr>
          <w:rFonts w:hint="eastAsia" w:ascii="仿宋_GB2312" w:hAnsi="仿宋_GB2312" w:eastAsia="仿宋_GB2312" w:cs="仿宋_GB2312"/>
          <w:i w:val="0"/>
          <w:iCs w:val="0"/>
          <w:color w:val="000000" w:themeColor="text1"/>
          <w:sz w:val="32"/>
          <w:szCs w:val="32"/>
          <w:u w:val="none" w:color="auto"/>
          <w:lang w:val="en-US" w:eastAsia="zh-CN"/>
          <w14:textFill>
            <w14:solidFill>
              <w14:schemeClr w14:val="tx1"/>
            </w14:solidFill>
          </w14:textFill>
        </w:rPr>
        <w:t>推动设立</w:t>
      </w:r>
      <w:r>
        <w:rPr>
          <w:rFonts w:hint="eastAsia" w:ascii="仿宋_GB2312" w:hAnsi="仿宋_GB2312" w:eastAsia="仿宋_GB2312" w:cs="仿宋_GB2312"/>
          <w:b w:val="0"/>
          <w:bCs w:val="0"/>
          <w:i w:val="0"/>
          <w:iCs w:val="0"/>
          <w:color w:val="000000" w:themeColor="text1"/>
          <w:sz w:val="32"/>
          <w:szCs w:val="32"/>
          <w:u w:val="none" w:color="auto"/>
          <w:lang w:val="en-US" w:eastAsia="zh-CN"/>
          <w14:textFill>
            <w14:solidFill>
              <w14:schemeClr w14:val="tx1"/>
            </w14:solidFill>
          </w14:textFill>
        </w:rPr>
        <w:t>“省人民政府行政复议办公室”，完成省级行政复议机构设置人员配置。</w:t>
      </w:r>
      <w:r>
        <w:rPr>
          <w:rFonts w:hint="eastAsia" w:ascii="仿宋_GB2312" w:hAnsi="仿宋_GB2312" w:eastAsia="仿宋_GB2312" w:cs="仿宋_GB2312"/>
          <w:i w:val="0"/>
          <w:iCs w:val="0"/>
          <w:color w:val="000000" w:themeColor="text1"/>
          <w:kern w:val="2"/>
          <w:sz w:val="32"/>
          <w:szCs w:val="32"/>
          <w:u w:val="none" w:color="auto"/>
          <w:rtl w:val="0"/>
          <w:lang w:val="en-US" w:eastAsia="zh-CN" w:bidi="ar-SA"/>
          <w14:textFill>
            <w14:solidFill>
              <w14:schemeClr w14:val="tx1"/>
            </w14:solidFill>
          </w14:textFill>
        </w:rPr>
        <w:t>加强行政复议规范化建设，开展释理式行政复议模式、行政复议咨询委员会试点，编制年度行政复议工作分析报告，受到省委、省政府肯定。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i w:val="0"/>
          <w:iCs w:val="0"/>
          <w:color w:val="000000" w:themeColor="text1"/>
          <w:sz w:val="32"/>
          <w:szCs w:val="32"/>
          <w:u w:val="none" w:color="auto"/>
          <w14:textFill>
            <w14:solidFill>
              <w14:schemeClr w14:val="tx1"/>
            </w14:solidFill>
          </w14:textFill>
        </w:rPr>
      </w:pPr>
      <w:r>
        <w:rPr>
          <w:rFonts w:hint="eastAsia" w:ascii="仿宋_GB2312" w:hAnsi="仿宋_GB2312" w:eastAsia="仿宋_GB2312" w:cs="仿宋_GB2312"/>
          <w:b w:val="0"/>
          <w:bCs w:val="0"/>
          <w:i w:val="0"/>
          <w:iCs w:val="0"/>
          <w:color w:val="000000" w:themeColor="text1"/>
          <w:sz w:val="32"/>
          <w:szCs w:val="32"/>
          <w:u w:val="none" w:color="auto"/>
          <w:rtl w:val="0"/>
          <w:lang w:val="en-US" w:eastAsia="zh-CN" w:bidi="ar-SA"/>
          <w14:textFill>
            <w14:solidFill>
              <w14:schemeClr w14:val="tx1"/>
            </w14:solidFill>
          </w14:textFill>
        </w:rPr>
        <w:t>六是持续深化“放管服”改革。</w:t>
      </w:r>
      <w:r>
        <w:rPr>
          <w:rFonts w:hint="eastAsia" w:ascii="仿宋_GB2312" w:hAnsi="仿宋_GB2312" w:eastAsia="仿宋_GB2312" w:cs="仿宋_GB2312"/>
          <w:i w:val="0"/>
          <w:iCs w:val="0"/>
          <w:color w:val="000000" w:themeColor="text1"/>
          <w:kern w:val="2"/>
          <w:sz w:val="32"/>
          <w:szCs w:val="32"/>
          <w:u w:val="none" w:color="auto"/>
          <w:rtl w:val="0"/>
          <w:lang w:val="en-US" w:eastAsia="zh-CN" w:bidi="ar-SA"/>
          <w14:textFill>
            <w14:solidFill>
              <w14:schemeClr w14:val="tx1"/>
            </w14:solidFill>
          </w14:textFill>
        </w:rPr>
        <w:t>扎实开展“一网通办”能力提升百日攻坚行动，实现11类业务跨部门共享，落地运行“一件一次办”和“一证一照办”事项11项，公共服务事项达到222项，居全国前列。</w:t>
      </w:r>
      <w:r>
        <w:rPr>
          <w:rFonts w:hint="eastAsia" w:ascii="仿宋_GB2312" w:hAnsi="仿宋_GB2312" w:eastAsia="仿宋_GB2312" w:cs="仿宋_GB2312"/>
          <w:i w:val="0"/>
          <w:iCs w:val="0"/>
          <w:color w:val="000000" w:themeColor="text1"/>
          <w:sz w:val="32"/>
          <w:szCs w:val="32"/>
          <w:u w:val="none" w:color="auto"/>
          <w:lang w:val="en-US" w:eastAsia="zh-CN"/>
          <w14:textFill>
            <w14:solidFill>
              <w14:schemeClr w14:val="tx1"/>
            </w14:solidFill>
          </w14:textFill>
        </w:rPr>
        <w:t>深化减证便民，发布148项证明事项告知承诺制目录。</w:t>
      </w:r>
      <w:r>
        <w:rPr>
          <w:rFonts w:hint="eastAsia" w:ascii="仿宋_GB2312" w:hAnsi="仿宋_GB2312" w:eastAsia="仿宋_GB2312" w:cs="仿宋_GB2312"/>
          <w:i w:val="0"/>
          <w:iCs w:val="0"/>
          <w:color w:val="000000" w:themeColor="text1"/>
          <w:kern w:val="2"/>
          <w:sz w:val="32"/>
          <w:szCs w:val="32"/>
          <w:u w:val="none" w:color="auto"/>
          <w:rtl w:val="0"/>
          <w:lang w:val="en-US" w:eastAsia="zh-CN" w:bidi="ar-SA"/>
          <w14:textFill>
            <w14:solidFill>
              <w14:schemeClr w14:val="tx1"/>
            </w14:solidFill>
          </w14:textFill>
        </w:rPr>
        <w:t>扎实推进全业务电子证照应用，生成电子证照3.2万余个。</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firstLineChars="200"/>
        <w:jc w:val="both"/>
        <w:textAlignment w:val="auto"/>
        <w:rPr>
          <w:rFonts w:hint="eastAsia" w:ascii="仿宋_GB2312" w:hAnsi="仿宋_GB2312" w:eastAsia="仿宋_GB2312" w:cs="仿宋_GB2312"/>
          <w:b w:val="0"/>
          <w:bCs w:val="0"/>
          <w:i w:val="0"/>
          <w:iCs w:val="0"/>
          <w:color w:val="000000" w:themeColor="text1"/>
          <w:sz w:val="32"/>
          <w:szCs w:val="32"/>
          <w:u w:val="none" w:color="auto"/>
          <w14:textFill>
            <w14:solidFill>
              <w14:schemeClr w14:val="tx1"/>
            </w14:solidFill>
          </w14:textFill>
        </w:rPr>
      </w:pPr>
      <w:r>
        <w:rPr>
          <w:rFonts w:hint="eastAsia" w:ascii="仿宋_GB2312" w:hAnsi="仿宋_GB2312" w:eastAsia="仿宋_GB2312" w:cs="仿宋_GB2312"/>
          <w:b w:val="0"/>
          <w:bCs w:val="0"/>
          <w:i w:val="0"/>
          <w:iCs w:val="0"/>
          <w:color w:val="000000" w:themeColor="text1"/>
          <w:kern w:val="2"/>
          <w:sz w:val="32"/>
          <w:szCs w:val="32"/>
          <w:u w:val="none" w:color="auto"/>
          <w:lang w:val="en-US" w:eastAsia="zh-CN"/>
          <w14:textFill>
            <w14:solidFill>
              <w14:schemeClr w14:val="tx1"/>
            </w14:solidFill>
          </w14:textFill>
        </w:rPr>
        <w:t>4.</w:t>
      </w:r>
      <w:r>
        <w:rPr>
          <w:rFonts w:hint="eastAsia" w:ascii="仿宋_GB2312" w:hAnsi="仿宋_GB2312" w:eastAsia="仿宋_GB2312" w:cs="仿宋_GB2312"/>
          <w:b w:val="0"/>
          <w:bCs w:val="0"/>
          <w:i w:val="0"/>
          <w:iCs w:val="0"/>
          <w:color w:val="000000" w:themeColor="text1"/>
          <w:spacing w:val="0"/>
          <w:kern w:val="2"/>
          <w:sz w:val="32"/>
          <w:szCs w:val="32"/>
          <w:u w:val="none" w:color="auto"/>
          <w:lang w:val="en-US" w:eastAsia="zh-CN" w:bidi="ar-SA"/>
          <w14:textFill>
            <w14:solidFill>
              <w14:schemeClr w14:val="tx1"/>
            </w14:solidFill>
          </w14:textFill>
        </w:rPr>
        <w:t>全面提升监管执法水平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i w:val="0"/>
          <w:iCs w:val="0"/>
          <w:color w:val="000000" w:themeColor="text1"/>
          <w:sz w:val="32"/>
          <w:szCs w:val="32"/>
          <w:u w:val="none" w:color="auto"/>
          <w:lang w:val="en-US" w:eastAsia="zh"/>
          <w14:textFill>
            <w14:solidFill>
              <w14:schemeClr w14:val="tx1"/>
            </w14:solidFill>
          </w14:textFill>
        </w:rPr>
      </w:pPr>
      <w:r>
        <w:rPr>
          <w:rFonts w:hint="eastAsia" w:ascii="仿宋_GB2312" w:hAnsi="仿宋_GB2312" w:eastAsia="仿宋_GB2312" w:cs="仿宋_GB2312"/>
          <w:b w:val="0"/>
          <w:bCs w:val="0"/>
          <w:i w:val="0"/>
          <w:iCs w:val="0"/>
          <w:color w:val="000000" w:themeColor="text1"/>
          <w:sz w:val="32"/>
          <w:szCs w:val="32"/>
          <w:u w:val="none" w:color="auto"/>
          <w:rtl w:val="0"/>
          <w:lang w:val="en-US" w:eastAsia="zh-CN" w:bidi="ar-SA"/>
          <w14:textFill>
            <w14:solidFill>
              <w14:schemeClr w14:val="tx1"/>
            </w14:solidFill>
          </w14:textFill>
        </w:rPr>
        <w:t>一是深化四川监狱标准化建设。</w:t>
      </w:r>
      <w:r>
        <w:rPr>
          <w:rFonts w:hint="eastAsia" w:ascii="仿宋_GB2312" w:hAnsi="仿宋_GB2312" w:eastAsia="仿宋_GB2312" w:cs="仿宋_GB2312"/>
          <w:b w:val="0"/>
          <w:bCs w:val="0"/>
          <w:i w:val="0"/>
          <w:iCs w:val="0"/>
          <w:color w:val="000000" w:themeColor="text1"/>
          <w:sz w:val="32"/>
          <w:szCs w:val="32"/>
          <w:u w:val="none" w:color="auto"/>
          <w:rtl w:val="0"/>
          <w:lang w:val="en-US" w:eastAsia="zh-CN"/>
          <w14:textFill>
            <w14:solidFill>
              <w14:schemeClr w14:val="tx1"/>
            </w14:solidFill>
          </w14:textFill>
        </w:rPr>
        <w:t>持续抓好监所疫情防控，</w:t>
      </w:r>
      <w:r>
        <w:rPr>
          <w:rFonts w:hint="eastAsia" w:ascii="仿宋_GB2312" w:hAnsi="仿宋_GB2312" w:eastAsia="仿宋_GB2312" w:cs="仿宋_GB2312"/>
          <w:b w:val="0"/>
          <w:bCs w:val="0"/>
          <w:i w:val="0"/>
          <w:iCs w:val="0"/>
          <w:color w:val="000000" w:themeColor="text1"/>
          <w:sz w:val="32"/>
          <w:szCs w:val="32"/>
          <w:u w:val="none" w:color="auto"/>
          <w:lang w:val="en-US" w:eastAsia="zh-CN"/>
          <w14:textFill>
            <w14:solidFill>
              <w14:schemeClr w14:val="tx1"/>
            </w14:solidFill>
          </w14:textFill>
        </w:rPr>
        <w:t>动态出台“1+16”防控工作标准9个版本，保持</w:t>
      </w:r>
      <w:r>
        <w:rPr>
          <w:rFonts w:hint="eastAsia" w:ascii="仿宋_GB2312" w:hAnsi="仿宋_GB2312" w:eastAsia="仿宋_GB2312" w:cs="仿宋_GB2312"/>
          <w:b w:val="0"/>
          <w:bCs w:val="0"/>
          <w:i w:val="0"/>
          <w:iCs w:val="0"/>
          <w:color w:val="000000" w:themeColor="text1"/>
          <w:sz w:val="32"/>
          <w:szCs w:val="32"/>
          <w:u w:val="none" w:color="auto"/>
          <w:rtl w:val="0"/>
          <w:lang w:val="en-US" w:eastAsia="zh-CN"/>
          <w14:textFill>
            <w14:solidFill>
              <w14:schemeClr w14:val="tx1"/>
            </w14:solidFill>
          </w14:textFill>
        </w:rPr>
        <w:t>监所“零感染”</w:t>
      </w:r>
      <w:r>
        <w:rPr>
          <w:rFonts w:hint="eastAsia" w:ascii="仿宋_GB2312" w:hAnsi="仿宋_GB2312" w:eastAsia="仿宋_GB2312" w:cs="仿宋_GB2312"/>
          <w:b w:val="0"/>
          <w:bCs w:val="0"/>
          <w:i w:val="0"/>
          <w:iCs w:val="0"/>
          <w:color w:val="000000" w:themeColor="text1"/>
          <w:sz w:val="32"/>
          <w:szCs w:val="32"/>
          <w:u w:val="none" w:color="auto"/>
          <w:lang w:val="en-US" w:eastAsia="zh-CN"/>
          <w14:textFill>
            <w14:solidFill>
              <w14:schemeClr w14:val="tx1"/>
            </w14:solidFill>
          </w14:textFill>
        </w:rPr>
        <w:t>。深入开展监狱综合治理，全面核查“减假暂”案件，在全国率先制定出台“减假暂”案件排查依据和工作指南，创新建立集中办案中心，推行“四查五审六监督标准”和执法权力责任清单，被《法治日报》头版头条报道。深化狱地协作，监狱与地方党政部门建立协作机制。扎实开展“智慧监狱”创建，监狱远程会系统</w:t>
      </w:r>
      <w:r>
        <w:rPr>
          <w:rFonts w:hint="eastAsia" w:ascii="仿宋_GB2312" w:hAnsi="仿宋_GB2312" w:eastAsia="仿宋_GB2312" w:cs="仿宋_GB2312"/>
          <w:b w:val="0"/>
          <w:bCs w:val="0"/>
          <w:i w:val="0"/>
          <w:iCs w:val="0"/>
          <w:color w:val="000000" w:themeColor="text1"/>
          <w:sz w:val="32"/>
          <w:szCs w:val="32"/>
          <w:u w:val="none" w:color="auto"/>
          <w:lang w:val="en-US" w:eastAsia="zh"/>
          <w14:textFill>
            <w14:solidFill>
              <w14:schemeClr w14:val="tx1"/>
            </w14:solidFill>
          </w14:textFill>
        </w:rPr>
        <w:t>被司法部评为“2021年全国智慧司法十大创新案例”。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olor w:val="000000" w:themeColor="text1"/>
          <w:sz w:val="32"/>
          <w:szCs w:val="32"/>
          <w:highlight w:val="none"/>
          <w:u w:val="none" w:color="auto"/>
          <w:lang w:val="en-US" w:eastAsia="zh-CN"/>
          <w14:textFill>
            <w14:solidFill>
              <w14:schemeClr w14:val="tx1"/>
            </w14:solidFill>
          </w14:textFill>
        </w:rPr>
      </w:pPr>
      <w:r>
        <w:rPr>
          <w:rFonts w:hint="eastAsia" w:ascii="仿宋_GB2312" w:hAnsi="仿宋_GB2312" w:eastAsia="仿宋_GB2312" w:cs="仿宋_GB2312"/>
          <w:b w:val="0"/>
          <w:bCs w:val="0"/>
          <w:i w:val="0"/>
          <w:iCs w:val="0"/>
          <w:color w:val="000000" w:themeColor="text1"/>
          <w:sz w:val="32"/>
          <w:szCs w:val="32"/>
          <w:u w:val="none" w:color="auto"/>
          <w:rtl w:val="0"/>
          <w:lang w:val="en-US" w:eastAsia="zh-CN" w:bidi="ar-SA"/>
          <w14:textFill>
            <w14:solidFill>
              <w14:schemeClr w14:val="tx1"/>
            </w14:solidFill>
          </w14:textFill>
        </w:rPr>
        <w:t>二是完善社区矫正工作体系。</w:t>
      </w:r>
      <w:r>
        <w:rPr>
          <w:rFonts w:hint="eastAsia" w:ascii="仿宋_GB2312" w:hAnsi="仿宋_GB2312" w:eastAsia="仿宋_GB2312" w:cs="仿宋_GB2312"/>
          <w:i w:val="0"/>
          <w:iCs w:val="0"/>
          <w:color w:val="000000" w:themeColor="text1"/>
          <w:kern w:val="2"/>
          <w:sz w:val="32"/>
          <w:szCs w:val="32"/>
          <w:u w:val="none" w:color="auto"/>
          <w:rtl w:val="0"/>
          <w:lang w:val="en-US" w:eastAsia="zh-CN" w:bidi="ar-SA"/>
          <w14:textFill>
            <w14:solidFill>
              <w14:schemeClr w14:val="tx1"/>
            </w14:solidFill>
          </w14:textFill>
        </w:rPr>
        <w:t>加快推</w:t>
      </w:r>
      <w:r>
        <w:rPr>
          <w:rFonts w:hint="eastAsia" w:ascii="仿宋_GB2312" w:hAnsi="仿宋_GB2312" w:eastAsia="仿宋_GB2312" w:cs="仿宋_GB2312"/>
          <w:i w:val="0"/>
          <w:iCs w:val="0"/>
          <w:color w:val="000000" w:themeColor="text1"/>
          <w:sz w:val="32"/>
          <w:szCs w:val="32"/>
          <w:highlight w:val="none"/>
          <w:u w:val="none" w:color="auto"/>
          <w:rtl w:val="0"/>
          <w:lang w:val="en-US" w:eastAsia="zh-CN"/>
          <w14:textFill>
            <w14:solidFill>
              <w14:schemeClr w14:val="tx1"/>
            </w14:solidFill>
          </w14:textFill>
        </w:rPr>
        <w:t>进</w:t>
      </w:r>
      <w:r>
        <w:rPr>
          <w:rFonts w:hint="eastAsia" w:ascii="仿宋_GB2312" w:hAnsi="仿宋_GB2312" w:eastAsia="仿宋_GB2312" w:cs="仿宋_GB2312"/>
          <w:i w:val="0"/>
          <w:iCs w:val="0"/>
          <w:color w:val="000000" w:themeColor="text1"/>
          <w:sz w:val="32"/>
          <w:szCs w:val="32"/>
          <w:highlight w:val="none"/>
          <w:u w:val="none" w:color="auto"/>
          <w:lang w:val="en-US" w:eastAsia="zh-CN"/>
          <w14:textFill>
            <w14:solidFill>
              <w14:schemeClr w14:val="tx1"/>
            </w14:solidFill>
          </w14:textFill>
        </w:rPr>
        <w:t>社区矫正委员会和社区矫正机构建设。发布实施社区矫正调查评估规范、社区矫正机构刑事执行权力清单、刑罚交付执行工作指引等规范，实现社区矫正执法和交付执行环节政法各家衔接互认。升级改造社区矫正一体化平台，开发上线“在矫通”“协矫通”等移动应用，全省社区矫正对象再犯罪率低于全国平均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u w:val="none" w:color="auto"/>
          <w:lang w:val="en-US" w:eastAsia="zh-CN"/>
          <w14:textFill>
            <w14:solidFill>
              <w14:schemeClr w14:val="tx1"/>
            </w14:solidFill>
          </w14:textFill>
        </w:rPr>
      </w:pPr>
      <w:r>
        <w:rPr>
          <w:rFonts w:hint="eastAsia" w:ascii="仿宋_GB2312" w:hAnsi="仿宋_GB2312" w:eastAsia="仿宋_GB2312" w:cs="仿宋_GB2312"/>
          <w:b w:val="0"/>
          <w:bCs w:val="0"/>
          <w:i w:val="0"/>
          <w:iCs w:val="0"/>
          <w:color w:val="000000" w:themeColor="text1"/>
          <w:sz w:val="32"/>
          <w:szCs w:val="32"/>
          <w:u w:val="none" w:color="auto"/>
          <w:rtl w:val="0"/>
          <w:lang w:val="en-US" w:eastAsia="zh-CN" w:bidi="ar-SA"/>
          <w14:textFill>
            <w14:solidFill>
              <w14:schemeClr w14:val="tx1"/>
            </w14:solidFill>
          </w14:textFill>
        </w:rPr>
        <w:t>三是提升司法行政戒毒工作质效。</w:t>
      </w:r>
      <w:r>
        <w:rPr>
          <w:rFonts w:hint="eastAsia" w:ascii="仿宋_GB2312" w:hAnsi="仿宋_GB2312" w:eastAsia="仿宋_GB2312" w:cs="仿宋_GB2312"/>
          <w:i w:val="0"/>
          <w:iCs w:val="0"/>
          <w:color w:val="000000" w:themeColor="text1"/>
          <w:sz w:val="32"/>
          <w:szCs w:val="32"/>
          <w:u w:val="none" w:color="auto"/>
          <w14:textFill>
            <w14:solidFill>
              <w14:schemeClr w14:val="tx1"/>
            </w14:solidFill>
          </w14:textFill>
        </w:rPr>
        <w:t>深化</w:t>
      </w:r>
      <w:r>
        <w:rPr>
          <w:rFonts w:hint="eastAsia" w:ascii="仿宋_GB2312" w:hAnsi="仿宋_GB2312" w:eastAsia="仿宋_GB2312" w:cs="仿宋_GB2312"/>
          <w:i w:val="0"/>
          <w:iCs w:val="0"/>
          <w:color w:val="000000" w:themeColor="text1"/>
          <w:sz w:val="32"/>
          <w:szCs w:val="32"/>
          <w:u w:val="none" w:color="auto"/>
          <w:lang w:eastAsia="zh-CN"/>
          <w14:textFill>
            <w14:solidFill>
              <w14:schemeClr w14:val="tx1"/>
            </w14:solidFill>
          </w14:textFill>
        </w:rPr>
        <w:t>戒毒</w:t>
      </w:r>
      <w:r>
        <w:rPr>
          <w:rFonts w:hint="eastAsia" w:ascii="仿宋_GB2312" w:hAnsi="仿宋_GB2312" w:eastAsia="仿宋_GB2312" w:cs="仿宋_GB2312"/>
          <w:i w:val="0"/>
          <w:iCs w:val="0"/>
          <w:color w:val="000000" w:themeColor="text1"/>
          <w:sz w:val="32"/>
          <w:szCs w:val="32"/>
          <w:u w:val="none" w:color="auto"/>
          <w14:textFill>
            <w14:solidFill>
              <w14:schemeClr w14:val="tx1"/>
            </w14:solidFill>
          </w14:textFill>
        </w:rPr>
        <w:t>医联体建设</w:t>
      </w:r>
      <w:r>
        <w:rPr>
          <w:rFonts w:hint="eastAsia" w:ascii="仿宋_GB2312" w:hAnsi="仿宋_GB2312" w:eastAsia="仿宋_GB2312" w:cs="仿宋_GB2312"/>
          <w:i w:val="0"/>
          <w:iCs w:val="0"/>
          <w:color w:val="000000" w:themeColor="text1"/>
          <w:sz w:val="32"/>
          <w:szCs w:val="32"/>
          <w:u w:val="none" w:color="auto"/>
          <w:lang w:eastAsia="zh-CN"/>
          <w14:textFill>
            <w14:solidFill>
              <w14:schemeClr w14:val="tx1"/>
            </w14:solidFill>
          </w14:textFill>
        </w:rPr>
        <w:t>，组织</w:t>
      </w:r>
      <w:r>
        <w:rPr>
          <w:rFonts w:hint="eastAsia" w:ascii="仿宋_GB2312" w:hAnsi="仿宋_GB2312" w:eastAsia="仿宋_GB2312" w:cs="仿宋_GB2312"/>
          <w:i w:val="0"/>
          <w:iCs w:val="0"/>
          <w:color w:val="000000" w:themeColor="text1"/>
          <w:sz w:val="32"/>
          <w:szCs w:val="32"/>
          <w:u w:val="none" w:color="auto"/>
          <w14:textFill>
            <w14:solidFill>
              <w14:schemeClr w14:val="tx1"/>
            </w14:solidFill>
          </w14:textFill>
        </w:rPr>
        <w:t>召开成渝地区双城经济圈建设戒毒工作“2+4”区域协同发展联席会议</w:t>
      </w:r>
      <w:r>
        <w:rPr>
          <w:rFonts w:hint="eastAsia" w:ascii="仿宋_GB2312" w:hAnsi="仿宋_GB2312" w:eastAsia="仿宋_GB2312" w:cs="仿宋_GB2312"/>
          <w:i w:val="0"/>
          <w:iCs w:val="0"/>
          <w:color w:val="000000" w:themeColor="text1"/>
          <w:sz w:val="32"/>
          <w:szCs w:val="32"/>
          <w:u w:val="none" w:color="auto"/>
          <w:lang w:eastAsia="zh-CN"/>
          <w14:textFill>
            <w14:solidFill>
              <w14:schemeClr w14:val="tx1"/>
            </w14:solidFill>
          </w14:textFill>
        </w:rPr>
        <w:t>，</w:t>
      </w:r>
      <w:r>
        <w:rPr>
          <w:rFonts w:hint="eastAsia" w:ascii="仿宋_GB2312" w:hAnsi="仿宋_GB2312" w:eastAsia="仿宋_GB2312" w:cs="仿宋_GB2312"/>
          <w:i w:val="0"/>
          <w:iCs w:val="0"/>
          <w:color w:val="000000" w:themeColor="text1"/>
          <w:sz w:val="32"/>
          <w:szCs w:val="32"/>
          <w:u w:val="none" w:color="auto"/>
          <w14:textFill>
            <w14:solidFill>
              <w14:schemeClr w14:val="tx1"/>
            </w14:solidFill>
          </w14:textFill>
        </w:rPr>
        <w:t>成功承办全国司法行政戒毒场所医疗工作推进会</w:t>
      </w:r>
      <w:r>
        <w:rPr>
          <w:rFonts w:hint="eastAsia" w:ascii="仿宋_GB2312" w:hAnsi="仿宋_GB2312" w:eastAsia="仿宋_GB2312" w:cs="仿宋_GB2312"/>
          <w:i w:val="0"/>
          <w:iCs w:val="0"/>
          <w:color w:val="000000" w:themeColor="text1"/>
          <w:sz w:val="32"/>
          <w:szCs w:val="32"/>
          <w:u w:val="none" w:color="auto"/>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u w:val="none" w:color="auto"/>
          <w14:textFill>
            <w14:solidFill>
              <w14:schemeClr w14:val="tx1"/>
            </w14:solidFill>
          </w14:textFill>
        </w:rPr>
        <w:t>编制完成涵盖全业务领域的《四川司法行政戒毒系统工作制度、规范性文件汇编》</w:t>
      </w:r>
      <w:r>
        <w:rPr>
          <w:rFonts w:hint="eastAsia" w:ascii="仿宋_GB2312" w:hAnsi="仿宋_GB2312" w:eastAsia="仿宋_GB2312" w:cs="仿宋_GB2312"/>
          <w:i w:val="0"/>
          <w:iCs w:val="0"/>
          <w:caps w:val="0"/>
          <w:color w:val="000000" w:themeColor="text1"/>
          <w:spacing w:val="0"/>
          <w:sz w:val="32"/>
          <w:szCs w:val="32"/>
          <w:u w:val="none" w:color="auto"/>
          <w:lang w:val="en-US" w:eastAsia="zh-CN"/>
          <w14:textFill>
            <w14:solidFill>
              <w14:schemeClr w14:val="tx1"/>
            </w14:solidFill>
          </w14:textFill>
        </w:rPr>
        <w:t>。</w:t>
      </w:r>
    </w:p>
    <w:p>
      <w:pPr>
        <w:keepNext w:val="0"/>
        <w:keepLines w:val="0"/>
        <w:pageBreakBefore w:val="0"/>
        <w:widowControl w:val="0"/>
        <w:suppressLineNumbers w:val="0"/>
        <w:kinsoku/>
        <w:wordWrap/>
        <w:overflowPunct/>
        <w:topLinePunct w:val="0"/>
        <w:autoSpaceDE/>
        <w:autoSpaceDN/>
        <w:bidi w:val="0"/>
        <w:adjustRightInd/>
        <w:spacing w:line="600" w:lineRule="exact"/>
        <w:ind w:firstLine="640" w:firstLineChars="200"/>
        <w:jc w:val="both"/>
        <w:textAlignment w:val="auto"/>
        <w:rPr>
          <w:rFonts w:hint="eastAsia" w:ascii="仿宋_GB2312" w:hAnsi="仿宋_GB2312" w:eastAsia="仿宋_GB2312" w:cs="仿宋_GB2312"/>
          <w:b w:val="0"/>
          <w:bCs w:val="0"/>
          <w:i w:val="0"/>
          <w:iCs w:val="0"/>
          <w:color w:val="000000" w:themeColor="text1"/>
          <w:sz w:val="32"/>
          <w:szCs w:val="32"/>
          <w:u w:val="none" w:color="auto"/>
          <w:lang w:val="zh-CN" w:eastAsia="zh-CN" w:bidi="ar-SA"/>
          <w14:textFill>
            <w14:solidFill>
              <w14:schemeClr w14:val="tx1"/>
            </w14:solidFill>
          </w14:textFill>
        </w:rPr>
      </w:pPr>
      <w:r>
        <w:rPr>
          <w:rFonts w:hint="eastAsia" w:ascii="仿宋_GB2312" w:hAnsi="仿宋_GB2312" w:eastAsia="仿宋_GB2312" w:cs="仿宋_GB2312"/>
          <w:b w:val="0"/>
          <w:bCs w:val="0"/>
          <w:i w:val="0"/>
          <w:iCs w:val="0"/>
          <w:color w:val="000000" w:themeColor="text1"/>
          <w:sz w:val="32"/>
          <w:szCs w:val="32"/>
          <w:u w:val="none" w:color="auto"/>
          <w:lang w:val="en-US" w:eastAsia="zh-CN" w:bidi="ar-SA"/>
          <w14:textFill>
            <w14:solidFill>
              <w14:schemeClr w14:val="tx1"/>
            </w14:solidFill>
          </w14:textFill>
        </w:rPr>
        <w:t>5.全力维护社会和谐稳定</w:t>
      </w:r>
    </w:p>
    <w:p>
      <w:pPr>
        <w:keepNext w:val="0"/>
        <w:keepLines w:val="0"/>
        <w:pageBreakBefore w:val="0"/>
        <w:widowControl w:val="0"/>
        <w:suppressLineNumbers w:val="0"/>
        <w:kinsoku/>
        <w:wordWrap/>
        <w:overflowPunct/>
        <w:topLinePunct w:val="0"/>
        <w:autoSpaceDE/>
        <w:autoSpaceDN/>
        <w:bidi w:val="0"/>
        <w:adjustRightInd/>
        <w:spacing w:line="600" w:lineRule="exact"/>
        <w:ind w:firstLine="640" w:firstLineChars="200"/>
        <w:jc w:val="both"/>
        <w:textAlignment w:val="auto"/>
        <w:rPr>
          <w:rFonts w:hint="eastAsia" w:ascii="仿宋_GB2312" w:hAnsi="仿宋_GB2312" w:eastAsia="仿宋_GB2312" w:cs="仿宋_GB2312"/>
          <w:i w:val="0"/>
          <w:iCs w:val="0"/>
          <w:color w:val="000000" w:themeColor="text1"/>
          <w:sz w:val="32"/>
          <w:szCs w:val="32"/>
          <w:u w:val="none" w:color="auto"/>
          <w:shd w:val="clear" w:color="auto" w:fill="FFFFFF"/>
          <w14:textFill>
            <w14:solidFill>
              <w14:schemeClr w14:val="tx1"/>
            </w14:solidFill>
          </w14:textFill>
        </w:rPr>
      </w:pPr>
      <w:r>
        <w:rPr>
          <w:rFonts w:hint="eastAsia" w:ascii="仿宋_GB2312" w:hAnsi="仿宋_GB2312" w:eastAsia="仿宋_GB2312" w:cs="仿宋_GB2312"/>
          <w:b w:val="0"/>
          <w:bCs w:val="0"/>
          <w:i w:val="0"/>
          <w:iCs w:val="0"/>
          <w:color w:val="000000" w:themeColor="text1"/>
          <w:sz w:val="32"/>
          <w:szCs w:val="32"/>
          <w:u w:val="none" w:color="auto"/>
          <w:lang w:eastAsia="zh-CN" w:bidi="ar-SA"/>
          <w14:textFill>
            <w14:solidFill>
              <w14:schemeClr w14:val="tx1"/>
            </w14:solidFill>
          </w14:textFill>
        </w:rPr>
        <w:t>一是突出普法宣传引导。</w:t>
      </w:r>
      <w:r>
        <w:rPr>
          <w:rFonts w:hint="eastAsia" w:ascii="仿宋_GB2312" w:hAnsi="仿宋_GB2312" w:eastAsia="仿宋_GB2312" w:cs="仿宋_GB2312"/>
          <w:i w:val="0"/>
          <w:iCs w:val="0"/>
          <w:color w:val="000000" w:themeColor="text1"/>
          <w:kern w:val="0"/>
          <w:sz w:val="32"/>
          <w:szCs w:val="32"/>
          <w:u w:val="none" w:color="auto"/>
          <w:lang w:bidi="ar"/>
          <w14:textFill>
            <w14:solidFill>
              <w14:schemeClr w14:val="tx1"/>
            </w14:solidFill>
          </w14:textFill>
        </w:rPr>
        <w:t>全面总结“七五”普法</w:t>
      </w:r>
      <w:r>
        <w:rPr>
          <w:rFonts w:hint="eastAsia" w:ascii="仿宋_GB2312" w:hAnsi="仿宋_GB2312" w:eastAsia="仿宋_GB2312" w:cs="仿宋_GB2312"/>
          <w:i w:val="0"/>
          <w:iCs w:val="0"/>
          <w:color w:val="000000" w:themeColor="text1"/>
          <w:kern w:val="0"/>
          <w:sz w:val="32"/>
          <w:szCs w:val="32"/>
          <w:u w:val="none" w:color="auto"/>
          <w:lang w:eastAsia="zh-CN" w:bidi="ar"/>
          <w14:textFill>
            <w14:solidFill>
              <w14:schemeClr w14:val="tx1"/>
            </w14:solidFill>
          </w14:textFill>
        </w:rPr>
        <w:t>工作</w:t>
      </w:r>
      <w:r>
        <w:rPr>
          <w:rFonts w:hint="eastAsia" w:ascii="仿宋_GB2312" w:hAnsi="仿宋_GB2312" w:eastAsia="仿宋_GB2312" w:cs="仿宋_GB2312"/>
          <w:i w:val="0"/>
          <w:iCs w:val="0"/>
          <w:color w:val="000000" w:themeColor="text1"/>
          <w:kern w:val="0"/>
          <w:sz w:val="32"/>
          <w:szCs w:val="32"/>
          <w:u w:val="none" w:color="auto"/>
          <w:lang w:bidi="ar"/>
          <w14:textFill>
            <w14:solidFill>
              <w14:schemeClr w14:val="tx1"/>
            </w14:solidFill>
          </w14:textFill>
        </w:rPr>
        <w:t>，</w:t>
      </w:r>
      <w:r>
        <w:rPr>
          <w:rFonts w:hint="eastAsia" w:ascii="仿宋_GB2312" w:hAnsi="仿宋_GB2312" w:eastAsia="仿宋_GB2312" w:cs="仿宋_GB2312"/>
          <w:i w:val="0"/>
          <w:iCs w:val="0"/>
          <w:color w:val="000000" w:themeColor="text1"/>
          <w:kern w:val="0"/>
          <w:sz w:val="32"/>
          <w:szCs w:val="32"/>
          <w:u w:val="none" w:color="auto"/>
          <w:lang w:eastAsia="zh-CN" w:bidi="ar"/>
          <w14:textFill>
            <w14:solidFill>
              <w14:schemeClr w14:val="tx1"/>
            </w14:solidFill>
          </w14:textFill>
        </w:rPr>
        <w:t>编制“八五”普法规划，</w:t>
      </w:r>
      <w:r>
        <w:rPr>
          <w:rFonts w:hint="eastAsia" w:ascii="仿宋_GB2312" w:hAnsi="仿宋_GB2312" w:eastAsia="仿宋_GB2312" w:cs="仿宋_GB2312"/>
          <w:i w:val="0"/>
          <w:iCs w:val="0"/>
          <w:color w:val="000000" w:themeColor="text1"/>
          <w:kern w:val="0"/>
          <w:sz w:val="32"/>
          <w:szCs w:val="32"/>
          <w:u w:val="none" w:color="auto"/>
          <w:lang w:bidi="ar"/>
          <w14:textFill>
            <w14:solidFill>
              <w14:schemeClr w14:val="tx1"/>
            </w14:solidFill>
          </w14:textFill>
        </w:rPr>
        <w:t>推动</w:t>
      </w:r>
      <w:r>
        <w:rPr>
          <w:rFonts w:hint="eastAsia" w:ascii="仿宋_GB2312" w:hAnsi="仿宋_GB2312" w:eastAsia="仿宋_GB2312" w:cs="仿宋_GB2312"/>
          <w:i w:val="0"/>
          <w:iCs w:val="0"/>
          <w:color w:val="000000" w:themeColor="text1"/>
          <w:sz w:val="32"/>
          <w:szCs w:val="32"/>
          <w:u w:val="none" w:color="auto"/>
          <w14:textFill>
            <w14:solidFill>
              <w14:schemeClr w14:val="tx1"/>
            </w14:solidFill>
          </w14:textFill>
        </w:rPr>
        <w:t>省人大常委会</w:t>
      </w:r>
      <w:r>
        <w:rPr>
          <w:rFonts w:hint="eastAsia" w:ascii="仿宋_GB2312" w:hAnsi="仿宋_GB2312" w:eastAsia="仿宋_GB2312" w:cs="仿宋_GB2312"/>
          <w:i w:val="0"/>
          <w:iCs w:val="0"/>
          <w:color w:val="000000" w:themeColor="text1"/>
          <w:sz w:val="32"/>
          <w:szCs w:val="32"/>
          <w:u w:val="none" w:color="auto"/>
          <w:lang w:eastAsia="zh-CN"/>
          <w14:textFill>
            <w14:solidFill>
              <w14:schemeClr w14:val="tx1"/>
            </w14:solidFill>
          </w14:textFill>
        </w:rPr>
        <w:t>作出</w:t>
      </w:r>
      <w:r>
        <w:rPr>
          <w:rFonts w:hint="eastAsia" w:ascii="仿宋_GB2312" w:hAnsi="仿宋_GB2312" w:eastAsia="仿宋_GB2312" w:cs="仿宋_GB2312"/>
          <w:i w:val="0"/>
          <w:iCs w:val="0"/>
          <w:color w:val="000000" w:themeColor="text1"/>
          <w:sz w:val="32"/>
          <w:szCs w:val="32"/>
          <w:u w:val="none" w:color="auto"/>
          <w14:textFill>
            <w14:solidFill>
              <w14:schemeClr w14:val="tx1"/>
            </w14:solidFill>
          </w14:textFill>
        </w:rPr>
        <w:t>开展“八五”普法工作的决议。</w:t>
      </w:r>
      <w:r>
        <w:rPr>
          <w:rFonts w:hint="eastAsia" w:ascii="仿宋_GB2312" w:hAnsi="仿宋_GB2312" w:eastAsia="仿宋_GB2312" w:cs="仿宋_GB2312"/>
          <w:i w:val="0"/>
          <w:iCs w:val="0"/>
          <w:snapToGrid w:val="0"/>
          <w:color w:val="000000" w:themeColor="text1"/>
          <w:sz w:val="32"/>
          <w:szCs w:val="32"/>
          <w:u w:val="none" w:color="auto"/>
          <w14:textFill>
            <w14:solidFill>
              <w14:schemeClr w14:val="tx1"/>
            </w14:solidFill>
          </w14:textFill>
        </w:rPr>
        <w:t>深入开展“法治四川行”一月一主题活动，</w:t>
      </w:r>
      <w:r>
        <w:rPr>
          <w:rFonts w:hint="eastAsia" w:ascii="仿宋_GB2312" w:hAnsi="仿宋_GB2312" w:eastAsia="仿宋_GB2312" w:cs="仿宋_GB2312"/>
          <w:i w:val="0"/>
          <w:iCs w:val="0"/>
          <w:snapToGrid w:val="0"/>
          <w:color w:val="000000" w:themeColor="text1"/>
          <w:sz w:val="32"/>
          <w:szCs w:val="32"/>
          <w:u w:val="none" w:color="auto"/>
          <w:lang w:eastAsia="zh-CN"/>
          <w14:textFill>
            <w14:solidFill>
              <w14:schemeClr w14:val="tx1"/>
            </w14:solidFill>
          </w14:textFill>
        </w:rPr>
        <w:t>创新</w:t>
      </w:r>
      <w:r>
        <w:rPr>
          <w:rFonts w:hint="eastAsia" w:ascii="仿宋_GB2312" w:hAnsi="仿宋_GB2312" w:eastAsia="仿宋_GB2312" w:cs="仿宋_GB2312"/>
          <w:bCs/>
          <w:i w:val="0"/>
          <w:iCs w:val="0"/>
          <w:color w:val="000000" w:themeColor="text1"/>
          <w:sz w:val="32"/>
          <w:szCs w:val="32"/>
          <w:u w:val="none" w:color="auto"/>
          <w14:textFill>
            <w14:solidFill>
              <w14:schemeClr w14:val="tx1"/>
            </w14:solidFill>
          </w14:textFill>
        </w:rPr>
        <w:t>推出“法博士”普法微课堂，</w:t>
      </w:r>
      <w:r>
        <w:rPr>
          <w:rFonts w:hint="eastAsia" w:ascii="仿宋_GB2312" w:hAnsi="仿宋_GB2312" w:eastAsia="仿宋_GB2312" w:cs="仿宋_GB2312"/>
          <w:i w:val="0"/>
          <w:iCs w:val="0"/>
          <w:color w:val="000000" w:themeColor="text1"/>
          <w:sz w:val="32"/>
          <w:szCs w:val="32"/>
          <w:u w:val="none" w:color="auto"/>
          <w14:textFill>
            <w14:solidFill>
              <w14:schemeClr w14:val="tx1"/>
            </w14:solidFill>
          </w14:textFill>
        </w:rPr>
        <w:t>阅读点击量累计超1.2亿人次</w:t>
      </w:r>
      <w:r>
        <w:rPr>
          <w:rFonts w:hint="eastAsia" w:ascii="仿宋_GB2312" w:hAnsi="仿宋_GB2312" w:eastAsia="仿宋_GB2312" w:cs="仿宋_GB2312"/>
          <w:bCs/>
          <w:i w:val="0"/>
          <w:iCs w:val="0"/>
          <w:color w:val="000000" w:themeColor="text1"/>
          <w:sz w:val="32"/>
          <w:szCs w:val="32"/>
          <w:u w:val="none" w:color="auto"/>
          <w14:textFill>
            <w14:solidFill>
              <w14:schemeClr w14:val="tx1"/>
            </w14:solidFill>
          </w14:textFill>
        </w:rPr>
        <w:t>。</w:t>
      </w:r>
      <w:r>
        <w:rPr>
          <w:rFonts w:hint="eastAsia" w:ascii="仿宋_GB2312" w:hAnsi="仿宋_GB2312" w:eastAsia="仿宋_GB2312" w:cs="仿宋_GB2312"/>
          <w:bCs/>
          <w:i w:val="0"/>
          <w:iCs w:val="0"/>
          <w:color w:val="000000" w:themeColor="text1"/>
          <w:sz w:val="32"/>
          <w:szCs w:val="32"/>
          <w:u w:val="none" w:color="auto"/>
          <w:lang w:eastAsia="zh-CN"/>
          <w14:textFill>
            <w14:solidFill>
              <w14:schemeClr w14:val="tx1"/>
            </w14:solidFill>
          </w14:textFill>
        </w:rPr>
        <w:t>统筹</w:t>
      </w:r>
      <w:r>
        <w:rPr>
          <w:rFonts w:hint="eastAsia" w:ascii="仿宋_GB2312" w:hAnsi="仿宋_GB2312" w:eastAsia="仿宋_GB2312" w:cs="仿宋_GB2312"/>
          <w:i w:val="0"/>
          <w:iCs w:val="0"/>
          <w:snapToGrid w:val="0"/>
          <w:color w:val="000000" w:themeColor="text1"/>
          <w:sz w:val="32"/>
          <w:szCs w:val="32"/>
          <w:u w:val="none" w:color="auto"/>
          <w14:textFill>
            <w14:solidFill>
              <w14:schemeClr w14:val="tx1"/>
            </w14:solidFill>
          </w14:textFill>
        </w:rPr>
        <w:t>开展“12.4”宪法宣传</w:t>
      </w:r>
      <w:r>
        <w:rPr>
          <w:rFonts w:hint="eastAsia" w:ascii="仿宋_GB2312" w:hAnsi="仿宋_GB2312" w:eastAsia="仿宋_GB2312" w:cs="仿宋_GB2312"/>
          <w:i w:val="0"/>
          <w:iCs w:val="0"/>
          <w:snapToGrid w:val="0"/>
          <w:color w:val="000000" w:themeColor="text1"/>
          <w:sz w:val="32"/>
          <w:szCs w:val="32"/>
          <w:u w:val="none" w:color="auto"/>
          <w:lang w:eastAsia="zh-CN"/>
          <w14:textFill>
            <w14:solidFill>
              <w14:schemeClr w14:val="tx1"/>
            </w14:solidFill>
          </w14:textFill>
        </w:rPr>
        <w:t>周主题活动、</w:t>
      </w:r>
      <w:r>
        <w:rPr>
          <w:rFonts w:hint="eastAsia" w:ascii="仿宋_GB2312" w:hAnsi="仿宋_GB2312" w:eastAsia="仿宋_GB2312" w:cs="仿宋_GB2312"/>
          <w:i w:val="0"/>
          <w:iCs w:val="0"/>
          <w:snapToGrid w:val="0"/>
          <w:color w:val="000000" w:themeColor="text1"/>
          <w:sz w:val="32"/>
          <w:szCs w:val="32"/>
          <w:u w:val="none" w:color="auto"/>
          <w14:textFill>
            <w14:solidFill>
              <w14:schemeClr w14:val="tx1"/>
            </w14:solidFill>
          </w14:textFill>
        </w:rPr>
        <w:t>2021年度“四川十大法治人物”</w:t>
      </w:r>
      <w:r>
        <w:rPr>
          <w:rFonts w:hint="eastAsia" w:ascii="仿宋_GB2312" w:hAnsi="仿宋_GB2312" w:eastAsia="仿宋_GB2312" w:cs="仿宋_GB2312"/>
          <w:i w:val="0"/>
          <w:iCs w:val="0"/>
          <w:snapToGrid w:val="0"/>
          <w:color w:val="000000" w:themeColor="text1"/>
          <w:sz w:val="32"/>
          <w:szCs w:val="32"/>
          <w:u w:val="none" w:color="auto"/>
          <w:lang w:eastAsia="zh-CN"/>
          <w14:textFill>
            <w14:solidFill>
              <w14:schemeClr w14:val="tx1"/>
            </w14:solidFill>
          </w14:textFill>
        </w:rPr>
        <w:t>学习宣传活动，</w:t>
      </w:r>
      <w:r>
        <w:rPr>
          <w:rFonts w:hint="eastAsia" w:ascii="仿宋_GB2312" w:hAnsi="仿宋_GB2312" w:eastAsia="仿宋_GB2312" w:cs="仿宋_GB2312"/>
          <w:i w:val="0"/>
          <w:iCs w:val="0"/>
          <w:snapToGrid w:val="0"/>
          <w:color w:val="000000" w:themeColor="text1"/>
          <w:sz w:val="32"/>
          <w:szCs w:val="32"/>
          <w:u w:val="none" w:color="auto"/>
          <w14:textFill>
            <w14:solidFill>
              <w14:schemeClr w14:val="tx1"/>
            </w14:solidFill>
          </w14:textFill>
        </w:rPr>
        <w:t>公布首批</w:t>
      </w:r>
      <w:r>
        <w:rPr>
          <w:rFonts w:hint="eastAsia" w:ascii="仿宋_GB2312" w:hAnsi="仿宋_GB2312" w:eastAsia="仿宋_GB2312" w:cs="仿宋_GB2312"/>
          <w:i w:val="0"/>
          <w:iCs w:val="0"/>
          <w:color w:val="000000" w:themeColor="text1"/>
          <w:sz w:val="32"/>
          <w:szCs w:val="32"/>
          <w:u w:val="none" w:color="auto"/>
          <w14:textFill>
            <w14:solidFill>
              <w14:schemeClr w14:val="tx1"/>
            </w14:solidFill>
          </w14:textFill>
        </w:rPr>
        <w:t>红色法治文化遗存目录。搭建国家工作人员学法考法平台，举办“党建引领法治”答题打卡活动，参与答题506万余人次</w:t>
      </w:r>
      <w:r>
        <w:rPr>
          <w:rFonts w:hint="eastAsia" w:ascii="仿宋_GB2312" w:hAnsi="仿宋_GB2312" w:eastAsia="仿宋_GB2312" w:cs="仿宋_GB2312"/>
          <w:i w:val="0"/>
          <w:iCs w:val="0"/>
          <w:color w:val="000000" w:themeColor="text1"/>
          <w:sz w:val="32"/>
          <w:szCs w:val="32"/>
          <w:u w:val="none" w:color="auto"/>
          <w:lang w:eastAsia="zh-CN"/>
          <w14:textFill>
            <w14:solidFill>
              <w14:schemeClr w14:val="tx1"/>
            </w14:solidFill>
          </w14:textFill>
        </w:rPr>
        <w:t>。</w:t>
      </w:r>
      <w:r>
        <w:rPr>
          <w:rFonts w:hint="eastAsia" w:ascii="仿宋_GB2312" w:hAnsi="仿宋_GB2312" w:eastAsia="仿宋_GB2312" w:cs="仿宋_GB2312"/>
          <w:i w:val="0"/>
          <w:iCs w:val="0"/>
          <w:color w:val="000000" w:themeColor="text1"/>
          <w:sz w:val="32"/>
          <w:szCs w:val="32"/>
          <w:u w:val="none" w:color="auto"/>
          <w:shd w:val="clear" w:color="auto" w:fill="FFFFFF"/>
          <w14:textFill>
            <w14:solidFill>
              <w14:schemeClr w14:val="tx1"/>
            </w14:solidFill>
          </w14:textFill>
        </w:rPr>
        <w:t>涉藏地区法治宣传教育“百千万”工程经验做法被中央办公厅</w:t>
      </w:r>
      <w:r>
        <w:rPr>
          <w:rFonts w:hint="eastAsia" w:ascii="仿宋_GB2312" w:hAnsi="仿宋_GB2312" w:eastAsia="仿宋_GB2312" w:cs="仿宋_GB2312"/>
          <w:i w:val="0"/>
          <w:iCs w:val="0"/>
          <w:color w:val="000000" w:themeColor="text1"/>
          <w:sz w:val="32"/>
          <w:szCs w:val="32"/>
          <w:u w:val="none" w:color="auto"/>
          <w:shd w:val="clear" w:color="auto" w:fill="FFFFFF"/>
          <w:lang w:eastAsia="zh-CN"/>
          <w14:textFill>
            <w14:solidFill>
              <w14:schemeClr w14:val="tx1"/>
            </w14:solidFill>
          </w14:textFill>
        </w:rPr>
        <w:t>采用</w:t>
      </w:r>
      <w:r>
        <w:rPr>
          <w:rFonts w:hint="eastAsia" w:ascii="仿宋_GB2312" w:hAnsi="仿宋_GB2312" w:eastAsia="仿宋_GB2312" w:cs="仿宋_GB2312"/>
          <w:i w:val="0"/>
          <w:iCs w:val="0"/>
          <w:color w:val="000000" w:themeColor="text1"/>
          <w:sz w:val="32"/>
          <w:szCs w:val="32"/>
          <w:u w:val="none" w:color="auto"/>
          <w:shd w:val="clear" w:color="auto" w:fill="FFFFFF"/>
          <w14:textFill>
            <w14:solidFill>
              <w14:schemeClr w14:val="tx1"/>
            </w14:solidFill>
          </w14:textFill>
        </w:rPr>
        <w:t>。</w:t>
      </w:r>
    </w:p>
    <w:p>
      <w:pPr>
        <w:keepNext w:val="0"/>
        <w:keepLines w:val="0"/>
        <w:pageBreakBefore w:val="0"/>
        <w:widowControl w:val="0"/>
        <w:suppressLineNumbers w:val="0"/>
        <w:kinsoku/>
        <w:wordWrap/>
        <w:overflowPunct/>
        <w:topLinePunct w:val="0"/>
        <w:autoSpaceDE/>
        <w:autoSpaceDN/>
        <w:bidi w:val="0"/>
        <w:adjustRightInd/>
        <w:spacing w:line="600" w:lineRule="exact"/>
        <w:ind w:firstLine="640" w:firstLineChars="200"/>
        <w:jc w:val="both"/>
        <w:textAlignment w:val="auto"/>
        <w:rPr>
          <w:rFonts w:hint="eastAsia" w:ascii="仿宋_GB2312" w:hAnsi="仿宋_GB2312" w:eastAsia="仿宋_GB2312" w:cs="仿宋_GB2312"/>
          <w:i w:val="0"/>
          <w:iCs w:val="0"/>
          <w:color w:val="000000" w:themeColor="text1"/>
          <w:sz w:val="32"/>
          <w:szCs w:val="32"/>
          <w:u w:val="none" w:color="auto"/>
          <w14:textFill>
            <w14:solidFill>
              <w14:schemeClr w14:val="tx1"/>
            </w14:solidFill>
          </w14:textFill>
        </w:rPr>
      </w:pPr>
      <w:r>
        <w:rPr>
          <w:rFonts w:hint="eastAsia" w:ascii="仿宋_GB2312" w:hAnsi="仿宋_GB2312" w:eastAsia="仿宋_GB2312" w:cs="仿宋_GB2312"/>
          <w:b w:val="0"/>
          <w:bCs w:val="0"/>
          <w:i w:val="0"/>
          <w:iCs w:val="0"/>
          <w:color w:val="000000" w:themeColor="text1"/>
          <w:sz w:val="32"/>
          <w:szCs w:val="32"/>
          <w:u w:val="none" w:color="auto"/>
          <w:lang w:val="en-US" w:eastAsia="zh-CN" w:bidi="ar-SA"/>
          <w14:textFill>
            <w14:solidFill>
              <w14:schemeClr w14:val="tx1"/>
            </w14:solidFill>
          </w14:textFill>
        </w:rPr>
        <w:t>二是强化矛盾纠纷多元化解。</w:t>
      </w:r>
      <w:r>
        <w:rPr>
          <w:rFonts w:hint="eastAsia" w:ascii="仿宋_GB2312" w:hAnsi="仿宋_GB2312" w:eastAsia="仿宋_GB2312" w:cs="仿宋_GB2312"/>
          <w:i w:val="0"/>
          <w:iCs w:val="0"/>
          <w:color w:val="000000" w:themeColor="text1"/>
          <w:sz w:val="32"/>
          <w:szCs w:val="32"/>
          <w:u w:val="none" w:color="auto"/>
          <w:lang w:eastAsia="zh-CN"/>
          <w14:textFill>
            <w14:solidFill>
              <w14:schemeClr w14:val="tx1"/>
            </w14:solidFill>
          </w14:textFill>
        </w:rPr>
        <w:t>起草</w:t>
      </w:r>
      <w:r>
        <w:rPr>
          <w:rFonts w:hint="eastAsia" w:ascii="仿宋_GB2312" w:hAnsi="仿宋_GB2312" w:eastAsia="仿宋_GB2312" w:cs="仿宋_GB2312"/>
          <w:i w:val="0"/>
          <w:iCs w:val="0"/>
          <w:color w:val="000000" w:themeColor="text1"/>
          <w:sz w:val="32"/>
          <w:szCs w:val="32"/>
          <w:u w:val="none" w:color="auto"/>
          <w14:textFill>
            <w14:solidFill>
              <w14:schemeClr w14:val="tx1"/>
            </w14:solidFill>
          </w14:textFill>
        </w:rPr>
        <w:t>行政调解工作暂行办法，编撰人民调解工作指导手册，</w:t>
      </w:r>
      <w:r>
        <w:rPr>
          <w:rFonts w:hint="eastAsia" w:ascii="仿宋_GB2312" w:hAnsi="仿宋_GB2312" w:eastAsia="仿宋_GB2312" w:cs="仿宋_GB2312"/>
          <w:i w:val="0"/>
          <w:iCs w:val="0"/>
          <w:color w:val="000000" w:themeColor="text1"/>
          <w:sz w:val="32"/>
          <w:szCs w:val="32"/>
          <w:u w:val="none" w:color="auto"/>
          <w:lang w:eastAsia="zh-CN"/>
          <w14:textFill>
            <w14:solidFill>
              <w14:schemeClr w14:val="tx1"/>
            </w14:solidFill>
          </w14:textFill>
        </w:rPr>
        <w:t>试点</w:t>
      </w:r>
      <w:r>
        <w:rPr>
          <w:rFonts w:hint="eastAsia" w:ascii="仿宋_GB2312" w:hAnsi="仿宋_GB2312" w:eastAsia="仿宋_GB2312" w:cs="仿宋_GB2312"/>
          <w:i w:val="0"/>
          <w:iCs w:val="0"/>
          <w:color w:val="000000" w:themeColor="text1"/>
          <w:sz w:val="32"/>
          <w:szCs w:val="32"/>
          <w:u w:val="none" w:color="auto"/>
          <w14:textFill>
            <w14:solidFill>
              <w14:schemeClr w14:val="tx1"/>
            </w14:solidFill>
          </w14:textFill>
        </w:rPr>
        <w:t>开展政府购买人民调解服务</w:t>
      </w:r>
      <w:r>
        <w:rPr>
          <w:rFonts w:hint="eastAsia" w:ascii="仿宋_GB2312" w:hAnsi="仿宋_GB2312" w:eastAsia="仿宋_GB2312" w:cs="仿宋_GB2312"/>
          <w:i w:val="0"/>
          <w:iCs w:val="0"/>
          <w:color w:val="000000" w:themeColor="text1"/>
          <w:sz w:val="32"/>
          <w:szCs w:val="32"/>
          <w:u w:val="none" w:color="auto"/>
          <w:lang w:eastAsia="zh-CN"/>
          <w14:textFill>
            <w14:solidFill>
              <w14:schemeClr w14:val="tx1"/>
            </w14:solidFill>
          </w14:textFill>
        </w:rPr>
        <w:t>，</w:t>
      </w:r>
      <w:r>
        <w:rPr>
          <w:rFonts w:hint="eastAsia" w:ascii="仿宋_GB2312" w:hAnsi="仿宋_GB2312" w:eastAsia="仿宋_GB2312" w:cs="仿宋_GB2312"/>
          <w:i w:val="0"/>
          <w:iCs w:val="0"/>
          <w:color w:val="000000" w:themeColor="text1"/>
          <w:sz w:val="32"/>
          <w:szCs w:val="32"/>
          <w:u w:val="none" w:color="auto"/>
          <w14:textFill>
            <w14:solidFill>
              <w14:schemeClr w14:val="tx1"/>
            </w14:solidFill>
          </w14:textFill>
        </w:rPr>
        <w:t>命名省级“</w:t>
      </w:r>
      <w:r>
        <w:rPr>
          <w:rFonts w:hint="eastAsia" w:ascii="仿宋_GB2312" w:hAnsi="仿宋_GB2312" w:eastAsia="仿宋_GB2312" w:cs="仿宋_GB2312"/>
          <w:i w:val="0"/>
          <w:iCs w:val="0"/>
          <w:color w:val="000000" w:themeColor="text1"/>
          <w:sz w:val="32"/>
          <w:szCs w:val="32"/>
          <w:u w:val="none" w:color="auto"/>
          <w:lang w:eastAsia="zh-CN"/>
          <w14:textFill>
            <w14:solidFill>
              <w14:schemeClr w14:val="tx1"/>
            </w14:solidFill>
          </w14:textFill>
        </w:rPr>
        <w:t>金</w:t>
      </w:r>
      <w:r>
        <w:rPr>
          <w:rFonts w:hint="eastAsia" w:ascii="仿宋_GB2312" w:hAnsi="仿宋_GB2312" w:eastAsia="仿宋_GB2312" w:cs="仿宋_GB2312"/>
          <w:i w:val="0"/>
          <w:iCs w:val="0"/>
          <w:color w:val="000000" w:themeColor="text1"/>
          <w:sz w:val="32"/>
          <w:szCs w:val="32"/>
          <w:u w:val="none" w:color="auto"/>
          <w14:textFill>
            <w14:solidFill>
              <w14:schemeClr w14:val="tx1"/>
            </w14:solidFill>
          </w14:textFill>
        </w:rPr>
        <w:t>牌调解室”50个。推进建立“调解+”多元解纷机制，</w:t>
      </w:r>
      <w:r>
        <w:rPr>
          <w:rFonts w:hint="eastAsia" w:ascii="仿宋_GB2312" w:hAnsi="仿宋_GB2312" w:eastAsia="仿宋_GB2312" w:cs="仿宋_GB2312"/>
          <w:i w:val="0"/>
          <w:iCs w:val="0"/>
          <w:color w:val="000000" w:themeColor="text1"/>
          <w:sz w:val="32"/>
          <w:szCs w:val="32"/>
          <w:u w:val="none" w:color="auto"/>
          <w:lang w:eastAsia="zh-CN"/>
          <w14:textFill>
            <w14:solidFill>
              <w14:schemeClr w14:val="tx1"/>
            </w14:solidFill>
          </w14:textFill>
        </w:rPr>
        <w:t>深化诉调、检调、警调、访调对接，</w:t>
      </w:r>
      <w:r>
        <w:rPr>
          <w:rFonts w:hint="eastAsia" w:ascii="仿宋_GB2312" w:hAnsi="仿宋_GB2312" w:eastAsia="仿宋_GB2312" w:cs="仿宋_GB2312"/>
          <w:i w:val="0"/>
          <w:iCs w:val="0"/>
          <w:color w:val="000000" w:themeColor="text1"/>
          <w:sz w:val="32"/>
          <w:szCs w:val="32"/>
          <w:u w:val="none" w:color="auto"/>
          <w14:textFill>
            <w14:solidFill>
              <w14:schemeClr w14:val="tx1"/>
            </w14:solidFill>
          </w14:textFill>
        </w:rPr>
        <w:t>全省乡镇、村（居）和15类民生热点领域实现人民调解工作全覆盖。</w:t>
      </w:r>
    </w:p>
    <w:p>
      <w:pPr>
        <w:keepNext w:val="0"/>
        <w:keepLines w:val="0"/>
        <w:pageBreakBefore w:val="0"/>
        <w:widowControl w:val="0"/>
        <w:suppressLineNumbers w:val="0"/>
        <w:kinsoku/>
        <w:wordWrap/>
        <w:overflowPunct/>
        <w:topLinePunct w:val="0"/>
        <w:autoSpaceDE/>
        <w:autoSpaceDN/>
        <w:bidi w:val="0"/>
        <w:adjustRightInd/>
        <w:spacing w:line="600" w:lineRule="exact"/>
        <w:ind w:firstLine="640" w:firstLineChars="200"/>
        <w:jc w:val="both"/>
        <w:textAlignment w:val="auto"/>
        <w:rPr>
          <w:rFonts w:hint="eastAsia" w:ascii="仿宋_GB2312" w:hAnsi="仿宋_GB2312" w:eastAsia="仿宋_GB2312" w:cs="仿宋_GB2312"/>
          <w:i w:val="0"/>
          <w:iCs w:val="0"/>
          <w:color w:val="000000" w:themeColor="text1"/>
          <w:sz w:val="32"/>
          <w:szCs w:val="32"/>
          <w:u w:val="none" w:color="auto"/>
          <w:lang w:eastAsia="zh-CN"/>
          <w14:textFill>
            <w14:solidFill>
              <w14:schemeClr w14:val="tx1"/>
            </w14:solidFill>
          </w14:textFill>
        </w:rPr>
      </w:pPr>
      <w:r>
        <w:rPr>
          <w:rFonts w:hint="eastAsia" w:ascii="仿宋_GB2312" w:hAnsi="仿宋_GB2312" w:eastAsia="仿宋_GB2312" w:cs="仿宋_GB2312"/>
          <w:b w:val="0"/>
          <w:bCs w:val="0"/>
          <w:i w:val="0"/>
          <w:iCs w:val="0"/>
          <w:color w:val="000000" w:themeColor="text1"/>
          <w:sz w:val="32"/>
          <w:szCs w:val="32"/>
          <w:u w:val="none" w:color="auto"/>
          <w:lang w:val="en-US" w:eastAsia="zh-CN" w:bidi="ar-SA"/>
          <w14:textFill>
            <w14:solidFill>
              <w14:schemeClr w14:val="tx1"/>
            </w14:solidFill>
          </w14:textFill>
        </w:rPr>
        <w:t>三是切实做好重点人群服务管理。</w:t>
      </w:r>
      <w:r>
        <w:rPr>
          <w:rFonts w:hint="eastAsia" w:ascii="仿宋_GB2312" w:hAnsi="仿宋_GB2312" w:eastAsia="仿宋_GB2312" w:cs="仿宋_GB2312"/>
          <w:i w:val="0"/>
          <w:iCs w:val="0"/>
          <w:color w:val="000000" w:themeColor="text1"/>
          <w:sz w:val="32"/>
          <w:szCs w:val="32"/>
          <w:u w:val="none" w:color="auto"/>
          <w14:textFill>
            <w14:solidFill>
              <w14:schemeClr w14:val="tx1"/>
            </w14:solidFill>
          </w14:textFill>
        </w:rPr>
        <w:t>切实发挥重点人群组组长单位职能，</w:t>
      </w:r>
      <w:r>
        <w:rPr>
          <w:rFonts w:hint="eastAsia" w:ascii="仿宋_GB2312" w:hAnsi="仿宋_GB2312" w:eastAsia="仿宋_GB2312" w:cs="仿宋_GB2312"/>
          <w:i w:val="0"/>
          <w:iCs w:val="0"/>
          <w:color w:val="000000" w:themeColor="text1"/>
          <w:sz w:val="32"/>
          <w:szCs w:val="32"/>
          <w:u w:val="none" w:color="auto"/>
          <w:lang w:eastAsia="zh"/>
          <w14:textFill>
            <w14:solidFill>
              <w14:schemeClr w14:val="tx1"/>
            </w14:solidFill>
          </w14:textFill>
        </w:rPr>
        <w:t>在全国“两会”、庆祝建党100周年等重点时段安排部署专项</w:t>
      </w:r>
      <w:r>
        <w:rPr>
          <w:rFonts w:hint="eastAsia" w:ascii="仿宋_GB2312" w:hAnsi="仿宋_GB2312" w:eastAsia="仿宋_GB2312" w:cs="仿宋_GB2312"/>
          <w:i w:val="0"/>
          <w:iCs w:val="0"/>
          <w:color w:val="000000" w:themeColor="text1"/>
          <w:sz w:val="32"/>
          <w:szCs w:val="32"/>
          <w:u w:val="none" w:color="auto"/>
          <w:lang w:eastAsia="zh-CN"/>
          <w14:textFill>
            <w14:solidFill>
              <w14:schemeClr w14:val="tx1"/>
            </w14:solidFill>
          </w14:textFill>
        </w:rPr>
        <w:t>排查活动。</w:t>
      </w:r>
    </w:p>
    <w:p>
      <w:pPr>
        <w:keepNext w:val="0"/>
        <w:keepLines w:val="0"/>
        <w:pageBreakBefore w:val="0"/>
        <w:widowControl w:val="0"/>
        <w:suppressLineNumbers w:val="0"/>
        <w:kinsoku/>
        <w:wordWrap/>
        <w:overflowPunct/>
        <w:topLinePunct w:val="0"/>
        <w:autoSpaceDE/>
        <w:autoSpaceDN/>
        <w:bidi w:val="0"/>
        <w:adjustRightInd/>
        <w:spacing w:line="600" w:lineRule="exact"/>
        <w:ind w:firstLine="640" w:firstLineChars="200"/>
        <w:jc w:val="both"/>
        <w:textAlignment w:val="auto"/>
        <w:rPr>
          <w:rFonts w:hint="eastAsia" w:ascii="仿宋_GB2312" w:hAnsi="仿宋_GB2312" w:eastAsia="仿宋_GB2312" w:cs="仿宋_GB2312"/>
          <w:i w:val="0"/>
          <w:iCs w:val="0"/>
          <w:color w:val="000000" w:themeColor="text1"/>
          <w:sz w:val="32"/>
          <w:szCs w:val="32"/>
          <w:u w:val="none" w:color="auto"/>
          <w:lang w:val="en-US" w:eastAsia="zh-CN"/>
          <w14:textFill>
            <w14:solidFill>
              <w14:schemeClr w14:val="tx1"/>
            </w14:solidFill>
          </w14:textFill>
        </w:rPr>
      </w:pPr>
      <w:r>
        <w:rPr>
          <w:rFonts w:hint="eastAsia" w:ascii="仿宋_GB2312" w:hAnsi="仿宋_GB2312" w:eastAsia="仿宋_GB2312" w:cs="仿宋_GB2312"/>
          <w:b w:val="0"/>
          <w:bCs w:val="0"/>
          <w:i w:val="0"/>
          <w:iCs w:val="0"/>
          <w:color w:val="000000" w:themeColor="text1"/>
          <w:sz w:val="32"/>
          <w:szCs w:val="32"/>
          <w:u w:val="none" w:color="auto"/>
          <w:lang w:val="en-US" w:eastAsia="zh-CN" w:bidi="ar-SA"/>
          <w14:textFill>
            <w14:solidFill>
              <w14:schemeClr w14:val="tx1"/>
            </w14:solidFill>
          </w14:textFill>
        </w:rPr>
        <w:t>四是抓实抓牢安全生产。</w:t>
      </w:r>
      <w:r>
        <w:rPr>
          <w:rFonts w:hint="eastAsia" w:ascii="仿宋_GB2312" w:hAnsi="仿宋_GB2312" w:eastAsia="仿宋_GB2312" w:cs="仿宋_GB2312"/>
          <w:i w:val="0"/>
          <w:iCs w:val="0"/>
          <w:color w:val="000000" w:themeColor="text1"/>
          <w:sz w:val="32"/>
          <w:szCs w:val="32"/>
          <w:u w:val="none" w:color="auto"/>
          <w:lang w:val="en-US" w:eastAsia="zh-CN"/>
          <w14:textFill>
            <w14:solidFill>
              <w14:schemeClr w14:val="tx1"/>
            </w14:solidFill>
          </w14:textFill>
        </w:rPr>
        <w:t>组织开展新修订的安全生产法集中宣传月活动，联合推动设立我省森林草原防灭火警示日。出台安全生产责任清单（2.0版），建立安全生产“两书一函”制度，全系统未发生重大以上安全责任事故。</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eastAsia" w:ascii="仿宋_GB2312" w:hAnsi="仿宋_GB2312" w:eastAsia="仿宋_GB2312" w:cs="仿宋_GB2312"/>
          <w:b w:val="0"/>
          <w:bCs w:val="0"/>
          <w:i w:val="0"/>
          <w:iCs w:val="0"/>
          <w:color w:val="000000" w:themeColor="text1"/>
          <w:kern w:val="2"/>
          <w:sz w:val="32"/>
          <w:szCs w:val="32"/>
          <w:u w:val="none" w:color="auto"/>
          <w:lang w:val="zh-CN" w:eastAsia="zh-CN" w:bidi="ar-SA"/>
          <w14:textFill>
            <w14:solidFill>
              <w14:schemeClr w14:val="tx1"/>
            </w14:solidFill>
          </w14:textFill>
        </w:rPr>
      </w:pPr>
      <w:r>
        <w:rPr>
          <w:rFonts w:hint="eastAsia" w:ascii="仿宋_GB2312" w:hAnsi="仿宋_GB2312" w:eastAsia="仿宋_GB2312" w:cs="仿宋_GB2312"/>
          <w:b w:val="0"/>
          <w:bCs w:val="0"/>
          <w:i w:val="0"/>
          <w:iCs w:val="0"/>
          <w:color w:val="000000" w:themeColor="text1"/>
          <w:kern w:val="2"/>
          <w:sz w:val="32"/>
          <w:szCs w:val="32"/>
          <w:u w:val="none" w:color="auto"/>
          <w:lang w:val="en-US" w:eastAsia="zh-CN" w:bidi="ar-SA"/>
          <w14:textFill>
            <w14:solidFill>
              <w14:schemeClr w14:val="tx1"/>
            </w14:solidFill>
          </w14:textFill>
        </w:rPr>
        <w:t>6.持续优化法律服务供给</w:t>
      </w:r>
    </w:p>
    <w:p>
      <w:pPr>
        <w:pStyle w:val="7"/>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i w:val="0"/>
          <w:iCs w:val="0"/>
          <w:color w:val="000000" w:themeColor="text1"/>
          <w:sz w:val="32"/>
          <w:szCs w:val="32"/>
          <w:u w:val="none" w:color="auto"/>
          <w:lang w:eastAsia="zh-CN"/>
          <w14:textFill>
            <w14:solidFill>
              <w14:schemeClr w14:val="tx1"/>
            </w14:solidFill>
          </w14:textFill>
        </w:rPr>
      </w:pPr>
      <w:r>
        <w:rPr>
          <w:rFonts w:hint="eastAsia" w:ascii="仿宋_GB2312" w:hAnsi="仿宋_GB2312" w:eastAsia="仿宋_GB2312" w:cs="仿宋_GB2312"/>
          <w:b w:val="0"/>
          <w:bCs w:val="0"/>
          <w:i w:val="0"/>
          <w:iCs w:val="0"/>
          <w:color w:val="000000" w:themeColor="text1"/>
          <w:kern w:val="2"/>
          <w:sz w:val="32"/>
          <w:szCs w:val="32"/>
          <w:u w:val="none" w:color="auto"/>
          <w:lang w:val="zh-CN" w:eastAsia="zh-CN" w:bidi="ar-SA"/>
          <w14:textFill>
            <w14:solidFill>
              <w14:schemeClr w14:val="tx1"/>
            </w14:solidFill>
          </w14:textFill>
        </w:rPr>
        <w:t>一是健全公共法律服务体系。</w:t>
      </w:r>
      <w:r>
        <w:rPr>
          <w:rFonts w:hint="eastAsia" w:ascii="仿宋_GB2312" w:hAnsi="仿宋_GB2312" w:eastAsia="仿宋_GB2312" w:cs="仿宋_GB2312"/>
          <w:i w:val="0"/>
          <w:iCs w:val="0"/>
          <w:color w:val="000000" w:themeColor="text1"/>
          <w:sz w:val="32"/>
          <w:szCs w:val="32"/>
          <w:u w:val="none" w:color="auto"/>
          <w:lang w:val="zh-CN" w:eastAsia="zh-CN"/>
          <w14:textFill>
            <w14:solidFill>
              <w14:schemeClr w14:val="tx1"/>
            </w14:solidFill>
          </w14:textFill>
        </w:rPr>
        <w:t>编制全省“十四五”公共法律服务体系建设规划，建成基层公共法律服务中心（站、室）39542个，</w:t>
      </w:r>
      <w:r>
        <w:rPr>
          <w:rFonts w:hint="eastAsia" w:ascii="仿宋_GB2312" w:hAnsi="仿宋_GB2312" w:eastAsia="仿宋_GB2312" w:cs="仿宋_GB2312"/>
          <w:i w:val="0"/>
          <w:iCs w:val="0"/>
          <w:color w:val="000000" w:themeColor="text1"/>
          <w:sz w:val="32"/>
          <w:szCs w:val="32"/>
          <w:u w:val="none" w:color="auto"/>
          <w14:textFill>
            <w14:solidFill>
              <w14:schemeClr w14:val="tx1"/>
            </w14:solidFill>
          </w14:textFill>
        </w:rPr>
        <w:t>上线运行新版“12348四川法网”</w:t>
      </w:r>
      <w:r>
        <w:rPr>
          <w:rFonts w:hint="eastAsia" w:ascii="仿宋_GB2312" w:hAnsi="仿宋_GB2312" w:eastAsia="仿宋_GB2312" w:cs="仿宋_GB2312"/>
          <w:i w:val="0"/>
          <w:iCs w:val="0"/>
          <w:color w:val="000000" w:themeColor="text1"/>
          <w:sz w:val="32"/>
          <w:szCs w:val="32"/>
          <w:u w:val="none" w:color="auto"/>
          <w:lang w:eastAsia="zh-CN"/>
          <w14:textFill>
            <w14:solidFill>
              <w14:schemeClr w14:val="tx1"/>
            </w14:solidFill>
          </w14:textFill>
        </w:rPr>
        <w:t>，“</w:t>
      </w:r>
      <w:r>
        <w:rPr>
          <w:rFonts w:hint="eastAsia" w:ascii="仿宋_GB2312" w:hAnsi="仿宋_GB2312" w:eastAsia="仿宋_GB2312" w:cs="仿宋_GB2312"/>
          <w:i w:val="0"/>
          <w:iCs w:val="0"/>
          <w:color w:val="000000" w:themeColor="text1"/>
          <w:sz w:val="32"/>
          <w:szCs w:val="32"/>
          <w:u w:val="none" w:color="auto"/>
          <w14:textFill>
            <w14:solidFill>
              <w14:schemeClr w14:val="tx1"/>
            </w14:solidFill>
          </w14:textFill>
        </w:rPr>
        <w:t>三大平台</w:t>
      </w:r>
      <w:r>
        <w:rPr>
          <w:rFonts w:hint="eastAsia" w:ascii="仿宋_GB2312" w:hAnsi="仿宋_GB2312" w:eastAsia="仿宋_GB2312" w:cs="仿宋_GB2312"/>
          <w:i w:val="0"/>
          <w:iCs w:val="0"/>
          <w:color w:val="000000" w:themeColor="text1"/>
          <w:sz w:val="32"/>
          <w:szCs w:val="32"/>
          <w:u w:val="none" w:color="auto"/>
          <w:lang w:eastAsia="zh-CN"/>
          <w14:textFill>
            <w14:solidFill>
              <w14:schemeClr w14:val="tx1"/>
            </w14:solidFill>
          </w14:textFill>
        </w:rPr>
        <w:t>”</w:t>
      </w:r>
      <w:r>
        <w:rPr>
          <w:rFonts w:hint="eastAsia" w:ascii="仿宋_GB2312" w:hAnsi="仿宋_GB2312" w:eastAsia="仿宋_GB2312" w:cs="仿宋_GB2312"/>
          <w:i w:val="0"/>
          <w:iCs w:val="0"/>
          <w:color w:val="000000" w:themeColor="text1"/>
          <w:sz w:val="32"/>
          <w:szCs w:val="32"/>
          <w:u w:val="none" w:color="auto"/>
          <w14:textFill>
            <w14:solidFill>
              <w14:schemeClr w14:val="tx1"/>
            </w14:solidFill>
          </w14:textFill>
        </w:rPr>
        <w:t>共提供接待咨询服务</w:t>
      </w:r>
      <w:r>
        <w:rPr>
          <w:rFonts w:hint="eastAsia" w:ascii="仿宋_GB2312" w:hAnsi="仿宋_GB2312" w:eastAsia="仿宋_GB2312" w:cs="仿宋_GB2312"/>
          <w:i w:val="0"/>
          <w:iCs w:val="0"/>
          <w:color w:val="000000" w:themeColor="text1"/>
          <w:sz w:val="32"/>
          <w:szCs w:val="32"/>
          <w:u w:val="none" w:color="auto"/>
          <w:lang w:val="en-US" w:eastAsia="zh-CN"/>
          <w14:textFill>
            <w14:solidFill>
              <w14:schemeClr w14:val="tx1"/>
            </w14:solidFill>
          </w14:textFill>
        </w:rPr>
        <w:t>86</w:t>
      </w:r>
      <w:r>
        <w:rPr>
          <w:rFonts w:hint="eastAsia" w:ascii="仿宋_GB2312" w:hAnsi="仿宋_GB2312" w:eastAsia="仿宋_GB2312" w:cs="仿宋_GB2312"/>
          <w:i w:val="0"/>
          <w:iCs w:val="0"/>
          <w:color w:val="000000" w:themeColor="text1"/>
          <w:sz w:val="32"/>
          <w:szCs w:val="32"/>
          <w:u w:val="none" w:color="auto"/>
          <w:lang w:eastAsia="zh-CN"/>
          <w14:textFill>
            <w14:solidFill>
              <w14:schemeClr w14:val="tx1"/>
            </w14:solidFill>
          </w14:textFill>
        </w:rPr>
        <w:t>万</w:t>
      </w:r>
      <w:r>
        <w:rPr>
          <w:rFonts w:hint="eastAsia" w:ascii="仿宋_GB2312" w:hAnsi="仿宋_GB2312" w:eastAsia="仿宋_GB2312" w:cs="仿宋_GB2312"/>
          <w:i w:val="0"/>
          <w:iCs w:val="0"/>
          <w:color w:val="000000" w:themeColor="text1"/>
          <w:sz w:val="32"/>
          <w:szCs w:val="32"/>
          <w:u w:val="none" w:color="auto"/>
          <w14:textFill>
            <w14:solidFill>
              <w14:schemeClr w14:val="tx1"/>
            </w14:solidFill>
          </w14:textFill>
        </w:rPr>
        <w:t>人次。积极拓展公共法律服务领域，搭建知识产权协同保护“一站式”平台和金融消费纠纷非诉机制</w:t>
      </w:r>
      <w:r>
        <w:rPr>
          <w:rFonts w:hint="eastAsia" w:ascii="仿宋_GB2312" w:hAnsi="仿宋_GB2312" w:eastAsia="仿宋_GB2312" w:cs="仿宋_GB2312"/>
          <w:i w:val="0"/>
          <w:iCs w:val="0"/>
          <w:color w:val="000000" w:themeColor="text1"/>
          <w:sz w:val="32"/>
          <w:szCs w:val="32"/>
          <w:u w:val="none" w:color="auto"/>
          <w:lang w:eastAsia="zh-CN"/>
          <w14:textFill>
            <w14:solidFill>
              <w14:schemeClr w14:val="tx1"/>
            </w14:solidFill>
          </w14:textFill>
        </w:rPr>
        <w:t>。律师、公证、仲裁、司法鉴定行业健康发展。</w:t>
      </w:r>
    </w:p>
    <w:p>
      <w:pPr>
        <w:pStyle w:val="7"/>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i w:val="0"/>
          <w:iCs w:val="0"/>
          <w:color w:val="000000" w:themeColor="text1"/>
          <w:sz w:val="32"/>
          <w:szCs w:val="32"/>
          <w:u w:val="none" w:color="auto"/>
          <w:lang w:val="en-US" w:eastAsia="zh-CN"/>
          <w14:textFill>
            <w14:solidFill>
              <w14:schemeClr w14:val="tx1"/>
            </w14:solidFill>
          </w14:textFill>
        </w:rPr>
      </w:pPr>
      <w:r>
        <w:rPr>
          <w:rFonts w:hint="eastAsia" w:ascii="仿宋_GB2312" w:hAnsi="仿宋_GB2312" w:eastAsia="仿宋_GB2312" w:cs="仿宋_GB2312"/>
          <w:b w:val="0"/>
          <w:bCs w:val="0"/>
          <w:i w:val="0"/>
          <w:iCs w:val="0"/>
          <w:color w:val="000000" w:themeColor="text1"/>
          <w:kern w:val="2"/>
          <w:sz w:val="32"/>
          <w:szCs w:val="32"/>
          <w:u w:val="none" w:color="auto"/>
          <w:lang w:val="zh-CN" w:eastAsia="zh-CN" w:bidi="ar-SA"/>
          <w14:textFill>
            <w14:solidFill>
              <w14:schemeClr w14:val="tx1"/>
            </w14:solidFill>
          </w14:textFill>
        </w:rPr>
        <w:t>二是抓实法律援助民生实事。</w:t>
      </w:r>
      <w:r>
        <w:rPr>
          <w:rFonts w:hint="eastAsia" w:ascii="仿宋_GB2312" w:hAnsi="仿宋_GB2312" w:eastAsia="仿宋_GB2312" w:cs="仿宋_GB2312"/>
          <w:i w:val="0"/>
          <w:iCs w:val="0"/>
          <w:color w:val="000000" w:themeColor="text1"/>
          <w:sz w:val="32"/>
          <w:szCs w:val="32"/>
          <w:u w:val="none" w:color="auto"/>
          <w:lang w:val="zh-CN" w:eastAsia="zh-CN"/>
          <w14:textFill>
            <w14:solidFill>
              <w14:schemeClr w14:val="tx1"/>
            </w14:solidFill>
          </w14:textFill>
        </w:rPr>
        <w:t>推</w:t>
      </w:r>
      <w:r>
        <w:rPr>
          <w:rFonts w:hint="eastAsia" w:ascii="仿宋_GB2312" w:hAnsi="仿宋_GB2312" w:eastAsia="仿宋_GB2312" w:cs="仿宋_GB2312"/>
          <w:i w:val="0"/>
          <w:iCs w:val="0"/>
          <w:color w:val="000000" w:themeColor="text1"/>
          <w:sz w:val="32"/>
          <w:szCs w:val="32"/>
          <w:u w:val="none" w:color="auto"/>
          <w14:textFill>
            <w14:solidFill>
              <w14:schemeClr w14:val="tx1"/>
            </w14:solidFill>
          </w14:textFill>
        </w:rPr>
        <w:t>动将法律援助纳入</w:t>
      </w:r>
      <w:r>
        <w:rPr>
          <w:rFonts w:hint="eastAsia" w:ascii="仿宋_GB2312" w:hAnsi="仿宋_GB2312" w:eastAsia="仿宋_GB2312" w:cs="仿宋_GB2312"/>
          <w:i w:val="0"/>
          <w:iCs w:val="0"/>
          <w:color w:val="000000" w:themeColor="text1"/>
          <w:sz w:val="32"/>
          <w:szCs w:val="32"/>
          <w:u w:val="none" w:color="auto"/>
          <w:lang w:eastAsia="zh-CN"/>
          <w14:textFill>
            <w14:solidFill>
              <w14:schemeClr w14:val="tx1"/>
            </w14:solidFill>
          </w14:textFill>
        </w:rPr>
        <w:t>全省</w:t>
      </w:r>
      <w:r>
        <w:rPr>
          <w:rFonts w:hint="eastAsia" w:ascii="仿宋_GB2312" w:hAnsi="仿宋_GB2312" w:eastAsia="仿宋_GB2312" w:cs="仿宋_GB2312"/>
          <w:i w:val="0"/>
          <w:iCs w:val="0"/>
          <w:color w:val="000000" w:themeColor="text1"/>
          <w:sz w:val="32"/>
          <w:szCs w:val="32"/>
          <w:u w:val="none" w:color="auto"/>
          <w:lang w:val="en-US" w:eastAsia="zh-CN"/>
          <w14:textFill>
            <w14:solidFill>
              <w14:schemeClr w14:val="tx1"/>
            </w14:solidFill>
          </w14:textFill>
        </w:rPr>
        <w:t>30件</w:t>
      </w:r>
      <w:r>
        <w:rPr>
          <w:rFonts w:hint="eastAsia" w:ascii="仿宋_GB2312" w:hAnsi="仿宋_GB2312" w:eastAsia="仿宋_GB2312" w:cs="仿宋_GB2312"/>
          <w:i w:val="0"/>
          <w:iCs w:val="0"/>
          <w:color w:val="000000" w:themeColor="text1"/>
          <w:sz w:val="32"/>
          <w:szCs w:val="32"/>
          <w:u w:val="none" w:color="auto"/>
          <w14:textFill>
            <w14:solidFill>
              <w14:schemeClr w14:val="tx1"/>
            </w14:solidFill>
          </w14:textFill>
        </w:rPr>
        <w:t>民生实事，</w:t>
      </w:r>
      <w:r>
        <w:rPr>
          <w:rFonts w:hint="eastAsia" w:ascii="仿宋_GB2312" w:hAnsi="仿宋_GB2312" w:eastAsia="仿宋_GB2312" w:cs="仿宋_GB2312"/>
          <w:i w:val="0"/>
          <w:iCs w:val="0"/>
          <w:color w:val="000000" w:themeColor="text1"/>
          <w:sz w:val="32"/>
          <w:szCs w:val="32"/>
          <w:u w:val="none" w:color="auto"/>
          <w:lang w:val="en-US" w:eastAsia="zh-CN"/>
          <w14:textFill>
            <w14:solidFill>
              <w14:schemeClr w14:val="tx1"/>
            </w14:solidFill>
          </w14:textFill>
        </w:rPr>
        <w:t>出台</w:t>
      </w:r>
      <w:r>
        <w:rPr>
          <w:rFonts w:hint="eastAsia" w:ascii="仿宋_GB2312" w:hAnsi="仿宋_GB2312" w:eastAsia="仿宋_GB2312" w:cs="仿宋_GB2312"/>
          <w:i w:val="0"/>
          <w:iCs w:val="0"/>
          <w:color w:val="000000" w:themeColor="text1"/>
          <w:sz w:val="32"/>
          <w:szCs w:val="32"/>
          <w:u w:val="none" w:color="auto"/>
          <w:lang w:eastAsia="zh-CN"/>
          <w14:textFill>
            <w14:solidFill>
              <w14:schemeClr w14:val="tx1"/>
            </w14:solidFill>
          </w14:textFill>
        </w:rPr>
        <w:t>刑事、民事、行政法律援助案件质量评估标准，累计办理法律援助案件</w:t>
      </w:r>
      <w:r>
        <w:rPr>
          <w:rFonts w:hint="eastAsia" w:ascii="仿宋_GB2312" w:hAnsi="仿宋_GB2312" w:eastAsia="仿宋_GB2312" w:cs="仿宋_GB2312"/>
          <w:i w:val="0"/>
          <w:iCs w:val="0"/>
          <w:color w:val="000000" w:themeColor="text1"/>
          <w:sz w:val="32"/>
          <w:szCs w:val="32"/>
          <w:u w:val="none" w:color="auto"/>
          <w:lang w:val="en-US" w:eastAsia="zh-CN"/>
          <w14:textFill>
            <w14:solidFill>
              <w14:schemeClr w14:val="tx1"/>
            </w14:solidFill>
          </w14:textFill>
        </w:rPr>
        <w:t>6.3</w:t>
      </w:r>
      <w:r>
        <w:rPr>
          <w:rFonts w:hint="eastAsia" w:ascii="仿宋_GB2312" w:hAnsi="仿宋_GB2312" w:eastAsia="仿宋_GB2312" w:cs="仿宋_GB2312"/>
          <w:i w:val="0"/>
          <w:iCs w:val="0"/>
          <w:color w:val="000000" w:themeColor="text1"/>
          <w:sz w:val="32"/>
          <w:szCs w:val="32"/>
          <w:u w:val="none" w:color="auto"/>
          <w:lang w:eastAsia="zh-CN"/>
          <w14:textFill>
            <w14:solidFill>
              <w14:schemeClr w14:val="tx1"/>
            </w14:solidFill>
          </w14:textFill>
        </w:rPr>
        <w:t>万余件，</w:t>
      </w:r>
      <w:r>
        <w:rPr>
          <w:rFonts w:hint="eastAsia" w:ascii="仿宋_GB2312" w:hAnsi="仿宋_GB2312" w:eastAsia="仿宋_GB2312" w:cs="仿宋_GB2312"/>
          <w:i w:val="0"/>
          <w:iCs w:val="0"/>
          <w:color w:val="000000" w:themeColor="text1"/>
          <w:sz w:val="32"/>
          <w:szCs w:val="32"/>
          <w:u w:val="none" w:color="auto"/>
          <w:lang w:val="en-US" w:eastAsia="zh-CN"/>
          <w14:textFill>
            <w14:solidFill>
              <w14:schemeClr w14:val="tx1"/>
            </w14:solidFill>
          </w14:textFill>
        </w:rPr>
        <w:t>民事法援案件优良率排名全国第二。积极参与“春风行动”，开展“尊法守法・携手筑梦”服务农民工公益法律服务行动，累计为农民工讨回欠薪、挽回经济损失4.6亿余元。</w:t>
      </w:r>
    </w:p>
    <w:p>
      <w:pPr>
        <w:pStyle w:val="7"/>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仿宋_GB2312" w:eastAsia="仿宋_GB2312" w:cs="仿宋_GB2312"/>
          <w:i w:val="0"/>
          <w:iCs w:val="0"/>
          <w:color w:val="000000" w:themeColor="text1"/>
          <w:sz w:val="32"/>
          <w:szCs w:val="32"/>
          <w:u w:val="none" w:color="auto"/>
          <w:lang w:val="en-US" w:eastAsia="zh-CN"/>
          <w14:textFill>
            <w14:solidFill>
              <w14:schemeClr w14:val="tx1"/>
            </w14:solidFill>
          </w14:textFill>
        </w:rPr>
      </w:pPr>
      <w:r>
        <w:rPr>
          <w:rFonts w:hint="eastAsia" w:ascii="仿宋_GB2312" w:hAnsi="仿宋_GB2312" w:eastAsia="仿宋_GB2312" w:cs="仿宋_GB2312"/>
          <w:b w:val="0"/>
          <w:bCs w:val="0"/>
          <w:i w:val="0"/>
          <w:iCs w:val="0"/>
          <w:color w:val="000000" w:themeColor="text1"/>
          <w:kern w:val="2"/>
          <w:sz w:val="32"/>
          <w:szCs w:val="32"/>
          <w:u w:val="none" w:color="auto"/>
          <w:lang w:val="en-US" w:eastAsia="zh-CN" w:bidi="ar-SA"/>
          <w14:textFill>
            <w14:solidFill>
              <w14:schemeClr w14:val="tx1"/>
            </w14:solidFill>
          </w14:textFill>
        </w:rPr>
        <w:t>三是圆满完成“法考”工作。</w:t>
      </w:r>
      <w:r>
        <w:rPr>
          <w:rFonts w:hint="eastAsia" w:ascii="仿宋_GB2312" w:hAnsi="仿宋_GB2312" w:eastAsia="仿宋_GB2312" w:cs="仿宋_GB2312"/>
          <w:i w:val="0"/>
          <w:iCs w:val="0"/>
          <w:color w:val="000000" w:themeColor="text1"/>
          <w:sz w:val="32"/>
          <w:szCs w:val="32"/>
          <w:u w:val="none" w:color="auto"/>
          <w:lang w:val="en-US" w:eastAsia="zh-CN"/>
          <w14:textFill>
            <w14:solidFill>
              <w14:schemeClr w14:val="tx1"/>
            </w14:solidFill>
          </w14:textFill>
        </w:rPr>
        <w:t>有力应对点状疫情突发影响，印发《法考突发情况处置培训实施方案》《四川省2021年国家统一法律职业资格考试新冠肺炎疫情防控工作方案》，编制全流程26项工作导引，高质量完成年度组考任务，受到司法部肯定。</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jc w:val="both"/>
        <w:textAlignment w:val="auto"/>
        <w:rPr>
          <w:rFonts w:hint="eastAsia" w:ascii="仿宋_GB2312" w:hAnsi="仿宋_GB2312" w:eastAsia="仿宋_GB2312" w:cs="仿宋_GB2312"/>
          <w:b w:val="0"/>
          <w:bCs w:val="0"/>
          <w:i w:val="0"/>
          <w:iCs w:val="0"/>
          <w:color w:val="000000" w:themeColor="text1"/>
          <w:spacing w:val="-4"/>
          <w:sz w:val="32"/>
          <w:szCs w:val="32"/>
          <w:u w:val="none" w:color="auto"/>
          <w:lang w:val="en-US" w:eastAsia="zh-CN"/>
          <w14:textFill>
            <w14:solidFill>
              <w14:schemeClr w14:val="tx1"/>
            </w14:solidFill>
          </w14:textFill>
        </w:rPr>
      </w:pPr>
      <w:r>
        <w:rPr>
          <w:rFonts w:hint="eastAsia" w:ascii="仿宋_GB2312" w:hAnsi="仿宋_GB2312" w:eastAsia="仿宋_GB2312" w:cs="仿宋_GB2312"/>
          <w:b w:val="0"/>
          <w:bCs w:val="0"/>
          <w:i w:val="0"/>
          <w:iCs w:val="0"/>
          <w:color w:val="000000" w:themeColor="text1"/>
          <w:spacing w:val="-4"/>
          <w:sz w:val="32"/>
          <w:szCs w:val="32"/>
          <w:u w:val="none" w:color="auto"/>
          <w:lang w:val="en-US" w:eastAsia="zh-CN"/>
          <w14:textFill>
            <w14:solidFill>
              <w14:schemeClr w14:val="tx1"/>
            </w14:solidFill>
          </w14:textFill>
        </w:rPr>
        <w:t>7.全面加强班子队伍建设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i w:val="0"/>
          <w:iCs w:val="0"/>
          <w:color w:val="000000" w:themeColor="text1"/>
          <w:spacing w:val="-4"/>
          <w:sz w:val="32"/>
          <w:szCs w:val="32"/>
          <w:u w:val="none" w:color="auto"/>
          <w:lang w:val="en-US" w:eastAsia="zh-CN"/>
          <w14:textFill>
            <w14:solidFill>
              <w14:schemeClr w14:val="tx1"/>
            </w14:solidFill>
          </w14:textFill>
        </w:rPr>
      </w:pPr>
      <w:r>
        <w:rPr>
          <w:rFonts w:hint="eastAsia" w:ascii="仿宋_GB2312" w:hAnsi="仿宋_GB2312" w:eastAsia="仿宋_GB2312" w:cs="仿宋_GB2312"/>
          <w:b w:val="0"/>
          <w:bCs w:val="0"/>
          <w:i w:val="0"/>
          <w:iCs w:val="0"/>
          <w:color w:val="000000" w:themeColor="text1"/>
          <w:kern w:val="2"/>
          <w:sz w:val="32"/>
          <w:szCs w:val="32"/>
          <w:u w:val="none" w:color="auto"/>
          <w:lang w:val="en-US" w:eastAsia="zh-CN" w:bidi="ar-SA"/>
          <w14:textFill>
            <w14:solidFill>
              <w14:schemeClr w14:val="tx1"/>
            </w14:solidFill>
          </w14:textFill>
        </w:rPr>
        <w:t>一是深入开展党史学习教育。</w:t>
      </w:r>
      <w:r>
        <w:rPr>
          <w:rFonts w:hint="eastAsia" w:ascii="仿宋_GB2312" w:hAnsi="仿宋_GB2312" w:eastAsia="仿宋_GB2312" w:cs="仿宋_GB2312"/>
          <w:b w:val="0"/>
          <w:bCs w:val="0"/>
          <w:i w:val="0"/>
          <w:iCs w:val="0"/>
          <w:color w:val="000000" w:themeColor="text1"/>
          <w:spacing w:val="-4"/>
          <w:sz w:val="32"/>
          <w:szCs w:val="32"/>
          <w:u w:val="none" w:color="auto"/>
          <w:lang w:val="en-US" w:eastAsia="zh-CN"/>
          <w14:textFill>
            <w14:solidFill>
              <w14:schemeClr w14:val="tx1"/>
            </w14:solidFill>
          </w14:textFill>
        </w:rPr>
        <w:t>聚焦“</w:t>
      </w:r>
      <w:r>
        <w:rPr>
          <w:rFonts w:hint="eastAsia" w:ascii="仿宋_GB2312" w:hAnsi="仿宋_GB2312" w:eastAsia="仿宋_GB2312" w:cs="仿宋_GB2312"/>
          <w:b w:val="0"/>
          <w:bCs w:val="0"/>
          <w:i w:val="0"/>
          <w:iCs w:val="0"/>
          <w:color w:val="000000" w:themeColor="text1"/>
          <w:spacing w:val="-4"/>
          <w:sz w:val="32"/>
          <w:szCs w:val="32"/>
          <w:u w:val="none" w:color="auto"/>
          <w:lang w:val="en-US" w:eastAsia="zh-CN"/>
          <w14:textFill>
            <w14:solidFill>
              <w14:schemeClr w14:val="tx1"/>
            </w14:solidFill>
          </w14:textFill>
        </w:rPr>
        <w:fldChar w:fldCharType="begin"/>
      </w:r>
      <w:r>
        <w:rPr>
          <w:rFonts w:hint="eastAsia" w:ascii="仿宋_GB2312" w:hAnsi="仿宋_GB2312" w:eastAsia="仿宋_GB2312" w:cs="仿宋_GB2312"/>
          <w:b w:val="0"/>
          <w:bCs w:val="0"/>
          <w:i w:val="0"/>
          <w:iCs w:val="0"/>
          <w:color w:val="000000" w:themeColor="text1"/>
          <w:spacing w:val="-4"/>
          <w:sz w:val="32"/>
          <w:szCs w:val="32"/>
          <w:u w:val="none" w:color="auto"/>
          <w:lang w:val="en-US" w:eastAsia="zh-CN"/>
          <w14:textFill>
            <w14:solidFill>
              <w14:schemeClr w14:val="tx1"/>
            </w14:solidFill>
          </w14:textFill>
        </w:rPr>
        <w:instrText xml:space="preserve"> HYPERLINK "https://www.so.com/link?m=bEBpWt3UP+GmXHe164rPQZBaaobXjFyv7IRirRXsfiuo/W2swcTM7yaKaSk9SWBw7bXHO0vpyQAjfVTpaNUEzRVpTtpeBhWAFWXVSNhn9YWfLMtcUWS9UM2p9uxNteOULD21bSfS6mI534j83XjAQL4GqZPwRgcIIqdkjmPfFeC5fTDs9CJU6+hOl6RpHl6Bwn4I2KCwXmroIZ8GLuIEV4v/64m/MZKPe" \t "https://www.so.com/_blank" </w:instrText>
      </w:r>
      <w:r>
        <w:rPr>
          <w:rFonts w:hint="eastAsia" w:ascii="仿宋_GB2312" w:hAnsi="仿宋_GB2312" w:eastAsia="仿宋_GB2312" w:cs="仿宋_GB2312"/>
          <w:b w:val="0"/>
          <w:bCs w:val="0"/>
          <w:i w:val="0"/>
          <w:iCs w:val="0"/>
          <w:color w:val="000000" w:themeColor="text1"/>
          <w:spacing w:val="-4"/>
          <w:sz w:val="32"/>
          <w:szCs w:val="32"/>
          <w:u w:val="none" w:color="auto"/>
          <w:lang w:val="en-US" w:eastAsia="zh-CN"/>
          <w14:textFill>
            <w14:solidFill>
              <w14:schemeClr w14:val="tx1"/>
            </w14:solidFill>
          </w14:textFill>
        </w:rPr>
        <w:fldChar w:fldCharType="separate"/>
      </w:r>
      <w:r>
        <w:rPr>
          <w:rFonts w:hint="eastAsia" w:ascii="仿宋_GB2312" w:hAnsi="仿宋_GB2312" w:eastAsia="仿宋_GB2312" w:cs="仿宋_GB2312"/>
          <w:b w:val="0"/>
          <w:bCs w:val="0"/>
          <w:i w:val="0"/>
          <w:iCs w:val="0"/>
          <w:color w:val="000000" w:themeColor="text1"/>
          <w:spacing w:val="-4"/>
          <w:sz w:val="32"/>
          <w:szCs w:val="32"/>
          <w:u w:val="none" w:color="auto"/>
          <w:lang w:val="en-US" w:eastAsia="zh-CN"/>
          <w14:textFill>
            <w14:solidFill>
              <w14:schemeClr w14:val="tx1"/>
            </w14:solidFill>
          </w14:textFill>
        </w:rPr>
        <w:t>学党史、悟思想、办实事、开新局</w:t>
      </w:r>
      <w:r>
        <w:rPr>
          <w:rFonts w:hint="eastAsia" w:ascii="仿宋_GB2312" w:hAnsi="仿宋_GB2312" w:eastAsia="仿宋_GB2312" w:cs="仿宋_GB2312"/>
          <w:b w:val="0"/>
          <w:bCs w:val="0"/>
          <w:i w:val="0"/>
          <w:iCs w:val="0"/>
          <w:color w:val="000000" w:themeColor="text1"/>
          <w:spacing w:val="-4"/>
          <w:sz w:val="32"/>
          <w:szCs w:val="32"/>
          <w:u w:val="none" w:color="auto"/>
          <w:lang w:val="en-US" w:eastAsia="zh-CN"/>
          <w14:textFill>
            <w14:solidFill>
              <w14:schemeClr w14:val="tx1"/>
            </w14:solidFill>
          </w14:textFill>
        </w:rPr>
        <w:fldChar w:fldCharType="end"/>
      </w:r>
      <w:r>
        <w:rPr>
          <w:rFonts w:hint="eastAsia" w:ascii="仿宋_GB2312" w:hAnsi="仿宋_GB2312" w:eastAsia="仿宋_GB2312" w:cs="仿宋_GB2312"/>
          <w:b w:val="0"/>
          <w:bCs w:val="0"/>
          <w:i w:val="0"/>
          <w:iCs w:val="0"/>
          <w:color w:val="000000" w:themeColor="text1"/>
          <w:spacing w:val="-4"/>
          <w:sz w:val="32"/>
          <w:szCs w:val="32"/>
          <w:u w:val="none" w:color="auto"/>
          <w:lang w:val="en-US" w:eastAsia="zh-CN"/>
          <w14:textFill>
            <w14:solidFill>
              <w14:schemeClr w14:val="tx1"/>
            </w14:solidFill>
          </w14:textFill>
        </w:rPr>
        <w:t>”，以学习习近平总书记“七一”重要讲话精神、党的十九届六中全会精神、“四史”专题学习为重点，组织开展“八个100”主题活动，创新推出“1+4”专题课程、“12+12”网络课程、“1+8”网络微课程，累计参学2.5万人。创新实施“我为群众办实事十心工程”，完成民生事项179项，为群众办实事11万余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i w:val="0"/>
          <w:iCs w:val="0"/>
          <w:color w:val="000000" w:themeColor="text1"/>
          <w:spacing w:val="-4"/>
          <w:sz w:val="32"/>
          <w:szCs w:val="32"/>
          <w:u w:val="none" w:color="auto"/>
          <w:lang w:val="en-US" w:eastAsia="zh-CN"/>
          <w14:textFill>
            <w14:solidFill>
              <w14:schemeClr w14:val="tx1"/>
            </w14:solidFill>
          </w14:textFill>
        </w:rPr>
      </w:pPr>
      <w:r>
        <w:rPr>
          <w:rFonts w:hint="eastAsia" w:ascii="仿宋_GB2312" w:hAnsi="仿宋_GB2312" w:eastAsia="仿宋_GB2312" w:cs="仿宋_GB2312"/>
          <w:b w:val="0"/>
          <w:bCs w:val="0"/>
          <w:i w:val="0"/>
          <w:iCs w:val="0"/>
          <w:color w:val="000000" w:themeColor="text1"/>
          <w:kern w:val="2"/>
          <w:sz w:val="32"/>
          <w:szCs w:val="32"/>
          <w:u w:val="none" w:color="auto"/>
          <w:lang w:val="en-US" w:eastAsia="zh-CN" w:bidi="ar-SA"/>
          <w14:textFill>
            <w14:solidFill>
              <w14:schemeClr w14:val="tx1"/>
            </w14:solidFill>
          </w14:textFill>
        </w:rPr>
        <w:t>二是扎实开展队伍教育整顿。</w:t>
      </w:r>
      <w:r>
        <w:rPr>
          <w:rFonts w:hint="eastAsia" w:ascii="仿宋_GB2312" w:hAnsi="仿宋_GB2312" w:eastAsia="仿宋_GB2312" w:cs="仿宋_GB2312"/>
          <w:b w:val="0"/>
          <w:bCs w:val="0"/>
          <w:i w:val="0"/>
          <w:iCs w:val="0"/>
          <w:color w:val="000000" w:themeColor="text1"/>
          <w:spacing w:val="-4"/>
          <w:sz w:val="32"/>
          <w:szCs w:val="32"/>
          <w:u w:val="none" w:color="auto"/>
          <w:lang w:val="en-US" w:eastAsia="zh-CN"/>
          <w14:textFill>
            <w14:solidFill>
              <w14:schemeClr w14:val="tx1"/>
            </w14:solidFill>
          </w14:textFill>
        </w:rPr>
        <w:t>以政法队伍教育整顿为牵引，一体推进律师、公证和司法鉴定行业专项治理。坚决肃清流毒影响，清除害群之马，排查整改顽瘴痼疾3610个，建立健全各项制度1667项，搭建起覆盖全业务的岗位风险防控体系。通过教育整顿，全系统政治生态进一步优化、纪律作风进一步好转、素质能力进一步增强、执法司法公信力进一步提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i w:val="0"/>
          <w:iCs w:val="0"/>
          <w:color w:val="000000" w:themeColor="text1"/>
          <w:spacing w:val="-4"/>
          <w:sz w:val="32"/>
          <w:szCs w:val="32"/>
          <w:u w:val="none" w:color="auto"/>
          <w:lang w:val="en-US" w:eastAsia="zh-CN"/>
          <w14:textFill>
            <w14:solidFill>
              <w14:schemeClr w14:val="tx1"/>
            </w14:solidFill>
          </w14:textFill>
        </w:rPr>
      </w:pPr>
      <w:r>
        <w:rPr>
          <w:rFonts w:hint="eastAsia" w:ascii="仿宋_GB2312" w:hAnsi="仿宋_GB2312" w:eastAsia="仿宋_GB2312" w:cs="仿宋_GB2312"/>
          <w:b w:val="0"/>
          <w:bCs w:val="0"/>
          <w:i w:val="0"/>
          <w:iCs w:val="0"/>
          <w:color w:val="000000" w:themeColor="text1"/>
          <w:kern w:val="2"/>
          <w:sz w:val="32"/>
          <w:szCs w:val="32"/>
          <w:u w:val="none" w:color="auto"/>
          <w:lang w:val="en-US" w:eastAsia="zh-CN" w:bidi="ar-SA"/>
          <w14:textFill>
            <w14:solidFill>
              <w14:schemeClr w14:val="tx1"/>
            </w14:solidFill>
          </w14:textFill>
        </w:rPr>
        <w:t>三是全面从严治党管警。</w:t>
      </w:r>
      <w:r>
        <w:rPr>
          <w:rFonts w:hint="eastAsia" w:ascii="仿宋_GB2312" w:hAnsi="仿宋_GB2312" w:eastAsia="仿宋_GB2312" w:cs="仿宋_GB2312"/>
          <w:b w:val="0"/>
          <w:bCs w:val="0"/>
          <w:i w:val="0"/>
          <w:iCs w:val="0"/>
          <w:color w:val="000000" w:themeColor="text1"/>
          <w:spacing w:val="-4"/>
          <w:sz w:val="32"/>
          <w:szCs w:val="32"/>
          <w:u w:val="none" w:color="auto"/>
          <w:lang w:val="en-US" w:eastAsia="zh-CN"/>
          <w14:textFill>
            <w14:solidFill>
              <w14:schemeClr w14:val="tx1"/>
            </w14:solidFill>
          </w14:textFill>
        </w:rPr>
        <w:t>研究制定全省司法行政领导班子建设规划，制发机关纪律作风“十严格十严禁”、机关干警“八小时外”监督管理办法、暖警爱警“十条措施”，编制岗位风险防控管理工作手册，构建“严管厚爱”的制度机制。健全完善政治轮训实施细则，分层分类开展政治轮训36710人次。</w:t>
      </w:r>
      <w:r>
        <w:rPr>
          <w:rFonts w:hint="eastAsia" w:ascii="仿宋_GB2312" w:hAnsi="仿宋_GB2312" w:eastAsia="仿宋_GB2312" w:cs="仿宋_GB2312"/>
          <w:b w:val="0"/>
          <w:bCs w:val="0"/>
          <w:i w:val="0"/>
          <w:iCs w:val="0"/>
          <w:color w:val="000000" w:themeColor="text1"/>
          <w:sz w:val="32"/>
          <w:szCs w:val="32"/>
          <w:u w:val="none" w:color="auto"/>
          <w:lang w:val="en-US" w:eastAsia="zh-CN"/>
          <w14:textFill>
            <w14:solidFill>
              <w14:schemeClr w14:val="tx1"/>
            </w14:solidFill>
          </w14:textFill>
        </w:rPr>
        <w:t>全年</w:t>
      </w:r>
      <w:r>
        <w:rPr>
          <w:rFonts w:hint="eastAsia" w:ascii="仿宋_GB2312" w:hAnsi="仿宋_GB2312" w:eastAsia="仿宋_GB2312" w:cs="仿宋_GB2312"/>
          <w:b w:val="0"/>
          <w:bCs w:val="0"/>
          <w:i w:val="0"/>
          <w:iCs w:val="0"/>
          <w:color w:val="000000" w:themeColor="text1"/>
          <w:sz w:val="32"/>
          <w:szCs w:val="32"/>
          <w:u w:val="none" w:color="auto"/>
          <w:lang w:val="zh-CN" w:eastAsia="zh-CN"/>
          <w14:textFill>
            <w14:solidFill>
              <w14:schemeClr w14:val="tx1"/>
            </w14:solidFill>
          </w14:textFill>
        </w:rPr>
        <w:t>全系统</w:t>
      </w:r>
      <w:r>
        <w:rPr>
          <w:rFonts w:hint="eastAsia" w:ascii="仿宋_GB2312" w:hAnsi="仿宋_GB2312" w:eastAsia="仿宋_GB2312" w:cs="仿宋_GB2312"/>
          <w:b w:val="0"/>
          <w:bCs w:val="0"/>
          <w:i w:val="0"/>
          <w:iCs w:val="0"/>
          <w:color w:val="000000" w:themeColor="text1"/>
          <w:sz w:val="32"/>
          <w:szCs w:val="32"/>
          <w:u w:val="none" w:color="auto"/>
          <w:lang w:val="en-US" w:eastAsia="zh-CN"/>
          <w14:textFill>
            <w14:solidFill>
              <w14:schemeClr w14:val="tx1"/>
            </w14:solidFill>
          </w14:textFill>
        </w:rPr>
        <w:t>2</w:t>
      </w:r>
      <w:r>
        <w:rPr>
          <w:rFonts w:hint="eastAsia" w:ascii="仿宋_GB2312" w:hAnsi="仿宋_GB2312" w:eastAsia="仿宋_GB2312" w:cs="仿宋_GB2312"/>
          <w:i w:val="0"/>
          <w:iCs w:val="0"/>
          <w:color w:val="000000" w:themeColor="text1"/>
          <w:sz w:val="32"/>
          <w:szCs w:val="40"/>
          <w:u w:val="none" w:color="auto"/>
          <w:lang w:val="en-US" w:eastAsia="zh-CN"/>
          <w14:textFill>
            <w14:solidFill>
              <w14:schemeClr w14:val="tx1"/>
            </w14:solidFill>
          </w14:textFill>
        </w:rPr>
        <w:t>06个集体、663名个人获得省部级及以上表彰表扬和记功奖励。</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0"/>
        <w:jc w:val="both"/>
        <w:textAlignment w:val="auto"/>
        <w:rPr>
          <w:rFonts w:hint="eastAsia" w:ascii="仿宋_GB2312" w:hAnsi="仿宋_GB2312" w:eastAsia="仿宋_GB2312" w:cs="仿宋_GB2312"/>
          <w:bCs/>
          <w:i w:val="0"/>
          <w:iCs w:val="0"/>
          <w:color w:val="000000" w:themeColor="text1"/>
          <w:sz w:val="32"/>
          <w:szCs w:val="32"/>
          <w:highlight w:val="none"/>
          <w:u w:val="none" w:color="auto"/>
          <w14:textFill>
            <w14:solidFill>
              <w14:schemeClr w14:val="tx1"/>
            </w14:solidFill>
          </w14:textFill>
        </w:rPr>
      </w:pPr>
      <w:r>
        <w:rPr>
          <w:rFonts w:hint="eastAsia" w:ascii="仿宋_GB2312" w:hAnsi="仿宋_GB2312" w:eastAsia="仿宋_GB2312" w:cs="仿宋_GB2312"/>
          <w:b w:val="0"/>
          <w:bCs w:val="0"/>
          <w:i w:val="0"/>
          <w:iCs w:val="0"/>
          <w:color w:val="000000" w:themeColor="text1"/>
          <w:sz w:val="32"/>
          <w:szCs w:val="32"/>
          <w:u w:val="none" w:color="auto"/>
          <w:lang w:val="en-US" w:eastAsia="zh-CN"/>
          <w14:textFill>
            <w14:solidFill>
              <w14:schemeClr w14:val="tx1"/>
            </w14:solidFill>
          </w14:textFill>
        </w:rPr>
        <w:t>2022年是全面落实“十四五”规划的关键之年，也是全省司法行政系统“五年三步走”的发展跨越之年。司法厅将牢牢把握“稳字当头、稳中求进”的工作主基调，围绕贯彻省委、省政府决策部署，“重落实、善督导，强聚合、抓集成，促跨越、争一流”，全面加强思想政治建设，全面贯彻落实法治建设系列规划，全面提升多元解纷协同能力，助推建设更高水平法治四川、平安四川，以优异成绩向党的二十大献礼。</w:t>
      </w:r>
    </w:p>
    <w:p>
      <w:pPr>
        <w:pStyle w:val="2"/>
        <w:keepNext w:val="0"/>
        <w:keepLines w:val="0"/>
        <w:pageBreakBefore w:val="0"/>
        <w:widowControl w:val="0"/>
        <w:kinsoku/>
        <w:wordWrap/>
        <w:overflowPunct/>
        <w:topLinePunct w:val="0"/>
        <w:autoSpaceDE/>
        <w:autoSpaceDN/>
        <w:bidi w:val="0"/>
        <w:spacing w:before="0" w:after="0" w:line="600" w:lineRule="exact"/>
        <w:ind w:firstLine="640" w:firstLineChars="200"/>
        <w:jc w:val="both"/>
        <w:rPr>
          <w:rStyle w:val="27"/>
          <w:rFonts w:hint="eastAsia" w:ascii="黑体" w:hAnsi="黑体" w:eastAsia="黑体" w:cs="黑体"/>
          <w:b w:val="0"/>
          <w:bCs w:val="0"/>
          <w:i w:val="0"/>
          <w:iCs w:val="0"/>
          <w:color w:val="000000" w:themeColor="text1"/>
          <w:highlight w:val="none"/>
          <w:u w:val="none" w:color="auto"/>
          <w14:textFill>
            <w14:solidFill>
              <w14:schemeClr w14:val="tx1"/>
            </w14:solidFill>
          </w14:textFill>
        </w:rPr>
      </w:pPr>
      <w:bookmarkStart w:id="20" w:name="_Toc15396601"/>
      <w:bookmarkStart w:id="21" w:name="_Toc15377200"/>
      <w:r>
        <w:rPr>
          <w:rFonts w:hint="eastAsia" w:ascii="黑体" w:hAnsi="黑体" w:eastAsia="黑体" w:cs="黑体"/>
          <w:b w:val="0"/>
          <w:i w:val="0"/>
          <w:iCs w:val="0"/>
          <w:color w:val="000000" w:themeColor="text1"/>
          <w:highlight w:val="none"/>
          <w:u w:val="none" w:color="auto"/>
          <w14:textFill>
            <w14:solidFill>
              <w14:schemeClr w14:val="tx1"/>
            </w14:solidFill>
          </w14:textFill>
        </w:rPr>
        <w:t>二、机</w:t>
      </w:r>
      <w:r>
        <w:rPr>
          <w:rStyle w:val="27"/>
          <w:rFonts w:hint="eastAsia" w:ascii="黑体" w:hAnsi="黑体" w:eastAsia="黑体" w:cs="黑体"/>
          <w:b w:val="0"/>
          <w:bCs w:val="0"/>
          <w:i w:val="0"/>
          <w:iCs w:val="0"/>
          <w:color w:val="000000" w:themeColor="text1"/>
          <w:highlight w:val="none"/>
          <w:u w:val="none" w:color="auto"/>
          <w14:textFill>
            <w14:solidFill>
              <w14:schemeClr w14:val="tx1"/>
            </w14:solidFill>
          </w14:textFill>
        </w:rPr>
        <w:t>构设置</w:t>
      </w:r>
      <w:bookmarkEnd w:id="20"/>
      <w:bookmarkEnd w:id="21"/>
    </w:p>
    <w:p>
      <w:pPr>
        <w:keepNext w:val="0"/>
        <w:keepLines w:val="0"/>
        <w:pageBreakBefore w:val="0"/>
        <w:widowControl w:val="0"/>
        <w:numPr>
          <w:ilvl w:val="0"/>
          <w:numId w:val="0"/>
        </w:numPr>
        <w:shd w:val="clear" w:color="auto" w:fill="FFFFFF"/>
        <w:kinsoku/>
        <w:wordWrap/>
        <w:overflowPunct/>
        <w:topLinePunct w:val="0"/>
        <w:autoSpaceDE/>
        <w:autoSpaceDN/>
        <w:bidi w:val="0"/>
        <w:spacing w:line="600" w:lineRule="exact"/>
        <w:ind w:firstLine="640" w:firstLineChars="200"/>
        <w:jc w:val="both"/>
        <w:rPr>
          <w:rFonts w:hint="eastAsia" w:ascii="仿宋_GB2312" w:hAnsi="仿宋_GB2312" w:eastAsia="仿宋_GB2312" w:cs="仿宋_GB2312"/>
          <w:i w:val="0"/>
          <w:iCs w:val="0"/>
          <w:color w:val="000000" w:themeColor="text1"/>
          <w:sz w:val="32"/>
          <w:szCs w:val="30"/>
          <w:u w:val="none" w:color="auto"/>
          <w:lang w:val="en-GB" w:eastAsia="zh-CN"/>
          <w14:textFill>
            <w14:solidFill>
              <w14:schemeClr w14:val="tx1"/>
            </w14:solidFill>
          </w14:textFill>
        </w:rPr>
      </w:pPr>
      <w:r>
        <w:rPr>
          <w:rFonts w:hint="eastAsia" w:ascii="仿宋_GB2312" w:hAnsi="仿宋_GB2312" w:eastAsia="仿宋_GB2312" w:cs="仿宋_GB2312"/>
          <w:i w:val="0"/>
          <w:iCs w:val="0"/>
          <w:color w:val="000000" w:themeColor="text1"/>
          <w:sz w:val="32"/>
          <w:szCs w:val="30"/>
          <w:u w:val="none" w:color="auto"/>
          <w:lang w:val="en-GB"/>
          <w14:textFill>
            <w14:solidFill>
              <w14:schemeClr w14:val="tx1"/>
            </w14:solidFill>
          </w14:textFill>
        </w:rPr>
        <w:t>四川省司法厅</w:t>
      </w:r>
      <w:r>
        <w:rPr>
          <w:rFonts w:hint="eastAsia" w:ascii="仿宋_GB2312" w:hAnsi="仿宋_GB2312" w:eastAsia="仿宋_GB2312" w:cs="仿宋_GB2312"/>
          <w:i w:val="0"/>
          <w:iCs w:val="0"/>
          <w:color w:val="000000" w:themeColor="text1"/>
          <w:sz w:val="32"/>
          <w:szCs w:val="32"/>
          <w:u w:val="none" w:color="auto"/>
          <w14:textFill>
            <w14:solidFill>
              <w14:schemeClr w14:val="tx1"/>
            </w14:solidFill>
          </w14:textFill>
        </w:rPr>
        <w:t>下属二级预算单位</w:t>
      </w:r>
      <w:r>
        <w:rPr>
          <w:rFonts w:hint="eastAsia" w:ascii="仿宋_GB2312" w:hAnsi="仿宋_GB2312" w:eastAsia="仿宋_GB2312" w:cs="仿宋_GB2312"/>
          <w:bCs/>
          <w:i w:val="0"/>
          <w:iCs w:val="0"/>
          <w:color w:val="000000" w:themeColor="text1"/>
          <w:sz w:val="32"/>
          <w:szCs w:val="32"/>
          <w:u w:val="none" w:color="auto"/>
          <w:lang w:val="en-US" w:eastAsia="zh-CN"/>
          <w14:textFill>
            <w14:solidFill>
              <w14:schemeClr w14:val="tx1"/>
            </w14:solidFill>
          </w14:textFill>
        </w:rPr>
        <w:t>4</w:t>
      </w:r>
      <w:r>
        <w:rPr>
          <w:rFonts w:hint="eastAsia" w:ascii="仿宋_GB2312" w:hAnsi="仿宋_GB2312" w:eastAsia="仿宋_GB2312" w:cs="仿宋_GB2312"/>
          <w:i w:val="0"/>
          <w:iCs w:val="0"/>
          <w:color w:val="000000" w:themeColor="text1"/>
          <w:sz w:val="32"/>
          <w:szCs w:val="32"/>
          <w:u w:val="none" w:color="auto"/>
          <w14:textFill>
            <w14:solidFill>
              <w14:schemeClr w14:val="tx1"/>
            </w14:solidFill>
          </w14:textFill>
        </w:rPr>
        <w:t>个，其中行政单位</w:t>
      </w:r>
      <w:r>
        <w:rPr>
          <w:rFonts w:hint="eastAsia" w:ascii="仿宋_GB2312" w:hAnsi="仿宋_GB2312" w:eastAsia="仿宋_GB2312" w:cs="仿宋_GB2312"/>
          <w:bCs/>
          <w:i w:val="0"/>
          <w:iCs w:val="0"/>
          <w:color w:val="000000" w:themeColor="text1"/>
          <w:sz w:val="32"/>
          <w:szCs w:val="32"/>
          <w:u w:val="none" w:color="auto"/>
          <w:lang w:val="en-US" w:eastAsia="zh-CN"/>
          <w14:textFill>
            <w14:solidFill>
              <w14:schemeClr w14:val="tx1"/>
            </w14:solidFill>
          </w14:textFill>
        </w:rPr>
        <w:t>2</w:t>
      </w:r>
      <w:r>
        <w:rPr>
          <w:rFonts w:hint="eastAsia" w:ascii="仿宋_GB2312" w:hAnsi="仿宋_GB2312" w:eastAsia="仿宋_GB2312" w:cs="仿宋_GB2312"/>
          <w:i w:val="0"/>
          <w:iCs w:val="0"/>
          <w:color w:val="000000" w:themeColor="text1"/>
          <w:sz w:val="32"/>
          <w:szCs w:val="32"/>
          <w:u w:val="none" w:color="auto"/>
          <w14:textFill>
            <w14:solidFill>
              <w14:schemeClr w14:val="tx1"/>
            </w14:solidFill>
          </w14:textFill>
        </w:rPr>
        <w:t>个，参照公务员法管理的</w:t>
      </w:r>
      <w:r>
        <w:rPr>
          <w:rFonts w:hint="eastAsia" w:ascii="仿宋_GB2312" w:hAnsi="仿宋_GB2312" w:eastAsia="仿宋_GB2312" w:cs="仿宋_GB2312"/>
          <w:i w:val="0"/>
          <w:iCs w:val="0"/>
          <w:color w:val="000000" w:themeColor="text1"/>
          <w:sz w:val="32"/>
          <w:szCs w:val="32"/>
          <w:u w:val="none" w:color="auto"/>
          <w:lang w:eastAsia="zh-CN"/>
          <w14:textFill>
            <w14:solidFill>
              <w14:schemeClr w14:val="tx1"/>
            </w14:solidFill>
          </w14:textFill>
        </w:rPr>
        <w:t>行政事业单位</w:t>
      </w:r>
      <w:r>
        <w:rPr>
          <w:rFonts w:hint="eastAsia" w:ascii="仿宋_GB2312" w:hAnsi="仿宋_GB2312" w:eastAsia="仿宋_GB2312" w:cs="仿宋_GB2312"/>
          <w:bCs/>
          <w:i w:val="0"/>
          <w:iCs w:val="0"/>
          <w:color w:val="000000" w:themeColor="text1"/>
          <w:sz w:val="32"/>
          <w:szCs w:val="32"/>
          <w:u w:val="none" w:color="auto"/>
          <w:lang w:val="en-US" w:eastAsia="zh-CN"/>
          <w14:textFill>
            <w14:solidFill>
              <w14:schemeClr w14:val="tx1"/>
            </w14:solidFill>
          </w14:textFill>
        </w:rPr>
        <w:t>1</w:t>
      </w:r>
      <w:r>
        <w:rPr>
          <w:rFonts w:hint="eastAsia" w:ascii="仿宋_GB2312" w:hAnsi="仿宋_GB2312" w:eastAsia="仿宋_GB2312" w:cs="仿宋_GB2312"/>
          <w:i w:val="0"/>
          <w:iCs w:val="0"/>
          <w:color w:val="000000" w:themeColor="text1"/>
          <w:sz w:val="32"/>
          <w:szCs w:val="32"/>
          <w:u w:val="none" w:color="auto"/>
          <w14:textFill>
            <w14:solidFill>
              <w14:schemeClr w14:val="tx1"/>
            </w14:solidFill>
          </w14:textFill>
        </w:rPr>
        <w:t>个，其他</w:t>
      </w:r>
      <w:r>
        <w:rPr>
          <w:rFonts w:hint="eastAsia" w:ascii="仿宋_GB2312" w:hAnsi="仿宋_GB2312" w:eastAsia="仿宋_GB2312" w:cs="仿宋_GB2312"/>
          <w:i w:val="0"/>
          <w:iCs w:val="0"/>
          <w:color w:val="000000" w:themeColor="text1"/>
          <w:sz w:val="32"/>
          <w:szCs w:val="32"/>
          <w:u w:val="none" w:color="auto"/>
          <w:lang w:eastAsia="zh-CN"/>
          <w14:textFill>
            <w14:solidFill>
              <w14:schemeClr w14:val="tx1"/>
            </w14:solidFill>
          </w14:textFill>
        </w:rPr>
        <w:t>行政事业单位</w:t>
      </w:r>
      <w:r>
        <w:rPr>
          <w:rFonts w:hint="eastAsia" w:ascii="仿宋_GB2312" w:hAnsi="仿宋_GB2312" w:eastAsia="仿宋_GB2312" w:cs="仿宋_GB2312"/>
          <w:bCs/>
          <w:i w:val="0"/>
          <w:iCs w:val="0"/>
          <w:color w:val="000000" w:themeColor="text1"/>
          <w:sz w:val="32"/>
          <w:szCs w:val="32"/>
          <w:u w:val="none" w:color="auto"/>
          <w:lang w:val="en-US" w:eastAsia="zh-CN"/>
          <w14:textFill>
            <w14:solidFill>
              <w14:schemeClr w14:val="tx1"/>
            </w14:solidFill>
          </w14:textFill>
        </w:rPr>
        <w:t>1</w:t>
      </w:r>
      <w:r>
        <w:rPr>
          <w:rFonts w:hint="eastAsia" w:ascii="仿宋_GB2312" w:hAnsi="仿宋_GB2312" w:eastAsia="仿宋_GB2312" w:cs="仿宋_GB2312"/>
          <w:i w:val="0"/>
          <w:iCs w:val="0"/>
          <w:color w:val="000000" w:themeColor="text1"/>
          <w:sz w:val="32"/>
          <w:szCs w:val="32"/>
          <w:u w:val="none" w:color="auto"/>
          <w14:textFill>
            <w14:solidFill>
              <w14:schemeClr w14:val="tx1"/>
            </w14:solidFill>
          </w14:textFill>
        </w:rPr>
        <w:t>个。</w:t>
      </w:r>
    </w:p>
    <w:p>
      <w:pPr>
        <w:keepNext w:val="0"/>
        <w:keepLines w:val="0"/>
        <w:pageBreakBefore w:val="0"/>
        <w:widowControl w:val="0"/>
        <w:numPr>
          <w:ilvl w:val="0"/>
          <w:numId w:val="0"/>
        </w:numPr>
        <w:shd w:val="clear" w:color="auto" w:fill="FFFFFF"/>
        <w:kinsoku/>
        <w:wordWrap/>
        <w:overflowPunct/>
        <w:topLinePunct w:val="0"/>
        <w:autoSpaceDE/>
        <w:autoSpaceDN/>
        <w:bidi w:val="0"/>
        <w:spacing w:line="600" w:lineRule="exact"/>
        <w:ind w:firstLine="640" w:firstLineChars="200"/>
        <w:jc w:val="both"/>
        <w:rPr>
          <w:rFonts w:hint="eastAsia" w:ascii="仿宋_GB2312" w:hAnsi="仿宋_GB2312" w:eastAsia="仿宋_GB2312" w:cs="仿宋_GB2312"/>
          <w:i w:val="0"/>
          <w:iCs w:val="0"/>
          <w:color w:val="000000" w:themeColor="text1"/>
          <w:sz w:val="32"/>
          <w:szCs w:val="30"/>
          <w:u w:val="none" w:color="auto"/>
          <w:lang w:val="en-US" w:eastAsia="zh-CN"/>
          <w14:textFill>
            <w14:solidFill>
              <w14:schemeClr w14:val="tx1"/>
            </w14:solidFill>
          </w14:textFill>
        </w:rPr>
      </w:pPr>
      <w:r>
        <w:rPr>
          <w:rFonts w:hint="eastAsia" w:ascii="仿宋_GB2312" w:hAnsi="仿宋_GB2312" w:eastAsia="仿宋_GB2312" w:cs="仿宋_GB2312"/>
          <w:i w:val="0"/>
          <w:iCs w:val="0"/>
          <w:color w:val="000000" w:themeColor="text1"/>
          <w:sz w:val="32"/>
          <w:szCs w:val="32"/>
          <w:u w:val="none" w:color="auto"/>
          <w14:textFill>
            <w14:solidFill>
              <w14:schemeClr w14:val="tx1"/>
            </w14:solidFill>
          </w14:textFill>
        </w:rPr>
        <w:t>纳入四川省</w:t>
      </w:r>
      <w:r>
        <w:rPr>
          <w:rFonts w:hint="eastAsia" w:ascii="仿宋_GB2312" w:hAnsi="仿宋_GB2312" w:eastAsia="仿宋_GB2312" w:cs="仿宋_GB2312"/>
          <w:i w:val="0"/>
          <w:iCs w:val="0"/>
          <w:color w:val="000000" w:themeColor="text1"/>
          <w:sz w:val="32"/>
          <w:szCs w:val="32"/>
          <w:u w:val="none" w:color="auto"/>
          <w:lang w:eastAsia="zh-CN"/>
          <w14:textFill>
            <w14:solidFill>
              <w14:schemeClr w14:val="tx1"/>
            </w14:solidFill>
          </w14:textFill>
        </w:rPr>
        <w:t>司法厅</w:t>
      </w:r>
      <w:r>
        <w:rPr>
          <w:rFonts w:hint="eastAsia" w:ascii="仿宋_GB2312" w:hAnsi="仿宋_GB2312" w:eastAsia="仿宋_GB2312" w:cs="仿宋_GB2312"/>
          <w:i w:val="0"/>
          <w:iCs w:val="0"/>
          <w:color w:val="000000" w:themeColor="text1"/>
          <w:sz w:val="32"/>
          <w:szCs w:val="32"/>
          <w:u w:val="none" w:color="auto"/>
          <w14:textFill>
            <w14:solidFill>
              <w14:schemeClr w14:val="tx1"/>
            </w14:solidFill>
          </w14:textFill>
        </w:rPr>
        <w:t>202</w:t>
      </w:r>
      <w:r>
        <w:rPr>
          <w:rFonts w:hint="eastAsia" w:ascii="仿宋_GB2312" w:hAnsi="仿宋_GB2312" w:eastAsia="仿宋_GB2312" w:cs="仿宋_GB2312"/>
          <w:i w:val="0"/>
          <w:iCs w:val="0"/>
          <w:color w:val="000000" w:themeColor="text1"/>
          <w:sz w:val="32"/>
          <w:szCs w:val="32"/>
          <w:u w:val="none" w:color="auto"/>
          <w:lang w:val="en-US" w:eastAsia="zh-CN"/>
          <w14:textFill>
            <w14:solidFill>
              <w14:schemeClr w14:val="tx1"/>
            </w14:solidFill>
          </w14:textFill>
        </w:rPr>
        <w:t>1</w:t>
      </w:r>
      <w:r>
        <w:rPr>
          <w:rFonts w:hint="eastAsia" w:ascii="仿宋_GB2312" w:hAnsi="仿宋_GB2312" w:eastAsia="仿宋_GB2312" w:cs="仿宋_GB2312"/>
          <w:i w:val="0"/>
          <w:iCs w:val="0"/>
          <w:color w:val="000000" w:themeColor="text1"/>
          <w:sz w:val="32"/>
          <w:szCs w:val="32"/>
          <w:u w:val="none" w:color="auto"/>
          <w14:textFill>
            <w14:solidFill>
              <w14:schemeClr w14:val="tx1"/>
            </w14:solidFill>
          </w14:textFill>
        </w:rPr>
        <w:t>年度部门决算编制范围的二级预算单位包括：</w:t>
      </w:r>
    </w:p>
    <w:p>
      <w:pPr>
        <w:keepNext w:val="0"/>
        <w:keepLines w:val="0"/>
        <w:pageBreakBefore w:val="0"/>
        <w:widowControl w:val="0"/>
        <w:kinsoku/>
        <w:wordWrap/>
        <w:overflowPunct/>
        <w:topLinePunct w:val="0"/>
        <w:autoSpaceDE/>
        <w:autoSpaceDN/>
        <w:bidi w:val="0"/>
        <w:spacing w:line="600" w:lineRule="exact"/>
        <w:ind w:firstLine="800" w:firstLineChars="250"/>
        <w:jc w:val="both"/>
        <w:rPr>
          <w:rFonts w:hint="eastAsia" w:ascii="仿宋_GB2312" w:hAnsi="仿宋_GB2312" w:eastAsia="仿宋_GB2312" w:cs="仿宋_GB2312"/>
          <w:i w:val="0"/>
          <w:iCs w:val="0"/>
          <w:color w:val="000000" w:themeColor="text1"/>
          <w:sz w:val="32"/>
          <w:szCs w:val="32"/>
          <w:highlight w:val="none"/>
          <w:u w:val="none" w:color="auto"/>
          <w14:textFill>
            <w14:solidFill>
              <w14:schemeClr w14:val="tx1"/>
            </w14:solidFill>
          </w14:textFill>
        </w:rPr>
      </w:pP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Lines="0" w:line="600" w:lineRule="exact"/>
        <w:ind w:left="672" w:leftChars="0"/>
        <w:jc w:val="both"/>
        <w:outlineLvl w:val="2"/>
        <w:rPr>
          <w:rFonts w:hint="eastAsia" w:ascii="仿宋_GB2312" w:hAnsi="仿宋_GB2312" w:eastAsia="仿宋_GB2312" w:cs="仿宋_GB2312"/>
          <w:i w:val="0"/>
          <w:iCs w:val="0"/>
          <w:color w:val="000000" w:themeColor="text1"/>
          <w:sz w:val="32"/>
          <w:szCs w:val="32"/>
          <w:highlight w:val="none"/>
          <w:u w:val="none" w:color="auto"/>
          <w14:textFill>
            <w14:solidFill>
              <w14:schemeClr w14:val="tx1"/>
            </w14:solidFill>
          </w14:textFill>
        </w:rPr>
      </w:pPr>
      <w:bookmarkStart w:id="22" w:name="_Toc15377202"/>
      <w:bookmarkStart w:id="23" w:name="_Toc15377433"/>
      <w:bookmarkStart w:id="24" w:name="_Toc15378449"/>
      <w:bookmarkStart w:id="25" w:name="_Toc15306276"/>
      <w:r>
        <w:rPr>
          <w:rFonts w:hint="eastAsia" w:hAnsi="仿宋_GB2312" w:cs="仿宋_GB2312"/>
          <w:i w:val="0"/>
          <w:iCs w:val="0"/>
          <w:color w:val="000000" w:themeColor="text1"/>
          <w:sz w:val="32"/>
          <w:szCs w:val="32"/>
          <w:u w:val="none" w:color="auto"/>
          <w:lang w:val="en-US" w:eastAsia="zh-CN"/>
          <w14:textFill>
            <w14:solidFill>
              <w14:schemeClr w14:val="tx1"/>
            </w14:solidFill>
          </w14:textFill>
        </w:rPr>
        <w:t>1.</w:t>
      </w:r>
      <w:r>
        <w:rPr>
          <w:rFonts w:hint="eastAsia" w:ascii="仿宋_GB2312" w:hAnsi="仿宋_GB2312" w:eastAsia="仿宋_GB2312" w:cs="仿宋_GB2312"/>
          <w:i w:val="0"/>
          <w:iCs w:val="0"/>
          <w:color w:val="000000" w:themeColor="text1"/>
          <w:sz w:val="32"/>
          <w:szCs w:val="32"/>
          <w:u w:val="none" w:color="auto"/>
          <w:lang w:eastAsia="zh-CN"/>
          <w14:textFill>
            <w14:solidFill>
              <w14:schemeClr w14:val="tx1"/>
            </w14:solidFill>
          </w14:textFill>
        </w:rPr>
        <w:t>四川省司法厅机关</w:t>
      </w:r>
      <w:bookmarkEnd w:id="22"/>
      <w:bookmarkEnd w:id="23"/>
      <w:bookmarkEnd w:id="24"/>
      <w:bookmarkEnd w:id="25"/>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Lines="0" w:line="600" w:lineRule="exact"/>
        <w:ind w:left="672" w:leftChars="0"/>
        <w:jc w:val="both"/>
        <w:outlineLvl w:val="2"/>
        <w:rPr>
          <w:rFonts w:hint="eastAsia" w:ascii="仿宋_GB2312" w:hAnsi="仿宋_GB2312" w:eastAsia="仿宋_GB2312" w:cs="仿宋_GB2312"/>
          <w:i w:val="0"/>
          <w:iCs w:val="0"/>
          <w:color w:val="000000" w:themeColor="text1"/>
          <w:sz w:val="32"/>
          <w:szCs w:val="32"/>
          <w:highlight w:val="none"/>
          <w:u w:val="none" w:color="auto"/>
          <w14:textFill>
            <w14:solidFill>
              <w14:schemeClr w14:val="tx1"/>
            </w14:solidFill>
          </w14:textFill>
        </w:rPr>
      </w:pPr>
      <w:r>
        <w:rPr>
          <w:rFonts w:hint="eastAsia" w:hAnsi="仿宋_GB2312" w:cs="仿宋_GB2312"/>
          <w:i w:val="0"/>
          <w:iCs w:val="0"/>
          <w:color w:val="000000" w:themeColor="text1"/>
          <w:sz w:val="32"/>
          <w:szCs w:val="32"/>
          <w:u w:val="none" w:color="auto"/>
          <w:lang w:val="en-US" w:eastAsia="zh-CN"/>
          <w14:textFill>
            <w14:solidFill>
              <w14:schemeClr w14:val="tx1"/>
            </w14:solidFill>
          </w14:textFill>
        </w:rPr>
        <w:t>2.</w:t>
      </w:r>
      <w:r>
        <w:rPr>
          <w:rFonts w:hint="eastAsia" w:ascii="仿宋_GB2312" w:hAnsi="仿宋_GB2312" w:eastAsia="仿宋_GB2312" w:cs="仿宋_GB2312"/>
          <w:i w:val="0"/>
          <w:iCs w:val="0"/>
          <w:color w:val="000000" w:themeColor="text1"/>
          <w:sz w:val="32"/>
          <w:szCs w:val="32"/>
          <w:u w:val="none" w:color="auto"/>
          <w:lang w:eastAsia="zh-CN"/>
          <w14:textFill>
            <w14:solidFill>
              <w14:schemeClr w14:val="tx1"/>
            </w14:solidFill>
          </w14:textFill>
        </w:rPr>
        <w:t>四川省司法厅机关服务中心</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Lines="0" w:line="600" w:lineRule="exact"/>
        <w:ind w:left="672" w:leftChars="0"/>
        <w:jc w:val="both"/>
        <w:outlineLvl w:val="2"/>
        <w:rPr>
          <w:rFonts w:hint="eastAsia" w:ascii="仿宋_GB2312" w:hAnsi="仿宋_GB2312" w:eastAsia="仿宋_GB2312" w:cs="仿宋_GB2312"/>
          <w:i w:val="0"/>
          <w:iCs w:val="0"/>
          <w:color w:val="000000" w:themeColor="text1"/>
          <w:sz w:val="32"/>
          <w:szCs w:val="32"/>
          <w:highlight w:val="none"/>
          <w:u w:val="none" w:color="auto"/>
          <w14:textFill>
            <w14:solidFill>
              <w14:schemeClr w14:val="tx1"/>
            </w14:solidFill>
          </w14:textFill>
        </w:rPr>
      </w:pPr>
      <w:r>
        <w:rPr>
          <w:rFonts w:hint="eastAsia" w:hAnsi="仿宋_GB2312" w:cs="仿宋_GB2312"/>
          <w:i w:val="0"/>
          <w:iCs w:val="0"/>
          <w:color w:val="000000" w:themeColor="text1"/>
          <w:sz w:val="32"/>
          <w:szCs w:val="32"/>
          <w:u w:val="none" w:color="auto"/>
          <w:lang w:val="en-US" w:eastAsia="zh-CN"/>
          <w14:textFill>
            <w14:solidFill>
              <w14:schemeClr w14:val="tx1"/>
            </w14:solidFill>
          </w14:textFill>
        </w:rPr>
        <w:t>3.</w:t>
      </w:r>
      <w:r>
        <w:rPr>
          <w:rFonts w:hint="eastAsia" w:ascii="仿宋_GB2312" w:hAnsi="仿宋_GB2312" w:eastAsia="仿宋_GB2312" w:cs="仿宋_GB2312"/>
          <w:i w:val="0"/>
          <w:iCs w:val="0"/>
          <w:color w:val="000000" w:themeColor="text1"/>
          <w:sz w:val="32"/>
          <w:szCs w:val="32"/>
          <w:u w:val="none" w:color="auto"/>
          <w:lang w:eastAsia="zh-CN"/>
          <w14:textFill>
            <w14:solidFill>
              <w14:schemeClr w14:val="tx1"/>
            </w14:solidFill>
          </w14:textFill>
        </w:rPr>
        <w:t>四川省法律援助中心</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Lines="0" w:line="600" w:lineRule="exact"/>
        <w:ind w:left="672" w:leftChars="0"/>
        <w:jc w:val="both"/>
        <w:outlineLvl w:val="2"/>
        <w:rPr>
          <w:rFonts w:hint="eastAsia" w:ascii="仿宋_GB2312" w:hAnsi="仿宋_GB2312" w:eastAsia="仿宋_GB2312" w:cs="仿宋_GB2312"/>
          <w:i w:val="0"/>
          <w:iCs w:val="0"/>
          <w:color w:val="000000" w:themeColor="text1"/>
          <w:sz w:val="32"/>
          <w:szCs w:val="32"/>
          <w:highlight w:val="none"/>
          <w:u w:val="none" w:color="auto"/>
          <w14:textFill>
            <w14:solidFill>
              <w14:schemeClr w14:val="tx1"/>
            </w14:solidFill>
          </w14:textFill>
        </w:rPr>
      </w:pPr>
      <w:r>
        <w:rPr>
          <w:rFonts w:hint="eastAsia" w:hAnsi="仿宋_GB2312" w:cs="仿宋_GB2312"/>
          <w:bCs/>
          <w:i w:val="0"/>
          <w:iCs w:val="0"/>
          <w:color w:val="000000" w:themeColor="text1"/>
          <w:sz w:val="32"/>
          <w:szCs w:val="32"/>
          <w:u w:val="none" w:color="auto"/>
          <w:lang w:val="en-US" w:eastAsia="zh-CN"/>
          <w14:textFill>
            <w14:solidFill>
              <w14:schemeClr w14:val="tx1"/>
            </w14:solidFill>
          </w14:textFill>
        </w:rPr>
        <w:t>4.</w:t>
      </w:r>
      <w:r>
        <w:rPr>
          <w:rFonts w:hint="eastAsia" w:ascii="仿宋_GB2312" w:hAnsi="仿宋_GB2312" w:eastAsia="仿宋_GB2312" w:cs="仿宋_GB2312"/>
          <w:bCs/>
          <w:i w:val="0"/>
          <w:iCs w:val="0"/>
          <w:color w:val="000000" w:themeColor="text1"/>
          <w:sz w:val="32"/>
          <w:szCs w:val="32"/>
          <w:u w:val="none" w:color="auto"/>
          <w14:textFill>
            <w14:solidFill>
              <w14:schemeClr w14:val="tx1"/>
            </w14:solidFill>
          </w14:textFill>
        </w:rPr>
        <w:t>四川司法警官职业学院</w:t>
      </w:r>
    </w:p>
    <w:p>
      <w:pPr>
        <w:widowControl/>
        <w:jc w:val="left"/>
        <w:rPr>
          <w:rFonts w:ascii="仿宋" w:hAnsi="仿宋" w:eastAsia="仿宋"/>
          <w:color w:val="000000" w:themeColor="text1"/>
          <w:kern w:val="0"/>
          <w:sz w:val="32"/>
          <w:szCs w:val="32"/>
          <w:highlight w:val="none"/>
          <w14:textFill>
            <w14:solidFill>
              <w14:schemeClr w14:val="tx1"/>
            </w14:solidFill>
          </w14:textFill>
        </w:rPr>
      </w:pPr>
      <w:r>
        <w:rPr>
          <w:rFonts w:ascii="仿宋" w:hAnsi="仿宋" w:eastAsia="仿宋"/>
          <w:color w:val="000000" w:themeColor="text1"/>
          <w:sz w:val="32"/>
          <w:szCs w:val="32"/>
          <w:highlight w:val="none"/>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color w:val="000000" w:themeColor="text1"/>
          <w:sz w:val="44"/>
          <w:szCs w:val="44"/>
          <w:highlight w:val="none"/>
          <w14:textFill>
            <w14:solidFill>
              <w14:schemeClr w14:val="tx1"/>
            </w14:solidFill>
          </w14:textFill>
        </w:rPr>
      </w:pPr>
      <w:bookmarkStart w:id="26" w:name="_Toc15377204"/>
      <w:bookmarkStart w:id="27" w:name="_Toc15396602"/>
      <w:r>
        <w:rPr>
          <w:rFonts w:hint="eastAsia" w:ascii="方正小标宋_GBK" w:hAnsi="方正小标宋_GBK" w:eastAsia="方正小标宋_GBK" w:cs="方正小标宋_GBK"/>
          <w:b w:val="0"/>
          <w:color w:val="000000" w:themeColor="text1"/>
          <w:sz w:val="44"/>
          <w:szCs w:val="44"/>
          <w:highlight w:val="none"/>
          <w14:textFill>
            <w14:solidFill>
              <w14:schemeClr w14:val="tx1"/>
            </w14:solidFill>
          </w14:textFill>
        </w:rPr>
        <w:t xml:space="preserve">第二部分 </w:t>
      </w:r>
      <w:r>
        <w:rPr>
          <w:rFonts w:hint="eastAsia" w:ascii="方正小标宋_GBK" w:hAnsi="方正小标宋_GBK" w:eastAsia="方正小标宋_GBK" w:cs="方正小标宋_GBK"/>
          <w:b w:val="0"/>
          <w:color w:val="000000" w:themeColor="text1"/>
          <w:sz w:val="44"/>
          <w:szCs w:val="44"/>
          <w:highlight w:val="none"/>
          <w:lang w:val="en-US" w:eastAsia="zh-CN"/>
          <w14:textFill>
            <w14:solidFill>
              <w14:schemeClr w14:val="tx1"/>
            </w14:solidFill>
          </w14:textFill>
        </w:rPr>
        <w:t xml:space="preserve"> 2021年度</w:t>
      </w:r>
      <w:r>
        <w:rPr>
          <w:rFonts w:hint="eastAsia" w:ascii="方正小标宋_GBK" w:hAnsi="方正小标宋_GBK" w:eastAsia="方正小标宋_GBK" w:cs="方正小标宋_GBK"/>
          <w:b w:val="0"/>
          <w:color w:val="000000" w:themeColor="text1"/>
          <w:sz w:val="44"/>
          <w:szCs w:val="44"/>
          <w:highlight w:val="none"/>
          <w14:textFill>
            <w14:solidFill>
              <w14:schemeClr w14:val="tx1"/>
            </w14:solidFill>
          </w14:textFill>
        </w:rPr>
        <w:t>部门决算情况说明</w:t>
      </w:r>
      <w:bookmarkEnd w:id="26"/>
      <w:bookmarkEnd w:id="27"/>
    </w:p>
    <w:p>
      <w:pPr>
        <w:keepNext w:val="0"/>
        <w:keepLines w:val="0"/>
        <w:pageBreakBefore w:val="0"/>
        <w:widowControl w:val="0"/>
        <w:kinsoku/>
        <w:wordWrap/>
        <w:overflowPunct/>
        <w:topLinePunct w:val="0"/>
        <w:autoSpaceDE/>
        <w:autoSpaceDN/>
        <w:bidi w:val="0"/>
        <w:adjustRightInd/>
        <w:snapToGrid/>
        <w:spacing w:line="640" w:lineRule="exact"/>
        <w:textAlignment w:val="auto"/>
        <w:rPr>
          <w:color w:val="000000" w:themeColor="text1"/>
          <w:highlight w:val="none"/>
          <w14:textFill>
            <w14:solidFill>
              <w14:schemeClr w14:val="tx1"/>
            </w14:solidFill>
          </w14:textFill>
        </w:rPr>
      </w:pPr>
    </w:p>
    <w:p>
      <w:pPr>
        <w:pStyle w:val="25"/>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textAlignment w:val="auto"/>
        <w:outlineLvl w:val="1"/>
        <w:rPr>
          <w:rStyle w:val="27"/>
          <w:rFonts w:ascii="黑体" w:hAnsi="黑体" w:eastAsia="黑体"/>
          <w:b w:val="0"/>
          <w:color w:val="000000" w:themeColor="text1"/>
          <w:highlight w:val="none"/>
          <w14:textFill>
            <w14:solidFill>
              <w14:schemeClr w14:val="tx1"/>
            </w14:solidFill>
          </w14:textFill>
        </w:rPr>
      </w:pPr>
      <w:bookmarkStart w:id="28" w:name="_Toc15396603"/>
      <w:bookmarkStart w:id="29" w:name="_Toc15377205"/>
      <w:r>
        <w:rPr>
          <w:rFonts w:hint="eastAsia" w:ascii="黑体" w:hAnsi="黑体" w:eastAsia="黑体"/>
          <w:color w:val="000000" w:themeColor="text1"/>
          <w:sz w:val="32"/>
          <w:szCs w:val="32"/>
          <w:highlight w:val="none"/>
          <w:lang w:eastAsia="zh-CN"/>
          <w14:textFill>
            <w14:solidFill>
              <w14:schemeClr w14:val="tx1"/>
            </w14:solidFill>
          </w14:textFill>
        </w:rPr>
        <w:t>一、</w:t>
      </w:r>
      <w:r>
        <w:rPr>
          <w:rFonts w:hint="eastAsia" w:ascii="黑体" w:hAnsi="黑体" w:eastAsia="黑体"/>
          <w:color w:val="000000" w:themeColor="text1"/>
          <w:sz w:val="32"/>
          <w:szCs w:val="32"/>
          <w:highlight w:val="none"/>
          <w14:textFill>
            <w14:solidFill>
              <w14:schemeClr w14:val="tx1"/>
            </w14:solidFill>
          </w14:textFill>
        </w:rPr>
        <w:t>收</w:t>
      </w:r>
      <w:r>
        <w:rPr>
          <w:rStyle w:val="27"/>
          <w:rFonts w:hint="eastAsia" w:ascii="黑体" w:hAnsi="黑体" w:eastAsia="黑体"/>
          <w:b w:val="0"/>
          <w:color w:val="000000" w:themeColor="text1"/>
          <w:highlight w:val="none"/>
          <w14:textFill>
            <w14:solidFill>
              <w14:schemeClr w14:val="tx1"/>
            </w14:solidFill>
          </w14:textFill>
        </w:rPr>
        <w:t>入支出决算总体情况说明</w:t>
      </w:r>
      <w:bookmarkEnd w:id="28"/>
      <w:bookmarkEnd w:id="29"/>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20</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21</w:t>
      </w:r>
      <w:r>
        <w:rPr>
          <w:rFonts w:hint="eastAsia" w:ascii="仿宋_GB2312" w:hAnsi="仿宋_GB2312" w:eastAsia="仿宋_GB2312" w:cs="仿宋_GB2312"/>
          <w:color w:val="000000" w:themeColor="text1"/>
          <w:sz w:val="32"/>
          <w:szCs w:val="32"/>
          <w:highlight w:val="none"/>
          <w14:textFill>
            <w14:solidFill>
              <w14:schemeClr w14:val="tx1"/>
            </w14:solidFill>
          </w14:textFill>
        </w:rPr>
        <w:t>年度收、支总计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27328.74</w:t>
      </w:r>
      <w:r>
        <w:rPr>
          <w:rFonts w:hint="eastAsia" w:ascii="仿宋_GB2312" w:hAnsi="仿宋_GB2312" w:eastAsia="仿宋_GB2312" w:cs="仿宋_GB2312"/>
          <w:color w:val="000000" w:themeColor="text1"/>
          <w:sz w:val="32"/>
          <w:szCs w:val="32"/>
          <w:highlight w:val="none"/>
          <w14:textFill>
            <w14:solidFill>
              <w14:schemeClr w14:val="tx1"/>
            </w14:solidFill>
          </w14:textFill>
        </w:rPr>
        <w:t>万元。与20</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20</w:t>
      </w:r>
      <w:r>
        <w:rPr>
          <w:rFonts w:hint="eastAsia" w:ascii="仿宋_GB2312" w:hAnsi="仿宋_GB2312" w:eastAsia="仿宋_GB2312" w:cs="仿宋_GB2312"/>
          <w:color w:val="000000" w:themeColor="text1"/>
          <w:sz w:val="32"/>
          <w:szCs w:val="32"/>
          <w:highlight w:val="none"/>
          <w14:textFill>
            <w14:solidFill>
              <w14:schemeClr w14:val="tx1"/>
            </w14:solidFill>
          </w14:textFill>
        </w:rPr>
        <w:t>年相比，收、支总计各增加</w:t>
      </w:r>
      <w:r>
        <w:rPr>
          <w:rFonts w:hint="eastAsia" w:ascii="仿宋_GB2312" w:hAnsi="仿宋_GB2312" w:eastAsia="仿宋_GB2312" w:cs="仿宋_GB2312"/>
          <w:color w:val="000000" w:themeColor="text1"/>
          <w:sz w:val="32"/>
          <w:szCs w:val="32"/>
          <w14:textFill>
            <w14:solidFill>
              <w14:schemeClr w14:val="tx1"/>
            </w14:solidFill>
          </w14:textFill>
        </w:rPr>
        <w:t>6065.7</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highlight w:val="none"/>
          <w14:textFill>
            <w14:solidFill>
              <w14:schemeClr w14:val="tx1"/>
            </w14:solidFill>
          </w14:textFill>
        </w:rPr>
        <w:t>万元，增长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28.53</w:t>
      </w:r>
      <w:r>
        <w:rPr>
          <w:rFonts w:hint="eastAsia" w:ascii="仿宋_GB2312" w:hAnsi="仿宋_GB2312" w:eastAsia="仿宋_GB2312" w:cs="仿宋_GB2312"/>
          <w:color w:val="000000" w:themeColor="text1"/>
          <w:sz w:val="32"/>
          <w:szCs w:val="32"/>
          <w:highlight w:val="none"/>
          <w14:textFill>
            <w14:solidFill>
              <w14:schemeClr w14:val="tx1"/>
            </w14:solidFill>
          </w14:textFill>
        </w:rPr>
        <w:t>%。主要变动原因是</w:t>
      </w:r>
      <w:r>
        <w:rPr>
          <w:rFonts w:hint="eastAsia" w:ascii="仿宋_GB2312" w:hAnsi="仿宋_GB2312" w:eastAsia="仿宋_GB2312" w:cs="仿宋_GB2312"/>
          <w:color w:val="000000" w:themeColor="text1"/>
          <w:sz w:val="32"/>
          <w:szCs w:val="32"/>
          <w14:textFill>
            <w14:solidFill>
              <w14:schemeClr w14:val="tx1"/>
            </w14:solidFill>
          </w14:textFill>
        </w:rPr>
        <w:t>：一是本年度因新增工作任务量，相应新增预算收入。按上级部门相关工作安排，新</w:t>
      </w:r>
      <w:r>
        <w:rPr>
          <w:rFonts w:hint="eastAsia" w:ascii="仿宋_GB2312" w:hAnsi="仿宋_GB2312" w:eastAsia="仿宋_GB2312" w:cs="仿宋_GB2312"/>
          <w:color w:val="000000" w:themeColor="text1"/>
          <w:sz w:val="32"/>
          <w:szCs w:val="32"/>
          <w:lang w:eastAsia="zh-CN"/>
          <w14:textFill>
            <w14:solidFill>
              <w14:schemeClr w14:val="tx1"/>
            </w14:solidFill>
          </w14:textFill>
        </w:rPr>
        <w:t>增加政法教育整顿、习近平法治思想宣传等经费</w:t>
      </w:r>
      <w:r>
        <w:rPr>
          <w:rFonts w:hint="eastAsia" w:ascii="仿宋_GB2312" w:hAnsi="仿宋_GB2312" w:eastAsia="仿宋_GB2312" w:cs="仿宋_GB2312"/>
          <w:color w:val="000000" w:themeColor="text1"/>
          <w:sz w:val="32"/>
          <w:szCs w:val="32"/>
          <w14:textFill>
            <w14:solidFill>
              <w14:schemeClr w14:val="tx1"/>
            </w14:solidFill>
          </w14:textFill>
        </w:rPr>
        <w:t>。二是本年度因新增职工住房补贴和退休人员一次性补贴，相应新增了人员经费预算收入。</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left"/>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（图1：收、支决算总计变动情况图）（柱状图）</w:t>
      </w:r>
    </w:p>
    <w:p>
      <w:pPr>
        <w:bidi w:val="0"/>
      </w:pPr>
      <w:bookmarkStart w:id="30" w:name="_Toc15377206"/>
      <w:bookmarkStart w:id="31" w:name="_Toc15396604"/>
      <w:r>
        <w:drawing>
          <wp:inline distT="0" distB="0" distL="114300" distR="114300">
            <wp:extent cx="5228590" cy="2961640"/>
            <wp:effectExtent l="4445" t="4445" r="5715" b="5715"/>
            <wp:docPr id="1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5"/>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textAlignment w:val="auto"/>
        <w:outlineLvl w:val="1"/>
        <w:rPr>
          <w:rStyle w:val="27"/>
          <w:rFonts w:hint="eastAsia" w:ascii="黑体" w:hAnsi="黑体" w:eastAsia="黑体" w:cs="黑体"/>
          <w:b w:val="0"/>
          <w:color w:val="000000" w:themeColor="text1"/>
          <w:highlight w:val="none"/>
          <w14:textFill>
            <w14:solidFill>
              <w14:schemeClr w14:val="tx1"/>
            </w14:solidFill>
          </w14:textFill>
        </w:rPr>
      </w:pPr>
      <w:r>
        <w:rPr>
          <w:rFonts w:hint="eastAsia" w:ascii="黑体" w:hAnsi="黑体" w:eastAsia="黑体" w:cs="黑体"/>
          <w:color w:val="000000" w:themeColor="text1"/>
          <w:sz w:val="32"/>
          <w:szCs w:val="32"/>
          <w:highlight w:val="none"/>
          <w:lang w:eastAsia="zh-CN"/>
          <w14:textFill>
            <w14:solidFill>
              <w14:schemeClr w14:val="tx1"/>
            </w14:solidFill>
          </w14:textFill>
        </w:rPr>
        <w:t>二、</w:t>
      </w:r>
      <w:r>
        <w:rPr>
          <w:rFonts w:hint="eastAsia" w:ascii="黑体" w:hAnsi="黑体" w:eastAsia="黑体" w:cs="黑体"/>
          <w:color w:val="000000" w:themeColor="text1"/>
          <w:sz w:val="32"/>
          <w:szCs w:val="32"/>
          <w:highlight w:val="none"/>
          <w14:textFill>
            <w14:solidFill>
              <w14:schemeClr w14:val="tx1"/>
            </w14:solidFill>
          </w14:textFill>
        </w:rPr>
        <w:t>收</w:t>
      </w:r>
      <w:r>
        <w:rPr>
          <w:rStyle w:val="27"/>
          <w:rFonts w:hint="eastAsia" w:ascii="黑体" w:hAnsi="黑体" w:eastAsia="黑体" w:cs="黑体"/>
          <w:b w:val="0"/>
          <w:color w:val="000000" w:themeColor="text1"/>
          <w:highlight w:val="none"/>
          <w14:textFill>
            <w14:solidFill>
              <w14:schemeClr w14:val="tx1"/>
            </w14:solidFill>
          </w14:textFill>
        </w:rPr>
        <w:t>入决算情况说明</w:t>
      </w:r>
      <w:bookmarkEnd w:id="30"/>
      <w:bookmarkEnd w:id="31"/>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20</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21</w:t>
      </w:r>
      <w:r>
        <w:rPr>
          <w:rFonts w:hint="eastAsia" w:ascii="仿宋_GB2312" w:hAnsi="仿宋_GB2312" w:eastAsia="仿宋_GB2312" w:cs="仿宋_GB2312"/>
          <w:color w:val="000000" w:themeColor="text1"/>
          <w:sz w:val="32"/>
          <w:szCs w:val="32"/>
          <w:highlight w:val="none"/>
          <w14:textFill>
            <w14:solidFill>
              <w14:schemeClr w14:val="tx1"/>
            </w14:solidFill>
          </w14:textFill>
        </w:rPr>
        <w:t>年本年收入合计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27328.74</w:t>
      </w:r>
      <w:r>
        <w:rPr>
          <w:rFonts w:hint="eastAsia" w:ascii="仿宋_GB2312" w:hAnsi="仿宋_GB2312" w:eastAsia="仿宋_GB2312" w:cs="仿宋_GB2312"/>
          <w:color w:val="000000" w:themeColor="text1"/>
          <w:sz w:val="32"/>
          <w:szCs w:val="32"/>
          <w14:textFill>
            <w14:solidFill>
              <w14:schemeClr w14:val="tx1"/>
            </w14:solidFill>
          </w14:textFill>
        </w:rPr>
        <w:t>万元</w:t>
      </w:r>
      <w:r>
        <w:rPr>
          <w:rFonts w:hint="eastAsia" w:ascii="仿宋_GB2312" w:hAnsi="仿宋_GB2312" w:eastAsia="仿宋_GB2312" w:cs="仿宋_GB2312"/>
          <w:color w:val="000000" w:themeColor="text1"/>
          <w:sz w:val="32"/>
          <w:szCs w:val="32"/>
          <w:highlight w:val="none"/>
          <w14:textFill>
            <w14:solidFill>
              <w14:schemeClr w14:val="tx1"/>
            </w14:solidFill>
          </w14:textFill>
        </w:rPr>
        <w:t>，其中：一般公共预算财政拨款收入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24240.10</w:t>
      </w:r>
      <w:r>
        <w:rPr>
          <w:rFonts w:hint="eastAsia" w:ascii="仿宋_GB2312" w:hAnsi="仿宋_GB2312" w:eastAsia="仿宋_GB2312" w:cs="仿宋_GB2312"/>
          <w:color w:val="000000" w:themeColor="text1"/>
          <w:sz w:val="32"/>
          <w:szCs w:val="32"/>
          <w:highlight w:val="none"/>
          <w14:textFill>
            <w14:solidFill>
              <w14:schemeClr w14:val="tx1"/>
            </w14:solidFill>
          </w14:textFill>
        </w:rPr>
        <w:t>万元，占</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88.7</w:t>
      </w:r>
      <w:r>
        <w:rPr>
          <w:rFonts w:hint="eastAsia" w:ascii="仿宋_GB2312" w:hAnsi="仿宋_GB2312" w:eastAsia="仿宋_GB2312" w:cs="仿宋_GB2312"/>
          <w:color w:val="000000" w:themeColor="text1"/>
          <w:sz w:val="32"/>
          <w:szCs w:val="32"/>
          <w:highlight w:val="none"/>
          <w14:textFill>
            <w14:solidFill>
              <w14:schemeClr w14:val="tx1"/>
            </w14:solidFill>
          </w14:textFill>
        </w:rPr>
        <w:t>%；政府性基金预算财政拨款收入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highlight w:val="none"/>
          <w14:textFill>
            <w14:solidFill>
              <w14:schemeClr w14:val="tx1"/>
            </w14:solidFill>
          </w14:textFill>
        </w:rPr>
        <w:t>万元，占</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国有资本经营预算财政拨款收入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highlight w:val="none"/>
          <w14:textFill>
            <w14:solidFill>
              <w14:schemeClr w14:val="tx1"/>
            </w14:solidFill>
          </w14:textFill>
        </w:rPr>
        <w:t>万元，占</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highlight w:val="none"/>
          <w14:textFill>
            <w14:solidFill>
              <w14:schemeClr w14:val="tx1"/>
            </w14:solidFill>
          </w14:textFill>
        </w:rPr>
        <w:t>%；上级补助收入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highlight w:val="none"/>
          <w14:textFill>
            <w14:solidFill>
              <w14:schemeClr w14:val="tx1"/>
            </w14:solidFill>
          </w14:textFill>
        </w:rPr>
        <w:t>万元，占</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highlight w:val="none"/>
          <w14:textFill>
            <w14:solidFill>
              <w14:schemeClr w14:val="tx1"/>
            </w14:solidFill>
          </w14:textFill>
        </w:rPr>
        <w:t>%；事业收入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highlight w:val="none"/>
          <w14:textFill>
            <w14:solidFill>
              <w14:schemeClr w14:val="tx1"/>
            </w14:solidFill>
          </w14:textFill>
        </w:rPr>
        <w:t>万元，占</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highlight w:val="none"/>
          <w14:textFill>
            <w14:solidFill>
              <w14:schemeClr w14:val="tx1"/>
            </w14:solidFill>
          </w14:textFill>
        </w:rPr>
        <w:t>%；经营收入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highlight w:val="none"/>
          <w14:textFill>
            <w14:solidFill>
              <w14:schemeClr w14:val="tx1"/>
            </w14:solidFill>
          </w14:textFill>
        </w:rPr>
        <w:t>万元，占</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highlight w:val="none"/>
          <w14:textFill>
            <w14:solidFill>
              <w14:schemeClr w14:val="tx1"/>
            </w14:solidFill>
          </w14:textFill>
        </w:rPr>
        <w:t>%；附属单位上缴收入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highlight w:val="none"/>
          <w14:textFill>
            <w14:solidFill>
              <w14:schemeClr w14:val="tx1"/>
            </w14:solidFill>
          </w14:textFill>
        </w:rPr>
        <w:t>万元，占</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highlight w:val="none"/>
          <w14:textFill>
            <w14:solidFill>
              <w14:schemeClr w14:val="tx1"/>
            </w14:solidFill>
          </w14:textFill>
        </w:rPr>
        <w:t>%；其他收入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3088.64</w:t>
      </w:r>
      <w:r>
        <w:rPr>
          <w:rFonts w:hint="eastAsia" w:ascii="仿宋_GB2312" w:hAnsi="仿宋_GB2312" w:eastAsia="仿宋_GB2312" w:cs="仿宋_GB2312"/>
          <w:color w:val="000000" w:themeColor="text1"/>
          <w:sz w:val="32"/>
          <w:szCs w:val="32"/>
          <w:highlight w:val="none"/>
          <w14:textFill>
            <w14:solidFill>
              <w14:schemeClr w14:val="tx1"/>
            </w14:solidFill>
          </w14:textFill>
        </w:rPr>
        <w:t>万元，占</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11.3</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（图2：收入决算结构图）（饼状图）</w:t>
      </w:r>
    </w:p>
    <w:p>
      <w:pPr>
        <w:bidi w:val="0"/>
        <w:rPr>
          <w:color w:val="000000" w:themeColor="text1"/>
          <w14:textFill>
            <w14:solidFill>
              <w14:schemeClr w14:val="tx1"/>
            </w14:solidFill>
          </w14:textFill>
        </w:rPr>
      </w:pPr>
      <w:r>
        <w:rPr>
          <w:color w:val="000000" w:themeColor="text1"/>
          <w14:textFill>
            <w14:solidFill>
              <w14:schemeClr w14:val="tx1"/>
            </w14:solidFill>
          </w14:textFill>
        </w:rPr>
        <w:drawing>
          <wp:anchor distT="0" distB="0" distL="114300" distR="114300" simplePos="0" relativeHeight="251659264" behindDoc="0" locked="0" layoutInCell="1" allowOverlap="1">
            <wp:simplePos x="0" y="0"/>
            <wp:positionH relativeFrom="column">
              <wp:align>center</wp:align>
            </wp:positionH>
            <wp:positionV relativeFrom="paragraph">
              <wp:posOffset>176530</wp:posOffset>
            </wp:positionV>
            <wp:extent cx="4572000" cy="2743200"/>
            <wp:effectExtent l="4445" t="4445" r="14605" b="14605"/>
            <wp:wrapSquare wrapText="bothSides"/>
            <wp:docPr id="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rPr>
          <w:rFonts w:ascii="仿宋_GB2312" w:eastAsia="仿宋_GB2312"/>
          <w:color w:val="000000" w:themeColor="text1"/>
          <w:sz w:val="32"/>
          <w:szCs w:val="32"/>
          <w:highlight w:val="none"/>
          <w14:textFill>
            <w14:solidFill>
              <w14:schemeClr w14:val="tx1"/>
            </w14:solidFill>
          </w14:textFill>
        </w:rPr>
      </w:pPr>
    </w:p>
    <w:p>
      <w:pPr>
        <w:pStyle w:val="5"/>
        <w:rPr>
          <w:rFonts w:ascii="仿宋_GB2312" w:eastAsia="仿宋_GB2312"/>
          <w:color w:val="000000" w:themeColor="text1"/>
          <w:sz w:val="32"/>
          <w:szCs w:val="32"/>
          <w:highlight w:val="none"/>
          <w14:textFill>
            <w14:solidFill>
              <w14:schemeClr w14:val="tx1"/>
            </w14:solidFill>
          </w14:textFill>
        </w:rPr>
      </w:pPr>
    </w:p>
    <w:p>
      <w:pPr>
        <w:pStyle w:val="5"/>
        <w:rPr>
          <w:rFonts w:ascii="仿宋_GB2312" w:eastAsia="仿宋_GB2312"/>
          <w:color w:val="000000" w:themeColor="text1"/>
          <w:sz w:val="32"/>
          <w:szCs w:val="32"/>
          <w:highlight w:val="none"/>
          <w14:textFill>
            <w14:solidFill>
              <w14:schemeClr w14:val="tx1"/>
            </w14:solidFill>
          </w14:textFill>
        </w:rPr>
      </w:pPr>
    </w:p>
    <w:p>
      <w:pPr>
        <w:pStyle w:val="5"/>
        <w:rPr>
          <w:rFonts w:ascii="仿宋_GB2312" w:eastAsia="仿宋_GB2312"/>
          <w:color w:val="000000" w:themeColor="text1"/>
          <w:sz w:val="32"/>
          <w:szCs w:val="32"/>
          <w:highlight w:val="none"/>
          <w14:textFill>
            <w14:solidFill>
              <w14:schemeClr w14:val="tx1"/>
            </w14:solidFill>
          </w14:textFill>
        </w:rPr>
      </w:pPr>
    </w:p>
    <w:p>
      <w:pPr>
        <w:pStyle w:val="5"/>
        <w:rPr>
          <w:rFonts w:ascii="仿宋_GB2312" w:eastAsia="仿宋_GB2312"/>
          <w:color w:val="000000" w:themeColor="text1"/>
          <w:sz w:val="32"/>
          <w:szCs w:val="32"/>
          <w:highlight w:val="none"/>
          <w14:textFill>
            <w14:solidFill>
              <w14:schemeClr w14:val="tx1"/>
            </w14:solidFill>
          </w14:textFill>
        </w:rPr>
      </w:pPr>
    </w:p>
    <w:p>
      <w:pPr>
        <w:pStyle w:val="25"/>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黑体" w:hAnsi="黑体" w:eastAsia="黑体"/>
          <w:color w:val="000000" w:themeColor="text1"/>
          <w:sz w:val="32"/>
          <w:szCs w:val="32"/>
          <w:highlight w:val="none"/>
          <w:lang w:eastAsia="zh-CN"/>
          <w14:textFill>
            <w14:solidFill>
              <w14:schemeClr w14:val="tx1"/>
            </w14:solidFill>
          </w14:textFill>
        </w:rPr>
      </w:pPr>
      <w:bookmarkStart w:id="32" w:name="_Toc15377207"/>
      <w:bookmarkStart w:id="33" w:name="_Toc15396605"/>
    </w:p>
    <w:p>
      <w:pPr>
        <w:pStyle w:val="25"/>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黑体" w:hAnsi="黑体" w:eastAsia="黑体"/>
          <w:color w:val="000000" w:themeColor="text1"/>
          <w:sz w:val="32"/>
          <w:szCs w:val="32"/>
          <w:highlight w:val="none"/>
          <w:lang w:eastAsia="zh-CN"/>
          <w14:textFill>
            <w14:solidFill>
              <w14:schemeClr w14:val="tx1"/>
            </w14:solidFill>
          </w14:textFill>
        </w:rPr>
      </w:pPr>
    </w:p>
    <w:p>
      <w:pPr>
        <w:pStyle w:val="25"/>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textAlignment w:val="auto"/>
        <w:outlineLvl w:val="1"/>
        <w:rPr>
          <w:rStyle w:val="27"/>
          <w:rFonts w:ascii="黑体" w:hAnsi="黑体" w:eastAsia="黑体"/>
          <w:b w:val="0"/>
          <w:color w:val="000000" w:themeColor="text1"/>
          <w:highlight w:val="none"/>
          <w14:textFill>
            <w14:solidFill>
              <w14:schemeClr w14:val="tx1"/>
            </w14:solidFill>
          </w14:textFill>
        </w:rPr>
      </w:pPr>
      <w:r>
        <w:rPr>
          <w:rFonts w:hint="eastAsia" w:ascii="黑体" w:hAnsi="黑体" w:eastAsia="黑体"/>
          <w:color w:val="000000" w:themeColor="text1"/>
          <w:sz w:val="32"/>
          <w:szCs w:val="32"/>
          <w:highlight w:val="none"/>
          <w:lang w:eastAsia="zh-CN"/>
          <w14:textFill>
            <w14:solidFill>
              <w14:schemeClr w14:val="tx1"/>
            </w14:solidFill>
          </w14:textFill>
        </w:rPr>
        <w:t>三、</w:t>
      </w:r>
      <w:r>
        <w:rPr>
          <w:rFonts w:hint="eastAsia" w:ascii="黑体" w:hAnsi="黑体" w:eastAsia="黑体"/>
          <w:color w:val="000000" w:themeColor="text1"/>
          <w:sz w:val="32"/>
          <w:szCs w:val="32"/>
          <w:highlight w:val="none"/>
          <w14:textFill>
            <w14:solidFill>
              <w14:schemeClr w14:val="tx1"/>
            </w14:solidFill>
          </w14:textFill>
        </w:rPr>
        <w:t>支</w:t>
      </w:r>
      <w:r>
        <w:rPr>
          <w:rStyle w:val="27"/>
          <w:rFonts w:hint="eastAsia" w:ascii="黑体" w:hAnsi="黑体" w:eastAsia="黑体"/>
          <w:b w:val="0"/>
          <w:color w:val="000000" w:themeColor="text1"/>
          <w:highlight w:val="none"/>
          <w14:textFill>
            <w14:solidFill>
              <w14:schemeClr w14:val="tx1"/>
            </w14:solidFill>
          </w14:textFill>
        </w:rPr>
        <w:t>出决算情况说明</w:t>
      </w:r>
      <w:bookmarkEnd w:id="32"/>
      <w:bookmarkEnd w:id="33"/>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color w:val="000000" w:themeColor="text1"/>
          <w:sz w:val="32"/>
          <w:szCs w:val="32"/>
          <w:highlight w:val="none"/>
          <w:shd w:val="pct10" w:color="auto" w:fill="FFFFFF"/>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20</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21</w:t>
      </w:r>
      <w:r>
        <w:rPr>
          <w:rFonts w:hint="eastAsia" w:ascii="仿宋_GB2312" w:hAnsi="仿宋_GB2312" w:eastAsia="仿宋_GB2312" w:cs="仿宋_GB2312"/>
          <w:color w:val="000000" w:themeColor="text1"/>
          <w:sz w:val="32"/>
          <w:szCs w:val="32"/>
          <w:highlight w:val="none"/>
          <w14:textFill>
            <w14:solidFill>
              <w14:schemeClr w14:val="tx1"/>
            </w14:solidFill>
          </w14:textFill>
        </w:rPr>
        <w:t>年本年支出合计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27328.74</w:t>
      </w:r>
      <w:r>
        <w:rPr>
          <w:rFonts w:hint="eastAsia" w:ascii="仿宋_GB2312" w:hAnsi="仿宋_GB2312" w:eastAsia="仿宋_GB2312" w:cs="仿宋_GB2312"/>
          <w:color w:val="000000" w:themeColor="text1"/>
          <w:sz w:val="32"/>
          <w:szCs w:val="32"/>
          <w:highlight w:val="none"/>
          <w14:textFill>
            <w14:solidFill>
              <w14:schemeClr w14:val="tx1"/>
            </w14:solidFill>
          </w14:textFill>
        </w:rPr>
        <w:t>万元，其中：基本支出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15382.24</w:t>
      </w:r>
      <w:r>
        <w:rPr>
          <w:rFonts w:hint="eastAsia" w:ascii="仿宋_GB2312" w:hAnsi="仿宋_GB2312" w:eastAsia="仿宋_GB2312" w:cs="仿宋_GB2312"/>
          <w:color w:val="000000" w:themeColor="text1"/>
          <w:sz w:val="32"/>
          <w:szCs w:val="32"/>
          <w:highlight w:val="none"/>
          <w14:textFill>
            <w14:solidFill>
              <w14:schemeClr w14:val="tx1"/>
            </w14:solidFill>
          </w14:textFill>
        </w:rPr>
        <w:t>万元，占</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56.29</w:t>
      </w:r>
      <w:r>
        <w:rPr>
          <w:rFonts w:hint="eastAsia" w:ascii="仿宋_GB2312" w:hAnsi="仿宋_GB2312" w:eastAsia="仿宋_GB2312" w:cs="仿宋_GB2312"/>
          <w:color w:val="000000" w:themeColor="text1"/>
          <w:sz w:val="32"/>
          <w:szCs w:val="32"/>
          <w:highlight w:val="none"/>
          <w14:textFill>
            <w14:solidFill>
              <w14:schemeClr w14:val="tx1"/>
            </w14:solidFill>
          </w14:textFill>
        </w:rPr>
        <w:t>%；项目支出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11946.50</w:t>
      </w:r>
      <w:r>
        <w:rPr>
          <w:rFonts w:hint="eastAsia" w:ascii="仿宋_GB2312" w:hAnsi="仿宋_GB2312" w:eastAsia="仿宋_GB2312" w:cs="仿宋_GB2312"/>
          <w:color w:val="000000" w:themeColor="text1"/>
          <w:sz w:val="32"/>
          <w:szCs w:val="32"/>
          <w:highlight w:val="none"/>
          <w14:textFill>
            <w14:solidFill>
              <w14:schemeClr w14:val="tx1"/>
            </w14:solidFill>
          </w14:textFill>
        </w:rPr>
        <w:t>万元，占</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43.71</w:t>
      </w:r>
      <w:r>
        <w:rPr>
          <w:rFonts w:hint="eastAsia" w:ascii="仿宋_GB2312" w:hAnsi="仿宋_GB2312" w:eastAsia="仿宋_GB2312" w:cs="仿宋_GB2312"/>
          <w:color w:val="000000" w:themeColor="text1"/>
          <w:sz w:val="32"/>
          <w:szCs w:val="32"/>
          <w:highlight w:val="none"/>
          <w14:textFill>
            <w14:solidFill>
              <w14:schemeClr w14:val="tx1"/>
            </w14:solidFill>
          </w14:textFill>
        </w:rPr>
        <w:t>%；上缴上级支出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highlight w:val="none"/>
          <w14:textFill>
            <w14:solidFill>
              <w14:schemeClr w14:val="tx1"/>
            </w14:solidFill>
          </w14:textFill>
        </w:rPr>
        <w:t>万元，占</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highlight w:val="none"/>
          <w14:textFill>
            <w14:solidFill>
              <w14:schemeClr w14:val="tx1"/>
            </w14:solidFill>
          </w14:textFill>
        </w:rPr>
        <w:t>%；经营支出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highlight w:val="none"/>
          <w14:textFill>
            <w14:solidFill>
              <w14:schemeClr w14:val="tx1"/>
            </w14:solidFill>
          </w14:textFill>
        </w:rPr>
        <w:t>万元，占</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highlight w:val="none"/>
          <w14:textFill>
            <w14:solidFill>
              <w14:schemeClr w14:val="tx1"/>
            </w14:solidFill>
          </w14:textFill>
        </w:rPr>
        <w:t>%；对附属单位补助支出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highlight w:val="none"/>
          <w14:textFill>
            <w14:solidFill>
              <w14:schemeClr w14:val="tx1"/>
            </w14:solidFill>
          </w14:textFill>
        </w:rPr>
        <w:t>万元，占</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（图3：支出决算结构图）（饼状图）</w:t>
      </w:r>
    </w:p>
    <w:p>
      <w:pPr>
        <w:keepNext w:val="0"/>
        <w:keepLines w:val="0"/>
        <w:pageBreakBefore w:val="0"/>
        <w:widowControl w:val="0"/>
        <w:kinsoku/>
        <w:wordWrap/>
        <w:overflowPunct/>
        <w:topLinePunct w:val="0"/>
        <w:autoSpaceDE/>
        <w:autoSpaceDN/>
        <w:bidi w:val="0"/>
        <w:adjustRightInd/>
        <w:snapToGrid/>
        <w:spacing w:line="640" w:lineRule="exact"/>
        <w:textAlignment w:val="auto"/>
        <w:rPr>
          <w:color w:val="000000" w:themeColor="text1"/>
          <w14:textFill>
            <w14:solidFill>
              <w14:schemeClr w14:val="tx1"/>
            </w14:solidFill>
          </w14:textFill>
        </w:rPr>
      </w:pPr>
    </w:p>
    <w:p>
      <w:pPr>
        <w:spacing w:line="600" w:lineRule="exact"/>
        <w:ind w:firstLine="640" w:firstLineChars="200"/>
        <w:rPr>
          <w:rFonts w:ascii="仿宋_GB2312" w:eastAsia="仿宋_GB2312"/>
          <w:color w:val="000000" w:themeColor="text1"/>
          <w:sz w:val="32"/>
          <w:szCs w:val="32"/>
          <w:highlight w:val="none"/>
          <w14:textFill>
            <w14:solidFill>
              <w14:schemeClr w14:val="tx1"/>
            </w14:solidFill>
          </w14:textFill>
        </w:rPr>
      </w:pPr>
    </w:p>
    <w:p>
      <w:pPr>
        <w:spacing w:line="600" w:lineRule="exact"/>
        <w:ind w:firstLine="420" w:firstLineChars="200"/>
        <w:outlineLvl w:val="1"/>
        <w:rPr>
          <w:rFonts w:hint="eastAsia" w:ascii="黑体" w:hAnsi="黑体" w:eastAsia="黑体"/>
          <w:color w:val="000000" w:themeColor="text1"/>
          <w:sz w:val="32"/>
          <w:szCs w:val="32"/>
          <w:highlight w:val="none"/>
          <w14:textFill>
            <w14:solidFill>
              <w14:schemeClr w14:val="tx1"/>
            </w14:solidFill>
          </w14:textFill>
        </w:rPr>
      </w:pPr>
      <w:bookmarkStart w:id="34" w:name="_Toc15396606"/>
      <w:bookmarkStart w:id="35" w:name="_Toc15377208"/>
      <w:r>
        <w:rPr>
          <w:color w:val="000000" w:themeColor="text1"/>
          <w14:textFill>
            <w14:solidFill>
              <w14:schemeClr w14:val="tx1"/>
            </w14:solidFill>
          </w14:textFill>
        </w:rPr>
        <w:drawing>
          <wp:anchor distT="0" distB="0" distL="114935" distR="114935" simplePos="0" relativeHeight="251660288" behindDoc="1" locked="0" layoutInCell="1" allowOverlap="1">
            <wp:simplePos x="0" y="0"/>
            <wp:positionH relativeFrom="column">
              <wp:posOffset>645795</wp:posOffset>
            </wp:positionH>
            <wp:positionV relativeFrom="paragraph">
              <wp:posOffset>170180</wp:posOffset>
            </wp:positionV>
            <wp:extent cx="4572000" cy="2639695"/>
            <wp:effectExtent l="4445" t="4445" r="14605" b="22860"/>
            <wp:wrapTight wrapText="bothSides">
              <wp:wrapPolygon>
                <wp:start x="-21" y="-36"/>
                <wp:lineTo x="-21" y="21475"/>
                <wp:lineTo x="21579" y="21475"/>
                <wp:lineTo x="21579" y="-36"/>
                <wp:lineTo x="-21" y="-36"/>
              </wp:wrapPolygon>
            </wp:wrapTight>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firstLineChars="200"/>
        <w:outlineLvl w:val="1"/>
        <w:rPr>
          <w:rFonts w:hint="eastAsia" w:ascii="黑体" w:hAnsi="黑体" w:eastAsia="黑体"/>
          <w:color w:val="000000" w:themeColor="text1"/>
          <w:sz w:val="32"/>
          <w:szCs w:val="32"/>
          <w:highlight w:val="none"/>
          <w14:textFill>
            <w14:solidFill>
              <w14:schemeClr w14:val="tx1"/>
            </w14:solidFill>
          </w14:textFill>
        </w:rPr>
      </w:pPr>
    </w:p>
    <w:p>
      <w:pPr>
        <w:spacing w:line="600" w:lineRule="exact"/>
        <w:ind w:firstLine="640" w:firstLineChars="200"/>
        <w:outlineLvl w:val="1"/>
        <w:rPr>
          <w:rFonts w:hint="eastAsia" w:ascii="黑体" w:hAnsi="黑体" w:eastAsia="黑体"/>
          <w:color w:val="000000" w:themeColor="text1"/>
          <w:sz w:val="32"/>
          <w:szCs w:val="32"/>
          <w:highlight w:val="none"/>
          <w14:textFill>
            <w14:solidFill>
              <w14:schemeClr w14:val="tx1"/>
            </w14:solidFill>
          </w14:textFill>
        </w:rPr>
      </w:pPr>
    </w:p>
    <w:p>
      <w:pPr>
        <w:spacing w:line="600" w:lineRule="exact"/>
        <w:ind w:firstLine="640" w:firstLineChars="200"/>
        <w:outlineLvl w:val="1"/>
        <w:rPr>
          <w:rFonts w:hint="eastAsia" w:ascii="黑体" w:hAnsi="黑体" w:eastAsia="黑体"/>
          <w:color w:val="000000" w:themeColor="text1"/>
          <w:sz w:val="32"/>
          <w:szCs w:val="32"/>
          <w:highlight w:val="none"/>
          <w14:textFill>
            <w14:solidFill>
              <w14:schemeClr w14:val="tx1"/>
            </w14:solidFill>
          </w14:textFill>
        </w:rPr>
      </w:pPr>
    </w:p>
    <w:p>
      <w:pPr>
        <w:spacing w:line="600" w:lineRule="exact"/>
        <w:ind w:firstLine="640" w:firstLineChars="200"/>
        <w:outlineLvl w:val="1"/>
        <w:rPr>
          <w:rFonts w:hint="eastAsia" w:ascii="黑体" w:hAnsi="黑体" w:eastAsia="黑体"/>
          <w:color w:val="000000" w:themeColor="text1"/>
          <w:sz w:val="32"/>
          <w:szCs w:val="32"/>
          <w:highlight w:val="none"/>
          <w14:textFill>
            <w14:solidFill>
              <w14:schemeClr w14:val="tx1"/>
            </w14:solidFill>
          </w14:textFill>
        </w:rPr>
      </w:pPr>
    </w:p>
    <w:p>
      <w:pPr>
        <w:spacing w:line="600" w:lineRule="exact"/>
        <w:ind w:firstLine="640" w:firstLineChars="200"/>
        <w:outlineLvl w:val="1"/>
        <w:rPr>
          <w:rFonts w:hint="eastAsia" w:ascii="黑体" w:hAnsi="黑体" w:eastAsia="黑体"/>
          <w:color w:val="000000" w:themeColor="text1"/>
          <w:sz w:val="32"/>
          <w:szCs w:val="32"/>
          <w:highlight w:val="none"/>
          <w14:textFill>
            <w14:solidFill>
              <w14:schemeClr w14:val="tx1"/>
            </w14:solidFill>
          </w14:textFill>
        </w:rPr>
      </w:pPr>
    </w:p>
    <w:p>
      <w:pPr>
        <w:spacing w:line="600" w:lineRule="exact"/>
        <w:ind w:firstLine="640" w:firstLineChars="200"/>
        <w:outlineLvl w:val="1"/>
        <w:rPr>
          <w:rFonts w:hint="eastAsia" w:ascii="黑体" w:hAnsi="黑体" w:eastAsia="黑体"/>
          <w:color w:val="000000" w:themeColor="text1"/>
          <w:sz w:val="32"/>
          <w:szCs w:val="32"/>
          <w:highlight w:val="none"/>
          <w14:textFill>
            <w14:solidFill>
              <w14:schemeClr w14:val="tx1"/>
            </w14:solidFill>
          </w14:textFill>
        </w:rPr>
      </w:pPr>
    </w:p>
    <w:p>
      <w:pPr>
        <w:spacing w:line="600" w:lineRule="exact"/>
        <w:ind w:firstLine="640" w:firstLineChars="200"/>
        <w:outlineLvl w:val="1"/>
        <w:rPr>
          <w:rFonts w:hint="eastAsia" w:ascii="黑体" w:hAnsi="黑体" w:eastAsia="黑体"/>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Style w:val="27"/>
          <w:rFonts w:hint="eastAsia" w:ascii="黑体" w:hAnsi="黑体" w:eastAsia="黑体" w:cs="黑体"/>
          <w:b w:val="0"/>
          <w:color w:val="000000" w:themeColor="text1"/>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四、财</w:t>
      </w:r>
      <w:r>
        <w:rPr>
          <w:rStyle w:val="27"/>
          <w:rFonts w:hint="eastAsia" w:ascii="黑体" w:hAnsi="黑体" w:eastAsia="黑体" w:cs="黑体"/>
          <w:b w:val="0"/>
          <w:color w:val="000000" w:themeColor="text1"/>
          <w:highlight w:val="none"/>
          <w14:textFill>
            <w14:solidFill>
              <w14:schemeClr w14:val="tx1"/>
            </w14:solidFill>
          </w14:textFill>
        </w:rPr>
        <w:t>政拨款收入支出决算总体情况说明</w:t>
      </w:r>
      <w:bookmarkEnd w:id="34"/>
      <w:bookmarkEnd w:id="3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20</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21</w:t>
      </w:r>
      <w:r>
        <w:rPr>
          <w:rFonts w:hint="eastAsia" w:ascii="仿宋_GB2312" w:hAnsi="仿宋_GB2312" w:eastAsia="仿宋_GB2312" w:cs="仿宋_GB2312"/>
          <w:color w:val="000000" w:themeColor="text1"/>
          <w:sz w:val="32"/>
          <w:szCs w:val="32"/>
          <w:highlight w:val="none"/>
          <w14:textFill>
            <w14:solidFill>
              <w14:schemeClr w14:val="tx1"/>
            </w14:solidFill>
          </w14:textFill>
        </w:rPr>
        <w:t>年财政拨款收、支总计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27328.74</w:t>
      </w:r>
      <w:r>
        <w:rPr>
          <w:rFonts w:hint="eastAsia" w:ascii="仿宋_GB2312" w:hAnsi="仿宋_GB2312" w:eastAsia="仿宋_GB2312" w:cs="仿宋_GB2312"/>
          <w:color w:val="000000" w:themeColor="text1"/>
          <w:sz w:val="32"/>
          <w:szCs w:val="32"/>
          <w:highlight w:val="none"/>
          <w14:textFill>
            <w14:solidFill>
              <w14:schemeClr w14:val="tx1"/>
            </w14:solidFill>
          </w14:textFill>
        </w:rPr>
        <w:t>万元。与20</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20</w:t>
      </w:r>
      <w:r>
        <w:rPr>
          <w:rFonts w:hint="eastAsia" w:ascii="仿宋_GB2312" w:hAnsi="仿宋_GB2312" w:eastAsia="仿宋_GB2312" w:cs="仿宋_GB2312"/>
          <w:color w:val="000000" w:themeColor="text1"/>
          <w:sz w:val="32"/>
          <w:szCs w:val="32"/>
          <w:highlight w:val="none"/>
          <w14:textFill>
            <w14:solidFill>
              <w14:schemeClr w14:val="tx1"/>
            </w14:solidFill>
          </w14:textFill>
        </w:rPr>
        <w:t>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21263.03</w:t>
      </w:r>
      <w:r>
        <w:rPr>
          <w:rFonts w:hint="eastAsia" w:ascii="仿宋_GB2312" w:hAnsi="仿宋_GB2312" w:eastAsia="仿宋_GB2312" w:cs="仿宋_GB2312"/>
          <w:color w:val="000000" w:themeColor="text1"/>
          <w:sz w:val="32"/>
          <w:szCs w:val="32"/>
          <w14:textFill>
            <w14:solidFill>
              <w14:schemeClr w14:val="tx1"/>
            </w14:solidFill>
          </w14:textFill>
        </w:rPr>
        <w:t>万元</w:t>
      </w:r>
      <w:r>
        <w:rPr>
          <w:rFonts w:hint="eastAsia" w:ascii="仿宋_GB2312" w:hAnsi="仿宋_GB2312" w:eastAsia="仿宋_GB2312" w:cs="仿宋_GB2312"/>
          <w:color w:val="000000" w:themeColor="text1"/>
          <w:sz w:val="32"/>
          <w:szCs w:val="32"/>
          <w:highlight w:val="none"/>
          <w14:textFill>
            <w14:solidFill>
              <w14:schemeClr w14:val="tx1"/>
            </w14:solidFill>
          </w14:textFill>
        </w:rPr>
        <w:t>相比，财政拨款收、支总计各增加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6065.71</w:t>
      </w:r>
      <w:r>
        <w:rPr>
          <w:rFonts w:hint="eastAsia" w:ascii="仿宋_GB2312" w:hAnsi="仿宋_GB2312" w:eastAsia="仿宋_GB2312" w:cs="仿宋_GB2312"/>
          <w:color w:val="000000" w:themeColor="text1"/>
          <w:sz w:val="32"/>
          <w:szCs w:val="32"/>
          <w:highlight w:val="none"/>
          <w14:textFill>
            <w14:solidFill>
              <w14:schemeClr w14:val="tx1"/>
            </w14:solidFill>
          </w14:textFill>
        </w:rPr>
        <w:t>万元，增长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28.53</w:t>
      </w:r>
      <w:r>
        <w:rPr>
          <w:rFonts w:hint="eastAsia" w:ascii="仿宋_GB2312" w:hAnsi="仿宋_GB2312" w:eastAsia="仿宋_GB2312" w:cs="仿宋_GB2312"/>
          <w:color w:val="000000" w:themeColor="text1"/>
          <w:sz w:val="32"/>
          <w:szCs w:val="32"/>
          <w:highlight w:val="none"/>
          <w14:textFill>
            <w14:solidFill>
              <w14:schemeClr w14:val="tx1"/>
            </w14:solidFill>
          </w14:textFill>
        </w:rPr>
        <w:t>%。主要变动原因</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一是本年度因新增工作任务量，相应新增了</w:t>
      </w:r>
      <w:r>
        <w:rPr>
          <w:rFonts w:hint="eastAsia" w:ascii="仿宋_GB2312" w:hAnsi="仿宋_GB2312" w:eastAsia="仿宋_GB2312" w:cs="仿宋_GB2312"/>
          <w:color w:val="000000" w:themeColor="text1"/>
          <w:sz w:val="32"/>
          <w:szCs w:val="32"/>
          <w:lang w:eastAsia="zh-CN"/>
          <w14:textFill>
            <w14:solidFill>
              <w14:schemeClr w14:val="tx1"/>
            </w14:solidFill>
          </w14:textFill>
        </w:rPr>
        <w:t>政法教育整顿、习近平法治思想宣传等项目经费支出</w:t>
      </w:r>
      <w:r>
        <w:rPr>
          <w:rFonts w:hint="eastAsia" w:ascii="仿宋_GB2312" w:hAnsi="仿宋_GB2312" w:eastAsia="仿宋_GB2312" w:cs="仿宋_GB2312"/>
          <w:color w:val="000000" w:themeColor="text1"/>
          <w:sz w:val="32"/>
          <w:szCs w:val="32"/>
          <w14:textFill>
            <w14:solidFill>
              <w14:schemeClr w14:val="tx1"/>
            </w14:solidFill>
          </w14:textFill>
        </w:rPr>
        <w:t>；二是本年度因新增职工住房补贴和退休人员一次性补贴，相应新增了人员经费</w:t>
      </w:r>
      <w:r>
        <w:rPr>
          <w:rFonts w:hint="eastAsia" w:ascii="仿宋_GB2312" w:hAnsi="仿宋_GB2312" w:eastAsia="仿宋_GB2312" w:cs="仿宋_GB2312"/>
          <w:color w:val="000000" w:themeColor="text1"/>
          <w:sz w:val="32"/>
          <w:szCs w:val="32"/>
          <w:lang w:eastAsia="zh-CN"/>
          <w14:textFill>
            <w14:solidFill>
              <w14:schemeClr w14:val="tx1"/>
            </w14:solidFill>
          </w14:textFill>
        </w:rPr>
        <w:t>支出</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（图4：财政拨款收、支决算总计变动情况）（柱状图）</w:t>
      </w:r>
    </w:p>
    <w:p>
      <w:pPr>
        <w:bidi w:val="0"/>
      </w:pPr>
      <w:r>
        <w:drawing>
          <wp:inline distT="0" distB="0" distL="114300" distR="114300">
            <wp:extent cx="5256530" cy="2532380"/>
            <wp:effectExtent l="4445" t="4445" r="15875" b="1587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Style w:val="27"/>
          <w:rFonts w:hint="eastAsia" w:ascii="黑体" w:hAnsi="黑体" w:eastAsia="黑体" w:cs="黑体"/>
          <w:b w:val="0"/>
          <w:color w:val="000000" w:themeColor="text1"/>
          <w:highlight w:val="none"/>
          <w14:textFill>
            <w14:solidFill>
              <w14:schemeClr w14:val="tx1"/>
            </w14:solidFill>
          </w14:textFill>
        </w:rPr>
      </w:pPr>
      <w:bookmarkStart w:id="36" w:name="_Toc15377209"/>
      <w:bookmarkStart w:id="37" w:name="_Toc15396607"/>
      <w:r>
        <w:rPr>
          <w:rFonts w:hint="eastAsia" w:ascii="黑体" w:hAnsi="黑体" w:eastAsia="黑体" w:cs="黑体"/>
          <w:color w:val="000000" w:themeColor="text1"/>
          <w:sz w:val="32"/>
          <w:szCs w:val="32"/>
          <w:highlight w:val="none"/>
          <w14:textFill>
            <w14:solidFill>
              <w14:schemeClr w14:val="tx1"/>
            </w14:solidFill>
          </w14:textFill>
        </w:rPr>
        <w:t>五、</w:t>
      </w:r>
      <w:r>
        <w:rPr>
          <w:rFonts w:hint="eastAsia" w:ascii="黑体" w:hAnsi="黑体" w:eastAsia="黑体" w:cs="黑体"/>
          <w:b/>
          <w:color w:val="000000" w:themeColor="text1"/>
          <w:sz w:val="32"/>
          <w:szCs w:val="32"/>
          <w:highlight w:val="none"/>
          <w14:textFill>
            <w14:solidFill>
              <w14:schemeClr w14:val="tx1"/>
            </w14:solidFill>
          </w14:textFill>
        </w:rPr>
        <w:t>一</w:t>
      </w:r>
      <w:r>
        <w:rPr>
          <w:rStyle w:val="27"/>
          <w:rFonts w:hint="eastAsia" w:ascii="黑体" w:hAnsi="黑体" w:eastAsia="黑体" w:cs="黑体"/>
          <w:b w:val="0"/>
          <w:color w:val="000000" w:themeColor="text1"/>
          <w:highlight w:val="none"/>
          <w14:textFill>
            <w14:solidFill>
              <w14:schemeClr w14:val="tx1"/>
            </w14:solidFill>
          </w14:textFill>
        </w:rPr>
        <w:t>般公共预算财政拨款支出决算情况说明</w:t>
      </w:r>
      <w:bookmarkEnd w:id="36"/>
      <w:bookmarkEnd w:id="37"/>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2"/>
        <w:rPr>
          <w:rFonts w:hint="eastAsia" w:ascii="楷体_GB2312" w:hAnsi="楷体_GB2312" w:eastAsia="楷体_GB2312" w:cs="楷体_GB2312"/>
          <w:b/>
          <w:color w:val="000000" w:themeColor="text1"/>
          <w:sz w:val="32"/>
          <w:szCs w:val="32"/>
          <w:highlight w:val="none"/>
          <w14:textFill>
            <w14:solidFill>
              <w14:schemeClr w14:val="tx1"/>
            </w14:solidFill>
          </w14:textFill>
        </w:rPr>
      </w:pPr>
      <w:bookmarkStart w:id="38" w:name="_Toc15377210"/>
      <w:r>
        <w:rPr>
          <w:rFonts w:hint="eastAsia" w:ascii="楷体_GB2312" w:hAnsi="楷体_GB2312" w:eastAsia="楷体_GB2312" w:cs="楷体_GB2312"/>
          <w:b/>
          <w:color w:val="000000" w:themeColor="text1"/>
          <w:sz w:val="32"/>
          <w:szCs w:val="32"/>
          <w:highlight w:val="none"/>
          <w14:textFill>
            <w14:solidFill>
              <w14:schemeClr w14:val="tx1"/>
            </w14:solidFill>
          </w14:textFill>
        </w:rPr>
        <w:t>（一）一般公共预算财政拨款支出决算总体情况</w:t>
      </w:r>
      <w:bookmarkEnd w:id="38"/>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20</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21</w:t>
      </w:r>
      <w:r>
        <w:rPr>
          <w:rFonts w:hint="eastAsia" w:ascii="仿宋_GB2312" w:hAnsi="仿宋_GB2312" w:eastAsia="仿宋_GB2312" w:cs="仿宋_GB2312"/>
          <w:color w:val="000000" w:themeColor="text1"/>
          <w:sz w:val="32"/>
          <w:szCs w:val="32"/>
          <w:highlight w:val="none"/>
          <w14:textFill>
            <w14:solidFill>
              <w14:schemeClr w14:val="tx1"/>
            </w14:solidFill>
          </w14:textFill>
        </w:rPr>
        <w:t>年一般公共预算财政拨款支出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24240.10</w:t>
      </w:r>
      <w:r>
        <w:rPr>
          <w:rFonts w:hint="eastAsia" w:ascii="仿宋_GB2312" w:hAnsi="仿宋_GB2312" w:eastAsia="仿宋_GB2312" w:cs="仿宋_GB2312"/>
          <w:color w:val="000000" w:themeColor="text1"/>
          <w:sz w:val="32"/>
          <w:szCs w:val="32"/>
          <w:highlight w:val="none"/>
          <w14:textFill>
            <w14:solidFill>
              <w14:schemeClr w14:val="tx1"/>
            </w14:solidFill>
          </w14:textFill>
        </w:rPr>
        <w:t>万元，占本年支出合计的</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88.70</w:t>
      </w:r>
      <w:r>
        <w:rPr>
          <w:rFonts w:hint="eastAsia" w:ascii="仿宋_GB2312" w:hAnsi="仿宋_GB2312" w:eastAsia="仿宋_GB2312" w:cs="仿宋_GB2312"/>
          <w:color w:val="000000" w:themeColor="text1"/>
          <w:sz w:val="32"/>
          <w:szCs w:val="32"/>
          <w:highlight w:val="none"/>
          <w14:textFill>
            <w14:solidFill>
              <w14:schemeClr w14:val="tx1"/>
            </w14:solidFill>
          </w14:textFill>
        </w:rPr>
        <w:t>%。与20</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20</w:t>
      </w:r>
      <w:r>
        <w:rPr>
          <w:rFonts w:hint="eastAsia" w:ascii="仿宋_GB2312" w:hAnsi="仿宋_GB2312" w:eastAsia="仿宋_GB2312" w:cs="仿宋_GB2312"/>
          <w:color w:val="000000" w:themeColor="text1"/>
          <w:sz w:val="32"/>
          <w:szCs w:val="32"/>
          <w:highlight w:val="none"/>
          <w14:textFill>
            <w14:solidFill>
              <w14:schemeClr w14:val="tx1"/>
            </w14:solidFill>
          </w14:textFill>
        </w:rPr>
        <w:t>年</w:t>
      </w:r>
      <w:r>
        <w:rPr>
          <w:rFonts w:hint="eastAsia" w:ascii="仿宋_GB2312" w:hAnsi="仿宋_GB2312" w:eastAsia="仿宋_GB2312" w:cs="仿宋_GB2312"/>
          <w:color w:val="000000" w:themeColor="text1"/>
          <w:sz w:val="32"/>
          <w:szCs w:val="32"/>
          <w14:textFill>
            <w14:solidFill>
              <w14:schemeClr w14:val="tx1"/>
            </w14:solidFill>
          </w14:textFill>
        </w:rPr>
        <w:t>20020.10</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万元</w:t>
      </w:r>
      <w:r>
        <w:rPr>
          <w:rFonts w:hint="eastAsia" w:ascii="仿宋_GB2312" w:hAnsi="仿宋_GB2312" w:eastAsia="仿宋_GB2312" w:cs="仿宋_GB2312"/>
          <w:color w:val="000000" w:themeColor="text1"/>
          <w:sz w:val="32"/>
          <w:szCs w:val="32"/>
          <w:highlight w:val="none"/>
          <w14:textFill>
            <w14:solidFill>
              <w14:schemeClr w14:val="tx1"/>
            </w14:solidFill>
          </w14:textFill>
        </w:rPr>
        <w:t>相比，一般公共预算财政拨款</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支出</w:t>
      </w:r>
      <w:r>
        <w:rPr>
          <w:rFonts w:hint="eastAsia" w:ascii="仿宋_GB2312" w:hAnsi="仿宋_GB2312" w:eastAsia="仿宋_GB2312" w:cs="仿宋_GB2312"/>
          <w:color w:val="000000" w:themeColor="text1"/>
          <w:sz w:val="32"/>
          <w:szCs w:val="32"/>
          <w:highlight w:val="none"/>
          <w14:textFill>
            <w14:solidFill>
              <w14:schemeClr w14:val="tx1"/>
            </w14:solidFill>
          </w14:textFill>
        </w:rPr>
        <w:t>增加</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4220</w:t>
      </w:r>
      <w:r>
        <w:rPr>
          <w:rFonts w:hint="eastAsia" w:ascii="仿宋_GB2312" w:hAnsi="仿宋_GB2312" w:eastAsia="仿宋_GB2312" w:cs="仿宋_GB2312"/>
          <w:color w:val="000000" w:themeColor="text1"/>
          <w:sz w:val="32"/>
          <w:szCs w:val="32"/>
          <w:highlight w:val="none"/>
          <w14:textFill>
            <w14:solidFill>
              <w14:schemeClr w14:val="tx1"/>
            </w14:solidFill>
          </w14:textFill>
        </w:rPr>
        <w:t>万元，增长</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21.08</w:t>
      </w:r>
      <w:r>
        <w:rPr>
          <w:rFonts w:hint="eastAsia" w:ascii="仿宋_GB2312" w:hAnsi="仿宋_GB2312" w:eastAsia="仿宋_GB2312" w:cs="仿宋_GB2312"/>
          <w:color w:val="000000" w:themeColor="text1"/>
          <w:sz w:val="32"/>
          <w:szCs w:val="32"/>
          <w:highlight w:val="none"/>
          <w14:textFill>
            <w14:solidFill>
              <w14:schemeClr w14:val="tx1"/>
            </w14:solidFill>
          </w14:textFill>
        </w:rPr>
        <w:t>%。主要变动原因</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一是本年度因新增工作任务量，相应新增了</w:t>
      </w:r>
      <w:r>
        <w:rPr>
          <w:rFonts w:hint="eastAsia" w:ascii="仿宋_GB2312" w:hAnsi="仿宋_GB2312" w:eastAsia="仿宋_GB2312" w:cs="仿宋_GB2312"/>
          <w:color w:val="000000" w:themeColor="text1"/>
          <w:sz w:val="32"/>
          <w:szCs w:val="32"/>
          <w:lang w:eastAsia="zh-CN"/>
          <w14:textFill>
            <w14:solidFill>
              <w14:schemeClr w14:val="tx1"/>
            </w14:solidFill>
          </w14:textFill>
        </w:rPr>
        <w:t>政法教育整顿、习近平法治思想宣传等项目经费支出</w:t>
      </w:r>
      <w:r>
        <w:rPr>
          <w:rFonts w:hint="eastAsia" w:ascii="仿宋_GB2312" w:hAnsi="仿宋_GB2312" w:eastAsia="仿宋_GB2312" w:cs="仿宋_GB2312"/>
          <w:color w:val="000000" w:themeColor="text1"/>
          <w:sz w:val="32"/>
          <w:szCs w:val="32"/>
          <w14:textFill>
            <w14:solidFill>
              <w14:schemeClr w14:val="tx1"/>
            </w14:solidFill>
          </w14:textFill>
        </w:rPr>
        <w:t>；二是本年度因新增职工住房补贴和退休人员一次性补贴，相应新增了人员经费</w:t>
      </w:r>
      <w:r>
        <w:rPr>
          <w:rFonts w:hint="eastAsia" w:ascii="仿宋_GB2312" w:hAnsi="仿宋_GB2312" w:eastAsia="仿宋_GB2312" w:cs="仿宋_GB2312"/>
          <w:color w:val="000000" w:themeColor="text1"/>
          <w:sz w:val="32"/>
          <w:szCs w:val="32"/>
          <w:lang w:eastAsia="zh-CN"/>
          <w14:textFill>
            <w14:solidFill>
              <w14:schemeClr w14:val="tx1"/>
            </w14:solidFill>
          </w14:textFill>
        </w:rPr>
        <w:t>支出</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（图5：一般公共预算财政拨款支出决算变动情况）（柱状图）</w:t>
      </w:r>
    </w:p>
    <w:p>
      <w:pPr>
        <w:bidi w:val="0"/>
        <w:rPr>
          <w:color w:val="000000" w:themeColor="text1"/>
          <w14:textFill>
            <w14:solidFill>
              <w14:schemeClr w14:val="tx1"/>
            </w14:solidFill>
          </w14:textFill>
        </w:rPr>
      </w:pPr>
      <w:r>
        <w:rPr>
          <w:color w:val="000000" w:themeColor="text1"/>
          <w14:textFill>
            <w14:solidFill>
              <w14:schemeClr w14:val="tx1"/>
            </w14:solidFill>
          </w14:textFill>
        </w:rPr>
        <w:drawing>
          <wp:anchor distT="0" distB="0" distL="114935" distR="114935" simplePos="0" relativeHeight="251662336" behindDoc="1" locked="0" layoutInCell="1" allowOverlap="1">
            <wp:simplePos x="0" y="0"/>
            <wp:positionH relativeFrom="column">
              <wp:posOffset>499745</wp:posOffset>
            </wp:positionH>
            <wp:positionV relativeFrom="paragraph">
              <wp:posOffset>84455</wp:posOffset>
            </wp:positionV>
            <wp:extent cx="4629150" cy="2000250"/>
            <wp:effectExtent l="4445" t="4445" r="14605" b="14605"/>
            <wp:wrapTight wrapText="bothSides">
              <wp:wrapPolygon>
                <wp:start x="-24" y="-55"/>
                <wp:lineTo x="-24" y="21545"/>
                <wp:lineTo x="21576" y="21545"/>
                <wp:lineTo x="21576" y="-55"/>
                <wp:lineTo x="-24" y="-55"/>
              </wp:wrapPolygon>
            </wp:wrapTight>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bookmarkStart w:id="39" w:name="_Toc15377211"/>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（二）一般公共预算财政拨款支出决算结构情况</w:t>
      </w:r>
      <w:bookmarkEnd w:id="39"/>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21</w:t>
      </w:r>
      <w:r>
        <w:rPr>
          <w:rFonts w:hint="eastAsia" w:ascii="仿宋_GB2312" w:hAnsi="仿宋_GB2312" w:eastAsia="仿宋_GB2312" w:cs="仿宋_GB2312"/>
          <w:color w:val="000000" w:themeColor="text1"/>
          <w:sz w:val="32"/>
          <w:szCs w:val="32"/>
          <w14:textFill>
            <w14:solidFill>
              <w14:schemeClr w14:val="tx1"/>
            </w14:solidFill>
          </w14:textFill>
        </w:rPr>
        <w:t>年一般公共预算财政拨款支出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240240.10</w:t>
      </w:r>
      <w:r>
        <w:rPr>
          <w:rFonts w:hint="eastAsia" w:ascii="仿宋_GB2312" w:hAnsi="仿宋_GB2312" w:eastAsia="仿宋_GB2312" w:cs="仿宋_GB2312"/>
          <w:color w:val="000000" w:themeColor="text1"/>
          <w:sz w:val="32"/>
          <w:szCs w:val="32"/>
          <w14:textFill>
            <w14:solidFill>
              <w14:schemeClr w14:val="tx1"/>
            </w14:solidFill>
          </w14:textFill>
        </w:rPr>
        <w:t>万元，主要用</w:t>
      </w:r>
      <w:r>
        <w:rPr>
          <w:rFonts w:hint="eastAsia" w:ascii="仿宋_GB2312" w:hAnsi="仿宋_GB2312" w:eastAsia="仿宋_GB2312" w:cs="仿宋_GB2312"/>
          <w:color w:val="000000" w:themeColor="text1"/>
          <w:sz w:val="32"/>
          <w:szCs w:val="32"/>
          <w:highlight w:val="none"/>
          <w14:textFill>
            <w14:solidFill>
              <w14:schemeClr w14:val="tx1"/>
            </w14:solidFill>
          </w14:textFill>
        </w:rPr>
        <w:t>于以下方面:</w:t>
      </w:r>
      <w:r>
        <w:rPr>
          <w:rFonts w:hint="eastAsia" w:ascii="仿宋_GB2312" w:hAnsi="仿宋_GB2312" w:eastAsia="仿宋_GB2312" w:cs="仿宋_GB2312"/>
          <w:b/>
          <w:color w:val="000000" w:themeColor="text1"/>
          <w:sz w:val="32"/>
          <w:szCs w:val="32"/>
          <w:highlight w:val="none"/>
          <w14:textFill>
            <w14:solidFill>
              <w14:schemeClr w14:val="tx1"/>
            </w14:solidFill>
          </w14:textFill>
        </w:rPr>
        <w:t>一般公共服务（类）</w:t>
      </w:r>
      <w:r>
        <w:rPr>
          <w:rFonts w:hint="eastAsia" w:ascii="仿宋_GB2312" w:hAnsi="仿宋_GB2312" w:eastAsia="仿宋_GB2312" w:cs="仿宋_GB2312"/>
          <w:color w:val="000000" w:themeColor="text1"/>
          <w:sz w:val="32"/>
          <w:szCs w:val="32"/>
          <w:highlight w:val="none"/>
          <w14:textFill>
            <w14:solidFill>
              <w14:schemeClr w14:val="tx1"/>
            </w14:solidFill>
          </w14:textFill>
        </w:rPr>
        <w:t>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526.57</w:t>
      </w:r>
      <w:r>
        <w:rPr>
          <w:rFonts w:hint="eastAsia" w:ascii="仿宋_GB2312" w:hAnsi="仿宋_GB2312" w:eastAsia="仿宋_GB2312" w:cs="仿宋_GB2312"/>
          <w:color w:val="000000" w:themeColor="text1"/>
          <w:sz w:val="32"/>
          <w:szCs w:val="32"/>
          <w:highlight w:val="none"/>
          <w14:textFill>
            <w14:solidFill>
              <w14:schemeClr w14:val="tx1"/>
            </w14:solidFill>
          </w14:textFill>
        </w:rPr>
        <w:t>万元，占</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2.17</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公共安全支出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13121.56</w:t>
      </w:r>
      <w:r>
        <w:rPr>
          <w:rFonts w:hint="eastAsia" w:ascii="仿宋_GB2312" w:hAnsi="仿宋_GB2312" w:eastAsia="仿宋_GB2312" w:cs="仿宋_GB2312"/>
          <w:color w:val="000000" w:themeColor="text1"/>
          <w:sz w:val="32"/>
          <w:szCs w:val="32"/>
          <w:highlight w:val="none"/>
          <w14:textFill>
            <w14:solidFill>
              <w14:schemeClr w14:val="tx1"/>
            </w14:solidFill>
          </w14:textFill>
        </w:rPr>
        <w:t>，占</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54.13</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；教育支出7442.31万元</w:t>
      </w:r>
      <w:r>
        <w:rPr>
          <w:rFonts w:hint="eastAsia" w:ascii="仿宋_GB2312" w:hAnsi="仿宋_GB2312" w:eastAsia="仿宋_GB2312" w:cs="仿宋_GB2312"/>
          <w:color w:val="000000" w:themeColor="text1"/>
          <w:sz w:val="32"/>
          <w:szCs w:val="32"/>
          <w:highlight w:val="none"/>
          <w14:textFill>
            <w14:solidFill>
              <w14:schemeClr w14:val="tx1"/>
            </w14:solidFill>
          </w14:textFill>
        </w:rPr>
        <w:t>，占</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30.7</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社会保障和就业支出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1443.08</w:t>
      </w:r>
      <w:r>
        <w:rPr>
          <w:rFonts w:hint="eastAsia" w:ascii="仿宋_GB2312" w:hAnsi="仿宋_GB2312" w:eastAsia="仿宋_GB2312" w:cs="仿宋_GB2312"/>
          <w:color w:val="000000" w:themeColor="text1"/>
          <w:sz w:val="32"/>
          <w:szCs w:val="32"/>
          <w14:textFill>
            <w14:solidFill>
              <w14:schemeClr w14:val="tx1"/>
            </w14:solidFill>
          </w14:textFill>
        </w:rPr>
        <w:t>万元</w:t>
      </w:r>
      <w:r>
        <w:rPr>
          <w:rFonts w:hint="eastAsia" w:ascii="仿宋_GB2312" w:hAnsi="仿宋_GB2312" w:eastAsia="仿宋_GB2312" w:cs="仿宋_GB2312"/>
          <w:color w:val="000000" w:themeColor="text1"/>
          <w:sz w:val="32"/>
          <w:szCs w:val="32"/>
          <w:highlight w:val="none"/>
          <w14:textFill>
            <w14:solidFill>
              <w14:schemeClr w14:val="tx1"/>
            </w14:solidFill>
          </w14:textFill>
        </w:rPr>
        <w:t>，占</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5.95</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；卫生健康支出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403.99</w:t>
      </w:r>
      <w:r>
        <w:rPr>
          <w:rFonts w:hint="eastAsia" w:ascii="仿宋_GB2312" w:hAnsi="仿宋_GB2312" w:eastAsia="仿宋_GB2312" w:cs="仿宋_GB2312"/>
          <w:color w:val="000000" w:themeColor="text1"/>
          <w:sz w:val="32"/>
          <w:szCs w:val="32"/>
          <w14:textFill>
            <w14:solidFill>
              <w14:schemeClr w14:val="tx1"/>
            </w14:solidFill>
          </w14:textFill>
        </w:rPr>
        <w:t>万元</w:t>
      </w:r>
      <w:r>
        <w:rPr>
          <w:rFonts w:hint="eastAsia" w:ascii="仿宋_GB2312" w:hAnsi="仿宋_GB2312" w:eastAsia="仿宋_GB2312" w:cs="仿宋_GB2312"/>
          <w:color w:val="000000" w:themeColor="text1"/>
          <w:sz w:val="32"/>
          <w:szCs w:val="32"/>
          <w:highlight w:val="none"/>
          <w14:textFill>
            <w14:solidFill>
              <w14:schemeClr w14:val="tx1"/>
            </w14:solidFill>
          </w14:textFill>
        </w:rPr>
        <w:t>，占</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1.67</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；住房保障支出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1297.59</w:t>
      </w:r>
      <w:r>
        <w:rPr>
          <w:rFonts w:hint="eastAsia" w:ascii="仿宋_GB2312" w:hAnsi="仿宋_GB2312" w:eastAsia="仿宋_GB2312" w:cs="仿宋_GB2312"/>
          <w:color w:val="000000" w:themeColor="text1"/>
          <w:sz w:val="32"/>
          <w:szCs w:val="32"/>
          <w14:textFill>
            <w14:solidFill>
              <w14:schemeClr w14:val="tx1"/>
            </w14:solidFill>
          </w14:textFill>
        </w:rPr>
        <w:t>万元</w:t>
      </w:r>
      <w:r>
        <w:rPr>
          <w:rFonts w:hint="eastAsia" w:ascii="仿宋_GB2312" w:hAnsi="仿宋_GB2312" w:eastAsia="仿宋_GB2312" w:cs="仿宋_GB2312"/>
          <w:color w:val="000000" w:themeColor="text1"/>
          <w:sz w:val="32"/>
          <w:szCs w:val="32"/>
          <w:highlight w:val="none"/>
          <w14:textFill>
            <w14:solidFill>
              <w14:schemeClr w14:val="tx1"/>
            </w14:solidFill>
          </w14:textFill>
        </w:rPr>
        <w:t>，占</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5.35</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灾害防治及应急管理支出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万元</w:t>
      </w:r>
      <w:r>
        <w:rPr>
          <w:rFonts w:hint="eastAsia" w:ascii="仿宋_GB2312" w:hAnsi="仿宋_GB2312" w:eastAsia="仿宋_GB2312" w:cs="仿宋_GB2312"/>
          <w:color w:val="000000" w:themeColor="text1"/>
          <w:sz w:val="32"/>
          <w:szCs w:val="32"/>
          <w:highlight w:val="none"/>
          <w14:textFill>
            <w14:solidFill>
              <w14:schemeClr w14:val="tx1"/>
            </w14:solidFill>
          </w14:textFill>
        </w:rPr>
        <w:t>，占</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0.02</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（图6：一般公共预算财政拨款支出决算结构）（饼状图）</w:t>
      </w:r>
    </w:p>
    <w:p>
      <w:pPr>
        <w:bidi w:val="0"/>
        <w:jc w:val="center"/>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114300" distR="114300">
            <wp:extent cx="4572000" cy="4038600"/>
            <wp:effectExtent l="4445" t="4445" r="14605" b="14605"/>
            <wp:docPr id="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2"/>
        <w:rPr>
          <w:rFonts w:hint="eastAsia" w:ascii="楷体_GB2312" w:hAnsi="楷体_GB2312" w:eastAsia="楷体_GB2312" w:cs="楷体_GB2312"/>
          <w:b/>
          <w:color w:val="000000" w:themeColor="text1"/>
          <w:sz w:val="32"/>
          <w:szCs w:val="32"/>
          <w:highlight w:val="none"/>
          <w14:textFill>
            <w14:solidFill>
              <w14:schemeClr w14:val="tx1"/>
            </w14:solidFill>
          </w14:textFill>
        </w:rPr>
      </w:pPr>
      <w:bookmarkStart w:id="40" w:name="_Toc15377212"/>
      <w:r>
        <w:rPr>
          <w:rFonts w:hint="eastAsia" w:ascii="楷体_GB2312" w:hAnsi="楷体_GB2312" w:eastAsia="楷体_GB2312" w:cs="楷体_GB2312"/>
          <w:b/>
          <w:color w:val="000000" w:themeColor="text1"/>
          <w:sz w:val="32"/>
          <w:szCs w:val="32"/>
          <w:highlight w:val="none"/>
          <w14:textFill>
            <w14:solidFill>
              <w14:schemeClr w14:val="tx1"/>
            </w14:solidFill>
          </w14:textFill>
        </w:rPr>
        <w:t>（三）一般公共预算财政拨款支出决算具体情况</w:t>
      </w:r>
      <w:bookmarkEnd w:id="40"/>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color w:val="000000" w:themeColor="text1"/>
          <w:sz w:val="32"/>
          <w:szCs w:val="32"/>
          <w:highlight w:val="none"/>
          <w14:textFill>
            <w14:solidFill>
              <w14:schemeClr w14:val="tx1"/>
            </w14:solidFill>
          </w14:textFill>
        </w:rPr>
      </w:pPr>
      <w:bookmarkStart w:id="41" w:name="_Toc15377213"/>
      <w:bookmarkStart w:id="42" w:name="_Toc15378460"/>
      <w:bookmarkStart w:id="43" w:name="_Toc15377444"/>
      <w:r>
        <w:rPr>
          <w:rFonts w:hint="eastAsia" w:ascii="仿宋_GB2312" w:hAnsi="仿宋_GB2312" w:eastAsia="仿宋_GB2312" w:cs="仿宋_GB2312"/>
          <w:b/>
          <w:color w:val="000000" w:themeColor="text1"/>
          <w:sz w:val="32"/>
          <w:szCs w:val="32"/>
          <w:highlight w:val="none"/>
          <w14:textFill>
            <w14:solidFill>
              <w14:schemeClr w14:val="tx1"/>
            </w14:solidFill>
          </w14:textFill>
        </w:rPr>
        <w:t>20</w:t>
      </w:r>
      <w:r>
        <w:rPr>
          <w:rFonts w:hint="eastAsia" w:ascii="仿宋_GB2312" w:hAnsi="仿宋_GB2312" w:eastAsia="仿宋_GB2312" w:cs="仿宋_GB2312"/>
          <w:b/>
          <w:color w:val="000000" w:themeColor="text1"/>
          <w:sz w:val="32"/>
          <w:szCs w:val="32"/>
          <w:highlight w:val="none"/>
          <w:lang w:val="en-US" w:eastAsia="zh-CN"/>
          <w14:textFill>
            <w14:solidFill>
              <w14:schemeClr w14:val="tx1"/>
            </w14:solidFill>
          </w14:textFill>
        </w:rPr>
        <w:t>21</w:t>
      </w:r>
      <w:r>
        <w:rPr>
          <w:rFonts w:hint="eastAsia" w:ascii="仿宋_GB2312" w:hAnsi="仿宋_GB2312" w:eastAsia="仿宋_GB2312" w:cs="仿宋_GB2312"/>
          <w:b/>
          <w:color w:val="000000" w:themeColor="text1"/>
          <w:sz w:val="32"/>
          <w:szCs w:val="32"/>
          <w:highlight w:val="none"/>
          <w14:textFill>
            <w14:solidFill>
              <w14:schemeClr w14:val="tx1"/>
            </w14:solidFill>
          </w14:textFill>
        </w:rPr>
        <w:t>年</w:t>
      </w:r>
      <w:r>
        <w:rPr>
          <w:rFonts w:hint="eastAsia" w:ascii="仿宋_GB2312" w:hAnsi="仿宋_GB2312" w:eastAsia="仿宋_GB2312" w:cs="仿宋_GB2312"/>
          <w:b/>
          <w:color w:val="000000" w:themeColor="text1"/>
          <w:sz w:val="32"/>
          <w:szCs w:val="32"/>
          <w:highlight w:val="none"/>
          <w:lang w:eastAsia="zh-CN"/>
          <w14:textFill>
            <w14:solidFill>
              <w14:schemeClr w14:val="tx1"/>
            </w14:solidFill>
          </w14:textFill>
        </w:rPr>
        <w:t>一</w:t>
      </w:r>
      <w:r>
        <w:rPr>
          <w:rFonts w:hint="eastAsia" w:ascii="仿宋_GB2312" w:hAnsi="仿宋_GB2312" w:eastAsia="仿宋_GB2312" w:cs="仿宋_GB2312"/>
          <w:b/>
          <w:color w:val="000000" w:themeColor="text1"/>
          <w:sz w:val="32"/>
          <w:szCs w:val="32"/>
          <w:highlight w:val="none"/>
          <w14:textFill>
            <w14:solidFill>
              <w14:schemeClr w14:val="tx1"/>
            </w14:solidFill>
          </w14:textFill>
        </w:rPr>
        <w:t>般公共预算支出决算数为</w:t>
      </w:r>
      <w:r>
        <w:rPr>
          <w:rFonts w:hint="eastAsia" w:ascii="仿宋_GB2312" w:hAnsi="仿宋_GB2312" w:eastAsia="仿宋_GB2312" w:cs="仿宋_GB2312"/>
          <w:b/>
          <w:color w:val="000000" w:themeColor="text1"/>
          <w:sz w:val="32"/>
          <w:szCs w:val="32"/>
          <w:highlight w:val="none"/>
          <w:lang w:val="en-US" w:eastAsia="zh-CN"/>
          <w14:textFill>
            <w14:solidFill>
              <w14:schemeClr w14:val="tx1"/>
            </w14:solidFill>
          </w14:textFill>
        </w:rPr>
        <w:t>24240.10万元</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Style w:val="16"/>
          <w:rFonts w:hint="eastAsia" w:ascii="仿宋_GB2312" w:hAnsi="仿宋_GB2312" w:eastAsia="仿宋_GB2312" w:cs="仿宋_GB2312"/>
          <w:bCs/>
          <w:color w:val="000000" w:themeColor="text1"/>
          <w:sz w:val="32"/>
          <w:szCs w:val="32"/>
          <w:highlight w:val="none"/>
          <w14:textFill>
            <w14:solidFill>
              <w14:schemeClr w14:val="tx1"/>
            </w14:solidFill>
          </w14:textFill>
        </w:rPr>
        <w:t>完成预算</w:t>
      </w:r>
      <w:r>
        <w:rPr>
          <w:rStyle w:val="16"/>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90.97</w:t>
      </w:r>
      <w:r>
        <w:rPr>
          <w:rStyle w:val="16"/>
          <w:rFonts w:hint="eastAsia" w:ascii="仿宋_GB2312" w:hAnsi="仿宋_GB2312" w:eastAsia="仿宋_GB2312" w:cs="仿宋_GB2312"/>
          <w:bCs/>
          <w:color w:val="000000" w:themeColor="text1"/>
          <w:sz w:val="32"/>
          <w:szCs w:val="32"/>
          <w:highlight w:val="none"/>
          <w14:textFill>
            <w14:solidFill>
              <w14:schemeClr w14:val="tx1"/>
            </w14:solidFill>
          </w14:textFill>
        </w:rPr>
        <w:t>%。其中：</w:t>
      </w:r>
      <w:bookmarkEnd w:id="41"/>
      <w:bookmarkEnd w:id="42"/>
      <w:bookmarkEnd w:id="43"/>
    </w:p>
    <w:p>
      <w:pPr>
        <w:pStyle w:val="3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1.一般公共服务（类）</w:t>
      </w:r>
      <w:r>
        <w:rPr>
          <w:rFonts w:hint="eastAsia" w:ascii="仿宋_GB2312" w:hAnsi="仿宋_GB2312" w:eastAsia="仿宋_GB2312" w:cs="仿宋_GB2312"/>
          <w:color w:val="000000" w:themeColor="text1"/>
          <w:sz w:val="32"/>
          <w:szCs w:val="32"/>
          <w:lang w:eastAsia="zh-CN"/>
          <w14:textFill>
            <w14:solidFill>
              <w14:schemeClr w14:val="tx1"/>
            </w14:solidFill>
          </w14:textFill>
        </w:rPr>
        <w:t>政府办公厅（室）及相关机构事务</w:t>
      </w:r>
      <w:r>
        <w:rPr>
          <w:rFonts w:hint="eastAsia" w:ascii="仿宋_GB2312" w:hAnsi="仿宋_GB2312" w:eastAsia="仿宋_GB2312" w:cs="仿宋_GB2312"/>
          <w:color w:val="000000" w:themeColor="text1"/>
          <w:sz w:val="32"/>
          <w:szCs w:val="32"/>
          <w14:textFill>
            <w14:solidFill>
              <w14:schemeClr w14:val="tx1"/>
            </w14:solidFill>
          </w14:textFill>
        </w:rPr>
        <w:t>（款）</w:t>
      </w:r>
      <w:r>
        <w:rPr>
          <w:rFonts w:hint="eastAsia" w:ascii="仿宋_GB2312" w:hAnsi="仿宋_GB2312" w:eastAsia="仿宋_GB2312" w:cs="仿宋_GB2312"/>
          <w:color w:val="000000" w:themeColor="text1"/>
          <w:sz w:val="32"/>
          <w:szCs w:val="32"/>
          <w:lang w:eastAsia="zh-CN"/>
          <w14:textFill>
            <w14:solidFill>
              <w14:schemeClr w14:val="tx1"/>
            </w14:solidFill>
          </w14:textFill>
        </w:rPr>
        <w:t>其他政府办公厅（室）及相关机构事务支出</w:t>
      </w:r>
      <w:r>
        <w:rPr>
          <w:rFonts w:hint="eastAsia" w:ascii="仿宋_GB2312" w:hAnsi="仿宋_GB2312" w:eastAsia="仿宋_GB2312" w:cs="仿宋_GB2312"/>
          <w:color w:val="000000" w:themeColor="text1"/>
          <w:sz w:val="32"/>
          <w:szCs w:val="32"/>
          <w14:textFill>
            <w14:solidFill>
              <w14:schemeClr w14:val="tx1"/>
            </w14:solidFill>
          </w14:textFill>
        </w:rPr>
        <w:t>（项）:支出决算为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300.58</w:t>
      </w:r>
      <w:r>
        <w:rPr>
          <w:rFonts w:hint="eastAsia" w:ascii="仿宋_GB2312" w:hAnsi="仿宋_GB2312" w:eastAsia="仿宋_GB2312" w:cs="仿宋_GB2312"/>
          <w:color w:val="000000" w:themeColor="text1"/>
          <w:sz w:val="32"/>
          <w:szCs w:val="32"/>
          <w14:textFill>
            <w14:solidFill>
              <w14:schemeClr w14:val="tx1"/>
            </w14:solidFill>
          </w14:textFill>
        </w:rPr>
        <w:t>万元，完成预算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40.02</w:t>
      </w:r>
      <w:r>
        <w:rPr>
          <w:rFonts w:hint="eastAsia" w:ascii="仿宋_GB2312" w:hAnsi="仿宋_GB2312" w:eastAsia="仿宋_GB2312" w:cs="仿宋_GB2312"/>
          <w:color w:val="000000" w:themeColor="text1"/>
          <w:sz w:val="32"/>
          <w:szCs w:val="32"/>
          <w14:textFill>
            <w14:solidFill>
              <w14:schemeClr w14:val="tx1"/>
            </w14:solidFill>
          </w14:textFill>
        </w:rPr>
        <w:t>%。决算数小于预算数的主要原因</w:t>
      </w:r>
      <w:r>
        <w:rPr>
          <w:rFonts w:hint="eastAsia" w:ascii="仿宋_GB2312" w:hAnsi="仿宋_GB2312" w:eastAsia="仿宋_GB2312" w:cs="仿宋_GB2312"/>
          <w:color w:val="000000" w:themeColor="text1"/>
          <w:sz w:val="32"/>
          <w:szCs w:val="32"/>
          <w:lang w:eastAsia="zh-CN"/>
          <w14:textFill>
            <w14:solidFill>
              <w14:schemeClr w14:val="tx1"/>
            </w14:solidFill>
          </w14:textFill>
        </w:rPr>
        <w:t>一</w:t>
      </w:r>
      <w:r>
        <w:rPr>
          <w:rFonts w:hint="eastAsia" w:ascii="仿宋_GB2312" w:hAnsi="仿宋_GB2312" w:eastAsia="仿宋_GB2312" w:cs="仿宋_GB2312"/>
          <w:color w:val="000000" w:themeColor="text1"/>
          <w:sz w:val="32"/>
          <w:szCs w:val="32"/>
          <w14:textFill>
            <w14:solidFill>
              <w14:schemeClr w14:val="tx1"/>
            </w14:solidFill>
          </w14:textFill>
        </w:rPr>
        <w:t>是</w:t>
      </w:r>
      <w:r>
        <w:rPr>
          <w:rFonts w:hint="eastAsia" w:ascii="仿宋_GB2312" w:hAnsi="仿宋_GB2312" w:eastAsia="仿宋_GB2312" w:cs="仿宋_GB2312"/>
          <w:color w:val="000000" w:themeColor="text1"/>
          <w:sz w:val="32"/>
          <w:szCs w:val="32"/>
          <w:lang w:eastAsia="zh-CN"/>
          <w14:textFill>
            <w14:solidFill>
              <w14:schemeClr w14:val="tx1"/>
            </w14:solidFill>
          </w14:textFill>
        </w:rPr>
        <w:t>驻地实施街道风貌整治，为实现风貌统一，与之同步实施。二是根据项目进度进行资金支付，而施工进度时常受到疫情影响</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3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一般公共服务（类）纪检监察事务（款）大案要案查处（项）:支出决算为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209.99</w:t>
      </w:r>
      <w:r>
        <w:rPr>
          <w:rFonts w:hint="eastAsia" w:ascii="仿宋_GB2312" w:hAnsi="仿宋_GB2312" w:eastAsia="仿宋_GB2312" w:cs="仿宋_GB2312"/>
          <w:color w:val="000000" w:themeColor="text1"/>
          <w:sz w:val="32"/>
          <w:szCs w:val="32"/>
          <w14:textFill>
            <w14:solidFill>
              <w14:schemeClr w14:val="tx1"/>
            </w14:solidFill>
          </w14:textFill>
        </w:rPr>
        <w:t>万元，完成预算100%。</w:t>
      </w:r>
    </w:p>
    <w:p>
      <w:pPr>
        <w:pStyle w:val="3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.一般公共服务（类）市场监督管理事务（款）其他市场监督管理事务（项）:支出决算为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16</w:t>
      </w:r>
      <w:r>
        <w:rPr>
          <w:rFonts w:hint="eastAsia" w:ascii="仿宋_GB2312" w:hAnsi="仿宋_GB2312" w:eastAsia="仿宋_GB2312" w:cs="仿宋_GB2312"/>
          <w:color w:val="000000" w:themeColor="text1"/>
          <w:sz w:val="32"/>
          <w:szCs w:val="32"/>
          <w14:textFill>
            <w14:solidFill>
              <w14:schemeClr w14:val="tx1"/>
            </w14:solidFill>
          </w14:textFill>
        </w:rPr>
        <w:t>万元，完成预算100%。</w:t>
      </w:r>
    </w:p>
    <w:p>
      <w:pPr>
        <w:pStyle w:val="3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.公共安全支出（类）司法（款）行政运行（项）:支出决算为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6405.84</w:t>
      </w:r>
      <w:r>
        <w:rPr>
          <w:rFonts w:hint="eastAsia" w:ascii="仿宋_GB2312" w:hAnsi="仿宋_GB2312" w:eastAsia="仿宋_GB2312" w:cs="仿宋_GB2312"/>
          <w:color w:val="000000" w:themeColor="text1"/>
          <w:sz w:val="32"/>
          <w:szCs w:val="32"/>
          <w14:textFill>
            <w14:solidFill>
              <w14:schemeClr w14:val="tx1"/>
            </w14:solidFill>
          </w14:textFill>
        </w:rPr>
        <w:t>万元，完成预算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91.43</w:t>
      </w:r>
      <w:r>
        <w:rPr>
          <w:rFonts w:hint="eastAsia" w:ascii="仿宋_GB2312" w:hAnsi="仿宋_GB2312" w:eastAsia="仿宋_GB2312" w:cs="仿宋_GB2312"/>
          <w:color w:val="000000" w:themeColor="text1"/>
          <w:sz w:val="32"/>
          <w:szCs w:val="32"/>
          <w14:textFill>
            <w14:solidFill>
              <w14:schemeClr w14:val="tx1"/>
            </w14:solidFill>
          </w14:textFill>
        </w:rPr>
        <w:t>%,</w:t>
      </w:r>
      <w:r>
        <w:rPr>
          <w:rStyle w:val="34"/>
          <w:rFonts w:hint="eastAsia" w:ascii="仿宋_GB2312" w:hAnsi="仿宋_GB2312" w:eastAsia="仿宋_GB2312" w:cs="仿宋_GB2312"/>
          <w:b w:val="0"/>
          <w:bCs/>
          <w:color w:val="000000" w:themeColor="text1"/>
          <w:sz w:val="32"/>
          <w:szCs w:val="32"/>
          <w14:textFill>
            <w14:solidFill>
              <w14:schemeClr w14:val="tx1"/>
            </w14:solidFill>
          </w14:textFill>
        </w:rPr>
        <w:t>决算数小于预算数的主要原因是</w:t>
      </w:r>
      <w:r>
        <w:rPr>
          <w:rFonts w:hint="eastAsia" w:ascii="仿宋_GB2312" w:hAnsi="仿宋_GB2312" w:eastAsia="仿宋_GB2312" w:cs="仿宋_GB2312"/>
          <w:color w:val="000000" w:themeColor="text1"/>
          <w:sz w:val="32"/>
          <w:szCs w:val="32"/>
          <w14:textFill>
            <w14:solidFill>
              <w14:schemeClr w14:val="tx1"/>
            </w14:solidFill>
          </w14:textFill>
        </w:rPr>
        <w:t>单位厉行节约,落实过紧日子的要求。</w:t>
      </w:r>
    </w:p>
    <w:p>
      <w:pPr>
        <w:pStyle w:val="35"/>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.公共安全支出（类）司法（款）一般行政管理事务（项）:支出决算为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4504.30</w:t>
      </w:r>
      <w:r>
        <w:rPr>
          <w:rFonts w:hint="eastAsia" w:ascii="仿宋_GB2312" w:hAnsi="仿宋_GB2312" w:eastAsia="仿宋_GB2312" w:cs="仿宋_GB2312"/>
          <w:color w:val="000000" w:themeColor="text1"/>
          <w:sz w:val="32"/>
          <w:szCs w:val="32"/>
          <w14:textFill>
            <w14:solidFill>
              <w14:schemeClr w14:val="tx1"/>
            </w14:solidFill>
          </w14:textFill>
        </w:rPr>
        <w:t>万元，完成预算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91.30</w:t>
      </w:r>
      <w:r>
        <w:rPr>
          <w:rFonts w:hint="eastAsia" w:ascii="仿宋_GB2312" w:hAnsi="仿宋_GB2312" w:eastAsia="仿宋_GB2312" w:cs="仿宋_GB2312"/>
          <w:color w:val="000000" w:themeColor="text1"/>
          <w:sz w:val="32"/>
          <w:szCs w:val="32"/>
          <w14:textFill>
            <w14:solidFill>
              <w14:schemeClr w14:val="tx1"/>
            </w14:solidFill>
          </w14:textFill>
        </w:rPr>
        <w:t>%,</w:t>
      </w:r>
      <w:r>
        <w:rPr>
          <w:rStyle w:val="34"/>
          <w:rFonts w:hint="eastAsia" w:ascii="仿宋_GB2312" w:hAnsi="仿宋_GB2312" w:eastAsia="仿宋_GB2312" w:cs="仿宋_GB2312"/>
          <w:b w:val="0"/>
          <w:bCs/>
          <w:color w:val="000000" w:themeColor="text1"/>
          <w:sz w:val="32"/>
          <w:szCs w:val="32"/>
          <w14:textFill>
            <w14:solidFill>
              <w14:schemeClr w14:val="tx1"/>
            </w14:solidFill>
          </w14:textFill>
        </w:rPr>
        <w:t>决算数小于预算数的主要原因是通过政府采购节约了预算。</w:t>
      </w:r>
    </w:p>
    <w:p>
      <w:pPr>
        <w:pStyle w:val="3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kern w:val="2"/>
          <w:sz w:val="32"/>
          <w:szCs w:val="32"/>
          <w:lang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6</w:t>
      </w:r>
      <w:r>
        <w:rPr>
          <w:rFonts w:hint="eastAsia" w:ascii="仿宋_GB2312" w:hAnsi="仿宋_GB2312" w:eastAsia="仿宋_GB2312" w:cs="仿宋_GB2312"/>
          <w:color w:val="000000" w:themeColor="text1"/>
          <w:kern w:val="2"/>
          <w:sz w:val="32"/>
          <w:szCs w:val="32"/>
          <w:lang w:bidi="ar-SA"/>
          <w14:textFill>
            <w14:solidFill>
              <w14:schemeClr w14:val="tx1"/>
            </w14:solidFill>
          </w14:textFill>
        </w:rPr>
        <w:t>.公共安全支出（类）司法（款）机关服务（项）:支出决算为</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149.02</w:t>
      </w:r>
      <w:r>
        <w:rPr>
          <w:rFonts w:hint="eastAsia" w:ascii="仿宋_GB2312" w:hAnsi="仿宋_GB2312" w:eastAsia="仿宋_GB2312" w:cs="仿宋_GB2312"/>
          <w:color w:val="000000" w:themeColor="text1"/>
          <w:kern w:val="2"/>
          <w:sz w:val="32"/>
          <w:szCs w:val="32"/>
          <w:lang w:bidi="ar-SA"/>
          <w14:textFill>
            <w14:solidFill>
              <w14:schemeClr w14:val="tx1"/>
            </w14:solidFill>
          </w14:textFill>
        </w:rPr>
        <w:t>万元，完成预算</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98.64</w:t>
      </w:r>
      <w:r>
        <w:rPr>
          <w:rFonts w:hint="eastAsia" w:ascii="仿宋_GB2312" w:hAnsi="仿宋_GB2312" w:eastAsia="仿宋_GB2312" w:cs="仿宋_GB2312"/>
          <w:color w:val="000000" w:themeColor="text1"/>
          <w:kern w:val="2"/>
          <w:sz w:val="32"/>
          <w:szCs w:val="32"/>
          <w:lang w:bidi="ar-SA"/>
          <w14:textFill>
            <w14:solidFill>
              <w14:schemeClr w14:val="tx1"/>
            </w14:solidFill>
          </w14:textFill>
        </w:rPr>
        <w:t>%。</w:t>
      </w:r>
      <w:r>
        <w:rPr>
          <w:rStyle w:val="34"/>
          <w:rFonts w:hint="eastAsia" w:ascii="仿宋_GB2312" w:hAnsi="仿宋_GB2312" w:eastAsia="仿宋_GB2312" w:cs="仿宋_GB2312"/>
          <w:b w:val="0"/>
          <w:bCs/>
          <w:color w:val="000000" w:themeColor="text1"/>
          <w:sz w:val="32"/>
          <w:szCs w:val="32"/>
          <w14:textFill>
            <w14:solidFill>
              <w14:schemeClr w14:val="tx1"/>
            </w14:solidFill>
          </w14:textFill>
        </w:rPr>
        <w:t>决算数小于预算数的主要原因是</w:t>
      </w:r>
      <w:r>
        <w:rPr>
          <w:rFonts w:hint="eastAsia" w:ascii="仿宋_GB2312" w:hAnsi="仿宋_GB2312" w:eastAsia="仿宋_GB2312" w:cs="仿宋_GB2312"/>
          <w:color w:val="000000" w:themeColor="text1"/>
          <w:sz w:val="32"/>
          <w:szCs w:val="32"/>
          <w:lang w:eastAsia="zh-CN"/>
          <w14:textFill>
            <w14:solidFill>
              <w14:schemeClr w14:val="tx1"/>
            </w14:solidFill>
          </w14:textFill>
        </w:rPr>
        <w:t>人员变动，人员支出减少</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35"/>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.公共安全支出（类）司法（款）基层司法业务（项）:支出决算为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494.2</w:t>
      </w:r>
      <w:r>
        <w:rPr>
          <w:rFonts w:hint="eastAsia" w:ascii="仿宋_GB2312" w:hAnsi="仿宋_GB2312" w:eastAsia="仿宋_GB2312" w:cs="仿宋_GB2312"/>
          <w:color w:val="000000" w:themeColor="text1"/>
          <w:sz w:val="32"/>
          <w:szCs w:val="32"/>
          <w14:textFill>
            <w14:solidFill>
              <w14:schemeClr w14:val="tx1"/>
            </w14:solidFill>
          </w14:textFill>
        </w:rPr>
        <w:t>万元，完成预算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100</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3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8</w:t>
      </w:r>
      <w:r>
        <w:rPr>
          <w:rFonts w:hint="eastAsia" w:ascii="仿宋_GB2312" w:hAnsi="仿宋_GB2312" w:eastAsia="仿宋_GB2312" w:cs="仿宋_GB2312"/>
          <w:color w:val="000000" w:themeColor="text1"/>
          <w:kern w:val="2"/>
          <w:sz w:val="32"/>
          <w:szCs w:val="32"/>
          <w:lang w:bidi="ar-SA"/>
          <w14:textFill>
            <w14:solidFill>
              <w14:schemeClr w14:val="tx1"/>
            </w14:solidFill>
          </w14:textFill>
        </w:rPr>
        <w:t>.公共安全支出（类）司法（款）普法宣传（项）:支出决算为</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4</w:t>
      </w:r>
      <w:r>
        <w:rPr>
          <w:rFonts w:hint="eastAsia" w:ascii="仿宋_GB2312" w:hAnsi="仿宋_GB2312" w:eastAsia="仿宋_GB2312" w:cs="仿宋_GB2312"/>
          <w:color w:val="000000" w:themeColor="text1"/>
          <w:kern w:val="2"/>
          <w:sz w:val="32"/>
          <w:szCs w:val="32"/>
          <w:lang w:bidi="ar-SA"/>
          <w14:textFill>
            <w14:solidFill>
              <w14:schemeClr w14:val="tx1"/>
            </w14:solidFill>
          </w14:textFill>
        </w:rPr>
        <w:t>70万元，完成预算100%。</w:t>
      </w:r>
    </w:p>
    <w:p>
      <w:pPr>
        <w:pStyle w:val="3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.公共安全支出（类）司法（款）法律援助（项）:支出决算为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649.65</w:t>
      </w:r>
      <w:r>
        <w:rPr>
          <w:rFonts w:hint="eastAsia" w:ascii="仿宋_GB2312" w:hAnsi="仿宋_GB2312" w:eastAsia="仿宋_GB2312" w:cs="仿宋_GB2312"/>
          <w:color w:val="000000" w:themeColor="text1"/>
          <w:sz w:val="32"/>
          <w:szCs w:val="32"/>
          <w14:textFill>
            <w14:solidFill>
              <w14:schemeClr w14:val="tx1"/>
            </w14:solidFill>
          </w14:textFill>
        </w:rPr>
        <w:t>万元，完成预算100%。</w:t>
      </w:r>
    </w:p>
    <w:p>
      <w:pPr>
        <w:pStyle w:val="3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.公共安全支出（类）司法（款）国家统一法律职业资格考试（项）:支出决算为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46.54</w:t>
      </w:r>
      <w:r>
        <w:rPr>
          <w:rFonts w:hint="eastAsia" w:ascii="仿宋_GB2312" w:hAnsi="仿宋_GB2312" w:eastAsia="仿宋_GB2312" w:cs="仿宋_GB2312"/>
          <w:color w:val="000000" w:themeColor="text1"/>
          <w:sz w:val="32"/>
          <w:szCs w:val="32"/>
          <w14:textFill>
            <w14:solidFill>
              <w14:schemeClr w14:val="tx1"/>
            </w14:solidFill>
          </w14:textFill>
        </w:rPr>
        <w:t>万元，完成预算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77.57</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35"/>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Style w:val="34"/>
          <w:rFonts w:hint="eastAsia" w:ascii="仿宋_GB2312" w:hAnsi="仿宋_GB2312" w:eastAsia="仿宋_GB2312" w:cs="仿宋_GB2312"/>
          <w:b w:val="0"/>
          <w:bCs/>
          <w:color w:val="000000" w:themeColor="text1"/>
          <w:sz w:val="32"/>
          <w:szCs w:val="32"/>
          <w14:textFill>
            <w14:solidFill>
              <w14:schemeClr w14:val="tx1"/>
            </w14:solidFill>
          </w14:textFill>
        </w:rPr>
        <w:t>决算数小于预算数的主要原因是优化支出结构，按照项目执行情况开支。</w:t>
      </w:r>
    </w:p>
    <w:p>
      <w:pPr>
        <w:pStyle w:val="35"/>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.公共安全支出（类）司法（款）法制建设（项）:支出决算为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390</w:t>
      </w:r>
      <w:r>
        <w:rPr>
          <w:rFonts w:hint="eastAsia" w:ascii="仿宋_GB2312" w:hAnsi="仿宋_GB2312" w:eastAsia="仿宋_GB2312" w:cs="仿宋_GB2312"/>
          <w:color w:val="000000" w:themeColor="text1"/>
          <w:sz w:val="32"/>
          <w:szCs w:val="32"/>
          <w14:textFill>
            <w14:solidFill>
              <w14:schemeClr w14:val="tx1"/>
            </w14:solidFill>
          </w14:textFill>
        </w:rPr>
        <w:t>万元，完成预算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84.78</w:t>
      </w:r>
      <w:r>
        <w:rPr>
          <w:rFonts w:hint="eastAsia" w:ascii="仿宋_GB2312" w:hAnsi="仿宋_GB2312" w:eastAsia="仿宋_GB2312" w:cs="仿宋_GB2312"/>
          <w:color w:val="000000" w:themeColor="text1"/>
          <w:sz w:val="32"/>
          <w:szCs w:val="32"/>
          <w14:textFill>
            <w14:solidFill>
              <w14:schemeClr w14:val="tx1"/>
            </w14:solidFill>
          </w14:textFill>
        </w:rPr>
        <w:t>%。</w:t>
      </w:r>
      <w:r>
        <w:rPr>
          <w:rStyle w:val="34"/>
          <w:rFonts w:hint="eastAsia" w:ascii="仿宋_GB2312" w:hAnsi="仿宋_GB2312" w:eastAsia="仿宋_GB2312" w:cs="仿宋_GB2312"/>
          <w:b w:val="0"/>
          <w:bCs/>
          <w:color w:val="000000" w:themeColor="text1"/>
          <w:sz w:val="32"/>
          <w:szCs w:val="32"/>
          <w14:textFill>
            <w14:solidFill>
              <w14:schemeClr w14:val="tx1"/>
            </w14:solidFill>
          </w14:textFill>
        </w:rPr>
        <w:t>决算数小于预算数的主要原因是优化支出结构，按照项目执行情况开支。</w:t>
      </w:r>
    </w:p>
    <w:p>
      <w:pPr>
        <w:pStyle w:val="3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.公共安全支出（类）其他公共安全（款）</w:t>
      </w:r>
      <w:r>
        <w:rPr>
          <w:rStyle w:val="34"/>
          <w:rFonts w:hint="eastAsia" w:ascii="仿宋_GB2312" w:hAnsi="仿宋_GB2312" w:eastAsia="仿宋_GB2312" w:cs="仿宋_GB2312"/>
          <w:b w:val="0"/>
          <w:bCs/>
          <w:color w:val="000000" w:themeColor="text1"/>
          <w:sz w:val="32"/>
          <w:szCs w:val="32"/>
          <w:lang w:eastAsia="zh-CN"/>
          <w14:textFill>
            <w14:solidFill>
              <w14:schemeClr w14:val="tx1"/>
            </w14:solidFill>
          </w14:textFill>
        </w:rPr>
        <w:t>国家司法救助支出</w:t>
      </w:r>
      <w:r>
        <w:rPr>
          <w:rFonts w:hint="eastAsia" w:ascii="仿宋_GB2312" w:hAnsi="仿宋_GB2312" w:eastAsia="仿宋_GB2312" w:cs="仿宋_GB2312"/>
          <w:color w:val="000000" w:themeColor="text1"/>
          <w:sz w:val="32"/>
          <w:szCs w:val="32"/>
          <w14:textFill>
            <w14:solidFill>
              <w14:schemeClr w14:val="tx1"/>
            </w14:solidFill>
          </w14:textFill>
        </w:rPr>
        <w:t>（项）:</w:t>
      </w:r>
      <w:r>
        <w:rPr>
          <w:rStyle w:val="16"/>
          <w:rFonts w:hint="eastAsia" w:ascii="仿宋_GB2312" w:hAnsi="仿宋_GB2312" w:eastAsia="仿宋_GB2312" w:cs="仿宋_GB2312"/>
          <w:b w:val="0"/>
          <w:bCs/>
          <w:color w:val="000000" w:themeColor="text1"/>
          <w:sz w:val="32"/>
          <w:szCs w:val="32"/>
          <w14:textFill>
            <w14:solidFill>
              <w14:schemeClr w14:val="tx1"/>
            </w14:solidFill>
          </w14:textFill>
        </w:rPr>
        <w:t>支出决算为</w:t>
      </w:r>
      <w:r>
        <w:rPr>
          <w:rStyle w:val="16"/>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12</w:t>
      </w:r>
      <w:r>
        <w:rPr>
          <w:rStyle w:val="16"/>
          <w:rFonts w:hint="eastAsia" w:ascii="仿宋_GB2312" w:hAnsi="仿宋_GB2312" w:eastAsia="仿宋_GB2312" w:cs="仿宋_GB2312"/>
          <w:b w:val="0"/>
          <w:bCs/>
          <w:color w:val="000000" w:themeColor="text1"/>
          <w:sz w:val="32"/>
          <w:szCs w:val="32"/>
          <w14:textFill>
            <w14:solidFill>
              <w14:schemeClr w14:val="tx1"/>
            </w14:solidFill>
          </w14:textFill>
        </w:rPr>
        <w:t>万元，完成预算</w:t>
      </w:r>
      <w:r>
        <w:rPr>
          <w:rStyle w:val="16"/>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%。决算数小于预算数的主要原因</w:t>
      </w:r>
      <w:r>
        <w:rPr>
          <w:rStyle w:val="34"/>
          <w:rFonts w:hint="eastAsia" w:ascii="仿宋_GB2312" w:hAnsi="仿宋_GB2312" w:eastAsia="仿宋_GB2312" w:cs="仿宋_GB2312"/>
          <w:b w:val="0"/>
          <w:bCs/>
          <w:color w:val="000000" w:themeColor="text1"/>
          <w:sz w:val="32"/>
          <w:szCs w:val="32"/>
          <w14:textFill>
            <w14:solidFill>
              <w14:schemeClr w14:val="tx1"/>
            </w14:solidFill>
          </w14:textFill>
        </w:rPr>
        <w:t>是按照实际情况开支</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3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.教育（类）职业教育（款）高等职业教育（项）:支出决算为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7440.61</w:t>
      </w:r>
      <w:r>
        <w:rPr>
          <w:rFonts w:hint="eastAsia" w:ascii="仿宋_GB2312" w:hAnsi="仿宋_GB2312" w:eastAsia="仿宋_GB2312" w:cs="仿宋_GB2312"/>
          <w:color w:val="000000" w:themeColor="text1"/>
          <w:sz w:val="32"/>
          <w:szCs w:val="32"/>
          <w14:textFill>
            <w14:solidFill>
              <w14:schemeClr w14:val="tx1"/>
            </w14:solidFill>
          </w14:textFill>
        </w:rPr>
        <w:t>万元，完成预算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90.71</w:t>
      </w:r>
      <w:r>
        <w:rPr>
          <w:rFonts w:hint="eastAsia" w:ascii="仿宋_GB2312" w:hAnsi="仿宋_GB2312" w:eastAsia="仿宋_GB2312" w:cs="仿宋_GB2312"/>
          <w:color w:val="000000" w:themeColor="text1"/>
          <w:sz w:val="32"/>
          <w:szCs w:val="32"/>
          <w14:textFill>
            <w14:solidFill>
              <w14:schemeClr w14:val="tx1"/>
            </w14:solidFill>
          </w14:textFill>
        </w:rPr>
        <w:t>%。决算数小于预算数的主要原因是根据教育厅下达的实际学生人数</w:t>
      </w:r>
      <w:r>
        <w:rPr>
          <w:rFonts w:hint="eastAsia" w:ascii="仿宋_GB2312" w:hAnsi="仿宋_GB2312" w:eastAsia="仿宋_GB2312" w:cs="仿宋_GB2312"/>
          <w:color w:val="000000" w:themeColor="text1"/>
          <w:sz w:val="32"/>
          <w:szCs w:val="32"/>
          <w:lang w:eastAsia="zh-CN"/>
          <w14:textFill>
            <w14:solidFill>
              <w14:schemeClr w14:val="tx1"/>
            </w14:solidFill>
          </w14:textFill>
        </w:rPr>
        <w:t>支出</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3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.教育（类）</w:t>
      </w:r>
      <w:r>
        <w:rPr>
          <w:rFonts w:hint="eastAsia" w:ascii="仿宋_GB2312" w:hAnsi="仿宋_GB2312" w:eastAsia="仿宋_GB2312" w:cs="仿宋_GB2312"/>
          <w:color w:val="000000" w:themeColor="text1"/>
          <w:sz w:val="32"/>
          <w:szCs w:val="32"/>
          <w:lang w:eastAsia="zh-CN"/>
          <w14:textFill>
            <w14:solidFill>
              <w14:schemeClr w14:val="tx1"/>
            </w14:solidFill>
          </w14:textFill>
        </w:rPr>
        <w:t>进修及培训</w:t>
      </w:r>
      <w:r>
        <w:rPr>
          <w:rFonts w:hint="eastAsia" w:ascii="仿宋_GB2312" w:hAnsi="仿宋_GB2312" w:eastAsia="仿宋_GB2312" w:cs="仿宋_GB2312"/>
          <w:color w:val="000000" w:themeColor="text1"/>
          <w:sz w:val="32"/>
          <w:szCs w:val="32"/>
          <w14:textFill>
            <w14:solidFill>
              <w14:schemeClr w14:val="tx1"/>
            </w14:solidFill>
          </w14:textFill>
        </w:rPr>
        <w:t>（款）</w:t>
      </w:r>
      <w:r>
        <w:rPr>
          <w:rFonts w:hint="eastAsia" w:ascii="仿宋_GB2312" w:hAnsi="仿宋_GB2312" w:eastAsia="仿宋_GB2312" w:cs="仿宋_GB2312"/>
          <w:color w:val="000000" w:themeColor="text1"/>
          <w:sz w:val="32"/>
          <w:szCs w:val="32"/>
          <w:lang w:eastAsia="zh-CN"/>
          <w14:textFill>
            <w14:solidFill>
              <w14:schemeClr w14:val="tx1"/>
            </w14:solidFill>
          </w14:textFill>
        </w:rPr>
        <w:t>其他进修及培训</w:t>
      </w:r>
      <w:r>
        <w:rPr>
          <w:rFonts w:hint="eastAsia" w:ascii="仿宋_GB2312" w:hAnsi="仿宋_GB2312" w:eastAsia="仿宋_GB2312" w:cs="仿宋_GB2312"/>
          <w:color w:val="000000" w:themeColor="text1"/>
          <w:sz w:val="32"/>
          <w:szCs w:val="32"/>
          <w14:textFill>
            <w14:solidFill>
              <w14:schemeClr w14:val="tx1"/>
            </w14:solidFill>
          </w14:textFill>
        </w:rPr>
        <w:t>（项）:支出决算为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1.70</w:t>
      </w:r>
      <w:r>
        <w:rPr>
          <w:rFonts w:hint="eastAsia" w:ascii="仿宋_GB2312" w:hAnsi="仿宋_GB2312" w:eastAsia="仿宋_GB2312" w:cs="仿宋_GB2312"/>
          <w:color w:val="000000" w:themeColor="text1"/>
          <w:sz w:val="32"/>
          <w:szCs w:val="32"/>
          <w14:textFill>
            <w14:solidFill>
              <w14:schemeClr w14:val="tx1"/>
            </w14:solidFill>
          </w14:textFill>
        </w:rPr>
        <w:t>万元，完成预算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100</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3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.社会保障和就业（类）行政事业单位养老支出（款）行政单位离退休（项）:支出决算为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802.13</w:t>
      </w:r>
      <w:r>
        <w:rPr>
          <w:rFonts w:hint="eastAsia" w:ascii="仿宋_GB2312" w:hAnsi="仿宋_GB2312" w:eastAsia="仿宋_GB2312" w:cs="仿宋_GB2312"/>
          <w:color w:val="000000" w:themeColor="text1"/>
          <w:sz w:val="32"/>
          <w:szCs w:val="32"/>
          <w14:textFill>
            <w14:solidFill>
              <w14:schemeClr w14:val="tx1"/>
            </w14:solidFill>
          </w14:textFill>
        </w:rPr>
        <w:t>万元，完成预算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100</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3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16.社会保障和就业（类）行政事业单位养老支出（款）机关事业单位养老保险缴费支出（项）: 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386.89</w:t>
      </w:r>
      <w:r>
        <w:rPr>
          <w:rFonts w:hint="eastAsia" w:ascii="仿宋_GB2312" w:hAnsi="仿宋_GB2312" w:eastAsia="仿宋_GB2312" w:cs="仿宋_GB2312"/>
          <w:color w:val="000000" w:themeColor="text1"/>
          <w:sz w:val="32"/>
          <w:szCs w:val="32"/>
          <w14:textFill>
            <w14:solidFill>
              <w14:schemeClr w14:val="tx1"/>
            </w14:solidFill>
          </w14:textFill>
        </w:rPr>
        <w:t>万元，完成预算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89.10</w:t>
      </w:r>
      <w:r>
        <w:rPr>
          <w:rFonts w:hint="eastAsia" w:ascii="仿宋_GB2312" w:hAnsi="仿宋_GB2312" w:eastAsia="仿宋_GB2312" w:cs="仿宋_GB2312"/>
          <w:color w:val="000000" w:themeColor="text1"/>
          <w:sz w:val="32"/>
          <w:szCs w:val="32"/>
          <w14:textFill>
            <w14:solidFill>
              <w14:schemeClr w14:val="tx1"/>
            </w14:solidFill>
          </w14:textFill>
        </w:rPr>
        <w:t>%，决算数小于预算数的主要原因</w:t>
      </w:r>
      <w:r>
        <w:rPr>
          <w:rStyle w:val="34"/>
          <w:rFonts w:hint="eastAsia" w:ascii="仿宋_GB2312" w:hAnsi="仿宋_GB2312" w:eastAsia="仿宋_GB2312" w:cs="仿宋_GB2312"/>
          <w:b w:val="0"/>
          <w:bCs/>
          <w:color w:val="000000" w:themeColor="text1"/>
          <w:sz w:val="32"/>
          <w:szCs w:val="32"/>
          <w14:textFill>
            <w14:solidFill>
              <w14:schemeClr w14:val="tx1"/>
            </w14:solidFill>
          </w14:textFill>
        </w:rPr>
        <w:t>是按照实际情况开支</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3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17.社会保障和就业（类）行政事业单位养老支出（款）机关事业单位职业年金缴费支出（项）:支出决算为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122.56</w:t>
      </w:r>
      <w:r>
        <w:rPr>
          <w:rFonts w:hint="eastAsia" w:ascii="仿宋_GB2312" w:hAnsi="仿宋_GB2312" w:eastAsia="仿宋_GB2312" w:cs="仿宋_GB2312"/>
          <w:color w:val="000000" w:themeColor="text1"/>
          <w:sz w:val="32"/>
          <w:szCs w:val="32"/>
          <w14:textFill>
            <w14:solidFill>
              <w14:schemeClr w14:val="tx1"/>
            </w14:solidFill>
          </w14:textFill>
        </w:rPr>
        <w:t>万元，完成预算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87.81</w:t>
      </w:r>
      <w:r>
        <w:rPr>
          <w:rFonts w:hint="eastAsia" w:ascii="仿宋_GB2312" w:hAnsi="仿宋_GB2312" w:eastAsia="仿宋_GB2312" w:cs="仿宋_GB2312"/>
          <w:color w:val="000000" w:themeColor="text1"/>
          <w:sz w:val="32"/>
          <w:szCs w:val="32"/>
          <w14:textFill>
            <w14:solidFill>
              <w14:schemeClr w14:val="tx1"/>
            </w14:solidFill>
          </w14:textFill>
        </w:rPr>
        <w:t>%，决算数小于预算数的主要原因</w:t>
      </w:r>
      <w:r>
        <w:rPr>
          <w:rStyle w:val="34"/>
          <w:rFonts w:hint="eastAsia" w:ascii="仿宋_GB2312" w:hAnsi="仿宋_GB2312" w:eastAsia="仿宋_GB2312" w:cs="仿宋_GB2312"/>
          <w:b w:val="0"/>
          <w:bCs/>
          <w:color w:val="000000" w:themeColor="text1"/>
          <w:sz w:val="32"/>
          <w:szCs w:val="32"/>
          <w14:textFill>
            <w14:solidFill>
              <w14:schemeClr w14:val="tx1"/>
            </w14:solidFill>
          </w14:textFill>
        </w:rPr>
        <w:t>是按照实际情况开支</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3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18.社会保障和就业（类）抚恤（款）死亡抚恤（项）: 支出决算为13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51</w:t>
      </w:r>
      <w:r>
        <w:rPr>
          <w:rFonts w:hint="eastAsia" w:ascii="仿宋_GB2312" w:hAnsi="仿宋_GB2312" w:eastAsia="仿宋_GB2312" w:cs="仿宋_GB2312"/>
          <w:color w:val="000000" w:themeColor="text1"/>
          <w:sz w:val="32"/>
          <w:szCs w:val="32"/>
          <w14:textFill>
            <w14:solidFill>
              <w14:schemeClr w14:val="tx1"/>
            </w14:solidFill>
          </w14:textFill>
        </w:rPr>
        <w:t>万元，完成预算100%。</w:t>
      </w:r>
    </w:p>
    <w:p>
      <w:pPr>
        <w:pStyle w:val="3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19.卫生健康（类）行政事业单位医疗（款）行政单位医疗（项）:支出决算为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324.21</w:t>
      </w:r>
      <w:r>
        <w:rPr>
          <w:rFonts w:hint="eastAsia" w:ascii="仿宋_GB2312" w:hAnsi="仿宋_GB2312" w:eastAsia="仿宋_GB2312" w:cs="仿宋_GB2312"/>
          <w:color w:val="000000" w:themeColor="text1"/>
          <w:sz w:val="32"/>
          <w:szCs w:val="32"/>
          <w14:textFill>
            <w14:solidFill>
              <w14:schemeClr w14:val="tx1"/>
            </w14:solidFill>
          </w14:textFill>
        </w:rPr>
        <w:t>万元，完成预算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100</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3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20.卫生健康（类）行政事业单位医疗（款）事业单位医疗（项）:支出决算为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9.60</w:t>
      </w:r>
      <w:r>
        <w:rPr>
          <w:rFonts w:hint="eastAsia" w:ascii="仿宋_GB2312" w:hAnsi="仿宋_GB2312" w:eastAsia="仿宋_GB2312" w:cs="仿宋_GB2312"/>
          <w:color w:val="000000" w:themeColor="text1"/>
          <w:sz w:val="32"/>
          <w:szCs w:val="32"/>
          <w14:textFill>
            <w14:solidFill>
              <w14:schemeClr w14:val="tx1"/>
            </w14:solidFill>
          </w14:textFill>
        </w:rPr>
        <w:t>万元，完成预算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100</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3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21.卫生健康（类）行政事业单位医疗（款）公务员医疗补助（项）:支出决算为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68.18</w:t>
      </w:r>
      <w:r>
        <w:rPr>
          <w:rFonts w:hint="eastAsia" w:ascii="仿宋_GB2312" w:hAnsi="仿宋_GB2312" w:eastAsia="仿宋_GB2312" w:cs="仿宋_GB2312"/>
          <w:color w:val="000000" w:themeColor="text1"/>
          <w:sz w:val="32"/>
          <w:szCs w:val="32"/>
          <w14:textFill>
            <w14:solidFill>
              <w14:schemeClr w14:val="tx1"/>
            </w14:solidFill>
          </w14:textFill>
        </w:rPr>
        <w:t>万元，完成预算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100</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3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.卫生健康（类）</w:t>
      </w:r>
      <w:r>
        <w:rPr>
          <w:rFonts w:hint="eastAsia" w:ascii="仿宋_GB2312" w:hAnsi="仿宋_GB2312" w:eastAsia="仿宋_GB2312" w:cs="仿宋_GB2312"/>
          <w:color w:val="000000" w:themeColor="text1"/>
          <w:sz w:val="32"/>
          <w:szCs w:val="32"/>
          <w:lang w:eastAsia="zh-CN"/>
          <w14:textFill>
            <w14:solidFill>
              <w14:schemeClr w14:val="tx1"/>
            </w14:solidFill>
          </w14:textFill>
        </w:rPr>
        <w:t>其他卫生健康支出</w:t>
      </w:r>
      <w:r>
        <w:rPr>
          <w:rFonts w:hint="eastAsia" w:ascii="仿宋_GB2312" w:hAnsi="仿宋_GB2312" w:eastAsia="仿宋_GB2312" w:cs="仿宋_GB2312"/>
          <w:color w:val="000000" w:themeColor="text1"/>
          <w:sz w:val="32"/>
          <w:szCs w:val="32"/>
          <w14:textFill>
            <w14:solidFill>
              <w14:schemeClr w14:val="tx1"/>
            </w14:solidFill>
          </w14:textFill>
        </w:rPr>
        <w:t>（款）</w:t>
      </w:r>
      <w:r>
        <w:rPr>
          <w:rFonts w:hint="eastAsia" w:ascii="仿宋_GB2312" w:hAnsi="仿宋_GB2312" w:eastAsia="仿宋_GB2312" w:cs="仿宋_GB2312"/>
          <w:color w:val="000000" w:themeColor="text1"/>
          <w:sz w:val="32"/>
          <w:szCs w:val="32"/>
          <w:lang w:eastAsia="zh-CN"/>
          <w14:textFill>
            <w14:solidFill>
              <w14:schemeClr w14:val="tx1"/>
            </w14:solidFill>
          </w14:textFill>
        </w:rPr>
        <w:t>其他卫生健康支出</w:t>
      </w:r>
      <w:r>
        <w:rPr>
          <w:rFonts w:hint="eastAsia" w:ascii="仿宋_GB2312" w:hAnsi="仿宋_GB2312" w:eastAsia="仿宋_GB2312" w:cs="仿宋_GB2312"/>
          <w:color w:val="000000" w:themeColor="text1"/>
          <w:sz w:val="32"/>
          <w:szCs w:val="32"/>
          <w14:textFill>
            <w14:solidFill>
              <w14:schemeClr w14:val="tx1"/>
            </w14:solidFill>
          </w14:textFill>
        </w:rPr>
        <w:t>（项）:支出决算为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2.00</w:t>
      </w:r>
      <w:r>
        <w:rPr>
          <w:rFonts w:hint="eastAsia" w:ascii="仿宋_GB2312" w:hAnsi="仿宋_GB2312" w:eastAsia="仿宋_GB2312" w:cs="仿宋_GB2312"/>
          <w:color w:val="000000" w:themeColor="text1"/>
          <w:sz w:val="32"/>
          <w:szCs w:val="32"/>
          <w14:textFill>
            <w14:solidFill>
              <w14:schemeClr w14:val="tx1"/>
            </w14:solidFill>
          </w14:textFill>
        </w:rPr>
        <w:t>万元，完成预算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100</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3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.住房保障（类）住房改革支出（款）住房公积金（项）:支出决算为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409.18</w:t>
      </w:r>
      <w:r>
        <w:rPr>
          <w:rFonts w:hint="eastAsia" w:ascii="仿宋_GB2312" w:hAnsi="仿宋_GB2312" w:eastAsia="仿宋_GB2312" w:cs="仿宋_GB2312"/>
          <w:color w:val="000000" w:themeColor="text1"/>
          <w:sz w:val="32"/>
          <w:szCs w:val="32"/>
          <w14:textFill>
            <w14:solidFill>
              <w14:schemeClr w14:val="tx1"/>
            </w14:solidFill>
          </w14:textFill>
        </w:rPr>
        <w:t>万元，完成预算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99.20</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决算数小于预算数的主要原因</w:t>
      </w:r>
      <w:r>
        <w:rPr>
          <w:rStyle w:val="34"/>
          <w:rFonts w:hint="eastAsia" w:ascii="仿宋_GB2312" w:hAnsi="仿宋_GB2312" w:eastAsia="仿宋_GB2312" w:cs="仿宋_GB2312"/>
          <w:b w:val="0"/>
          <w:bCs/>
          <w:color w:val="000000" w:themeColor="text1"/>
          <w:sz w:val="32"/>
          <w:szCs w:val="32"/>
          <w14:textFill>
            <w14:solidFill>
              <w14:schemeClr w14:val="tx1"/>
            </w14:solidFill>
          </w14:textFill>
        </w:rPr>
        <w:t>是按照实际情况开支</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3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.住房保障（类）住房改革支出（款）购房补贴（项）:支出决算为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891.65</w:t>
      </w:r>
      <w:r>
        <w:rPr>
          <w:rFonts w:hint="eastAsia" w:ascii="仿宋_GB2312" w:hAnsi="仿宋_GB2312" w:eastAsia="仿宋_GB2312" w:cs="仿宋_GB2312"/>
          <w:color w:val="000000" w:themeColor="text1"/>
          <w:sz w:val="32"/>
          <w:szCs w:val="32"/>
          <w14:textFill>
            <w14:solidFill>
              <w14:schemeClr w14:val="tx1"/>
            </w14:solidFill>
          </w14:textFill>
        </w:rPr>
        <w:t>万元，完成预算100%。</w:t>
      </w:r>
    </w:p>
    <w:p>
      <w:pPr>
        <w:pStyle w:val="3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.灾害防治（类）应急管理事务（款）应急管理支出（项）:支出决算为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万元，完成预算100%。</w:t>
      </w:r>
    </w:p>
    <w:p>
      <w:pPr>
        <w:keepNext w:val="0"/>
        <w:keepLines w:val="0"/>
        <w:pageBreakBefore w:val="0"/>
        <w:widowControl w:val="0"/>
        <w:tabs>
          <w:tab w:val="right" w:pos="8306"/>
        </w:tabs>
        <w:kinsoku/>
        <w:wordWrap/>
        <w:overflowPunct/>
        <w:topLinePunct w:val="0"/>
        <w:autoSpaceDE/>
        <w:autoSpaceDN/>
        <w:bidi w:val="0"/>
        <w:adjustRightInd/>
        <w:snapToGrid/>
        <w:spacing w:line="600" w:lineRule="exact"/>
        <w:ind w:firstLine="640"/>
        <w:textAlignment w:val="auto"/>
        <w:outlineLvl w:val="1"/>
        <w:rPr>
          <w:rStyle w:val="27"/>
          <w:rFonts w:hint="eastAsia" w:ascii="黑体" w:hAnsi="黑体" w:eastAsia="黑体" w:cs="黑体"/>
          <w:color w:val="000000" w:themeColor="text1"/>
          <w:sz w:val="32"/>
          <w:szCs w:val="32"/>
          <w:highlight w:val="none"/>
          <w14:textFill>
            <w14:solidFill>
              <w14:schemeClr w14:val="tx1"/>
            </w14:solidFill>
          </w14:textFill>
        </w:rPr>
      </w:pPr>
      <w:bookmarkStart w:id="44" w:name="_Toc15396608"/>
      <w:bookmarkStart w:id="45" w:name="_Toc15377214"/>
      <w:r>
        <w:rPr>
          <w:rFonts w:hint="eastAsia" w:ascii="黑体" w:hAnsi="黑体" w:eastAsia="黑体" w:cs="黑体"/>
          <w:color w:val="000000" w:themeColor="text1"/>
          <w:sz w:val="32"/>
          <w:szCs w:val="32"/>
          <w:highlight w:val="none"/>
          <w14:textFill>
            <w14:solidFill>
              <w14:schemeClr w14:val="tx1"/>
            </w14:solidFill>
          </w14:textFill>
        </w:rPr>
        <w:t>六</w:t>
      </w:r>
      <w:r>
        <w:rPr>
          <w:rFonts w:hint="eastAsia" w:ascii="黑体" w:hAnsi="黑体" w:eastAsia="黑体" w:cs="黑体"/>
          <w:b/>
          <w:color w:val="000000" w:themeColor="text1"/>
          <w:sz w:val="32"/>
          <w:szCs w:val="32"/>
          <w:highlight w:val="none"/>
          <w14:textFill>
            <w14:solidFill>
              <w14:schemeClr w14:val="tx1"/>
            </w14:solidFill>
          </w14:textFill>
        </w:rPr>
        <w:t>、一</w:t>
      </w:r>
      <w:r>
        <w:rPr>
          <w:rStyle w:val="27"/>
          <w:rFonts w:hint="eastAsia" w:ascii="黑体" w:hAnsi="黑体" w:eastAsia="黑体" w:cs="黑体"/>
          <w:b w:val="0"/>
          <w:color w:val="000000" w:themeColor="text1"/>
          <w:sz w:val="32"/>
          <w:szCs w:val="32"/>
          <w:highlight w:val="none"/>
          <w14:textFill>
            <w14:solidFill>
              <w14:schemeClr w14:val="tx1"/>
            </w14:solidFill>
          </w14:textFill>
        </w:rPr>
        <w:t>般公共预算财政拨款基本支出决算情况说明</w:t>
      </w:r>
      <w:bookmarkEnd w:id="44"/>
      <w:bookmarkEnd w:id="45"/>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20</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21</w:t>
      </w:r>
      <w:r>
        <w:rPr>
          <w:rFonts w:hint="eastAsia" w:ascii="仿宋_GB2312" w:hAnsi="仿宋_GB2312" w:eastAsia="仿宋_GB2312" w:cs="仿宋_GB2312"/>
          <w:color w:val="000000" w:themeColor="text1"/>
          <w:sz w:val="32"/>
          <w:szCs w:val="32"/>
          <w:highlight w:val="none"/>
          <w14:textFill>
            <w14:solidFill>
              <w14:schemeClr w14:val="tx1"/>
            </w14:solidFill>
          </w14:textFill>
        </w:rPr>
        <w:t>年一般公共预算财政拨款基本支出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14323.03</w:t>
      </w:r>
      <w:r>
        <w:rPr>
          <w:rFonts w:hint="eastAsia" w:ascii="仿宋_GB2312" w:hAnsi="仿宋_GB2312" w:eastAsia="仿宋_GB2312" w:cs="仿宋_GB2312"/>
          <w:color w:val="000000" w:themeColor="text1"/>
          <w:sz w:val="32"/>
          <w:szCs w:val="32"/>
          <w:highlight w:val="none"/>
          <w14:textFill>
            <w14:solidFill>
              <w14:schemeClr w14:val="tx1"/>
            </w14:solidFill>
          </w14:textFill>
        </w:rPr>
        <w:t>万元，其中：</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人员经费</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12107.10</w:t>
      </w:r>
      <w:r>
        <w:rPr>
          <w:rFonts w:hint="eastAsia" w:ascii="仿宋_GB2312" w:hAnsi="仿宋_GB2312" w:eastAsia="仿宋_GB2312" w:cs="仿宋_GB2312"/>
          <w:color w:val="000000" w:themeColor="text1"/>
          <w:sz w:val="32"/>
          <w:szCs w:val="32"/>
          <w:highlight w:val="none"/>
          <w14:textFill>
            <w14:solidFill>
              <w14:schemeClr w14:val="tx1"/>
            </w14:solidFill>
          </w14:textFill>
        </w:rPr>
        <w:t>万元，主要包括：基本工资2198.75万元、津贴补贴31</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85.79</w:t>
      </w:r>
      <w:r>
        <w:rPr>
          <w:rFonts w:hint="eastAsia" w:ascii="仿宋_GB2312" w:hAnsi="仿宋_GB2312" w:eastAsia="仿宋_GB2312" w:cs="仿宋_GB2312"/>
          <w:color w:val="000000" w:themeColor="text1"/>
          <w:sz w:val="32"/>
          <w:szCs w:val="32"/>
          <w:highlight w:val="none"/>
          <w14:textFill>
            <w14:solidFill>
              <w14:schemeClr w14:val="tx1"/>
            </w14:solidFill>
          </w14:textFill>
        </w:rPr>
        <w:t>万元、奖金169.86万元、伙食补助费</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highlight w:val="none"/>
          <w14:textFill>
            <w14:solidFill>
              <w14:schemeClr w14:val="tx1"/>
            </w14:solidFill>
          </w14:textFill>
        </w:rPr>
        <w:t>万元、绩效工资32.52万元、机关事业单位基本养老保险缴费680.99万元、职业年金缴费146.63万元、</w:t>
      </w:r>
      <w:r>
        <w:rPr>
          <w:rFonts w:hint="eastAsia" w:ascii="仿宋_GB2312" w:hAnsi="仿宋_GB2312" w:eastAsia="仿宋_GB2312" w:cs="仿宋_GB2312"/>
          <w:color w:val="000000" w:themeColor="text1"/>
          <w:sz w:val="32"/>
          <w:szCs w:val="32"/>
          <w14:textFill>
            <w14:solidFill>
              <w14:schemeClr w14:val="tx1"/>
            </w14:solidFill>
          </w14:textFill>
        </w:rPr>
        <w:t>职工基本医疗保险缴费474.93</w:t>
      </w:r>
      <w:r>
        <w:rPr>
          <w:rFonts w:hint="eastAsia" w:ascii="仿宋_GB2312" w:hAnsi="仿宋_GB2312" w:eastAsia="仿宋_GB2312" w:cs="仿宋_GB2312"/>
          <w:color w:val="000000" w:themeColor="text1"/>
          <w:sz w:val="32"/>
          <w:szCs w:val="32"/>
          <w:highlight w:val="none"/>
          <w14:textFill>
            <w14:solidFill>
              <w14:schemeClr w14:val="tx1"/>
            </w14:solidFill>
          </w14:textFill>
        </w:rPr>
        <w:t>万元、其他工资福利支出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3079.90</w:t>
      </w:r>
      <w:r>
        <w:rPr>
          <w:rFonts w:hint="eastAsia" w:ascii="仿宋_GB2312" w:hAnsi="仿宋_GB2312" w:eastAsia="仿宋_GB2312" w:cs="仿宋_GB2312"/>
          <w:color w:val="000000" w:themeColor="text1"/>
          <w:sz w:val="32"/>
          <w:szCs w:val="32"/>
          <w:highlight w:val="none"/>
          <w14:textFill>
            <w14:solidFill>
              <w14:schemeClr w14:val="tx1"/>
            </w14:solidFill>
          </w14:textFill>
        </w:rPr>
        <w:t>万元、离休费177.18万元、抚恤金131.51万元、奖励金0.19万元、住房公积金734.36万元、其他对个人和家庭的补助支出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1026.31</w:t>
      </w:r>
      <w:r>
        <w:rPr>
          <w:rFonts w:hint="eastAsia" w:ascii="仿宋_GB2312" w:hAnsi="仿宋_GB2312" w:eastAsia="仿宋_GB2312" w:cs="仿宋_GB2312"/>
          <w:color w:val="000000" w:themeColor="text1"/>
          <w:sz w:val="32"/>
          <w:szCs w:val="32"/>
          <w:highlight w:val="none"/>
          <w14:textFill>
            <w14:solidFill>
              <w14:schemeClr w14:val="tx1"/>
            </w14:solidFill>
          </w14:textFill>
        </w:rPr>
        <w:t>万元等。</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公用经费</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2215.93</w:t>
      </w:r>
      <w:r>
        <w:rPr>
          <w:rFonts w:hint="eastAsia" w:ascii="仿宋_GB2312" w:hAnsi="仿宋_GB2312" w:eastAsia="仿宋_GB2312" w:cs="仿宋_GB2312"/>
          <w:color w:val="000000" w:themeColor="text1"/>
          <w:sz w:val="32"/>
          <w:szCs w:val="32"/>
          <w:highlight w:val="none"/>
          <w14:textFill>
            <w14:solidFill>
              <w14:schemeClr w14:val="tx1"/>
            </w14:solidFill>
          </w14:textFill>
        </w:rPr>
        <w:t>万元，主要包括：办公费251.97万元、印刷费27.96万元、手续费1万元、水费99.87万元、电费210万元、邮电费46.99万元、物业管理费298.53万元、差旅费84万元、因公出国（境）费用</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highlight w:val="none"/>
          <w14:textFill>
            <w14:solidFill>
              <w14:schemeClr w14:val="tx1"/>
            </w14:solidFill>
          </w14:textFill>
        </w:rPr>
        <w:t>万元、维修（护）费30万元、租赁费63万元、会议费4.96万元、培训费10.99万元、公务接待费</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highlight w:val="none"/>
          <w14:textFill>
            <w14:solidFill>
              <w14:schemeClr w14:val="tx1"/>
            </w14:solidFill>
          </w14:textFill>
        </w:rPr>
        <w:t>万元、劳务费107.85万元、委托业务费12万元、工会经费117.14万元、福利费85.52万元、公务用车运行维护费16万元、其他交通费446.85万元、其他商品和服务支出301.32万元等。</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1"/>
        <w:rPr>
          <w:rStyle w:val="27"/>
          <w:rFonts w:hint="eastAsia" w:ascii="黑体" w:hAnsi="黑体" w:eastAsia="黑体" w:cs="黑体"/>
          <w:b w:val="0"/>
          <w:color w:val="000000" w:themeColor="text1"/>
          <w:sz w:val="32"/>
          <w:szCs w:val="32"/>
          <w:highlight w:val="none"/>
          <w14:textFill>
            <w14:solidFill>
              <w14:schemeClr w14:val="tx1"/>
            </w14:solidFill>
          </w14:textFill>
        </w:rPr>
      </w:pPr>
      <w:bookmarkStart w:id="46" w:name="_Toc15396609"/>
      <w:bookmarkStart w:id="47" w:name="_Toc15377215"/>
      <w:r>
        <w:rPr>
          <w:rFonts w:hint="eastAsia" w:ascii="黑体" w:hAnsi="黑体" w:eastAsia="黑体" w:cs="黑体"/>
          <w:color w:val="000000" w:themeColor="text1"/>
          <w:sz w:val="32"/>
          <w:szCs w:val="32"/>
          <w:highlight w:val="none"/>
          <w14:textFill>
            <w14:solidFill>
              <w14:schemeClr w14:val="tx1"/>
            </w14:solidFill>
          </w14:textFill>
        </w:rPr>
        <w:t>七、</w:t>
      </w:r>
      <w:r>
        <w:rPr>
          <w:rStyle w:val="27"/>
          <w:rFonts w:hint="eastAsia" w:ascii="黑体" w:hAnsi="黑体" w:eastAsia="黑体" w:cs="黑体"/>
          <w:color w:val="000000" w:themeColor="text1"/>
          <w:sz w:val="32"/>
          <w:szCs w:val="32"/>
          <w:highlight w:val="none"/>
          <w14:textFill>
            <w14:solidFill>
              <w14:schemeClr w14:val="tx1"/>
            </w14:solidFill>
          </w14:textFill>
        </w:rPr>
        <w:t>“</w:t>
      </w:r>
      <w:r>
        <w:rPr>
          <w:rStyle w:val="27"/>
          <w:rFonts w:hint="eastAsia" w:ascii="黑体" w:hAnsi="黑体" w:eastAsia="黑体" w:cs="黑体"/>
          <w:b w:val="0"/>
          <w:color w:val="000000" w:themeColor="text1"/>
          <w:sz w:val="32"/>
          <w:szCs w:val="32"/>
          <w:highlight w:val="none"/>
          <w14:textFill>
            <w14:solidFill>
              <w14:schemeClr w14:val="tx1"/>
            </w14:solidFill>
          </w14:textFill>
        </w:rPr>
        <w:t>三公”经费财政拨款支出决算情况说明</w:t>
      </w:r>
      <w:bookmarkEnd w:id="46"/>
      <w:bookmarkEnd w:id="47"/>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2"/>
        <w:rPr>
          <w:rFonts w:hint="eastAsia" w:ascii="楷体_GB2312" w:hAnsi="楷体_GB2312" w:eastAsia="楷体_GB2312" w:cs="楷体_GB2312"/>
          <w:b/>
          <w:color w:val="000000" w:themeColor="text1"/>
          <w:sz w:val="32"/>
          <w:szCs w:val="32"/>
          <w:highlight w:val="none"/>
          <w14:textFill>
            <w14:solidFill>
              <w14:schemeClr w14:val="tx1"/>
            </w14:solidFill>
          </w14:textFill>
        </w:rPr>
      </w:pPr>
      <w:bookmarkStart w:id="48" w:name="_Toc15377216"/>
      <w:r>
        <w:rPr>
          <w:rFonts w:hint="eastAsia" w:ascii="楷体_GB2312" w:hAnsi="楷体_GB2312" w:eastAsia="楷体_GB2312" w:cs="楷体_GB2312"/>
          <w:b/>
          <w:color w:val="000000" w:themeColor="text1"/>
          <w:sz w:val="32"/>
          <w:szCs w:val="32"/>
          <w:highlight w:val="none"/>
          <w14:textFill>
            <w14:solidFill>
              <w14:schemeClr w14:val="tx1"/>
            </w14:solidFill>
          </w14:textFill>
        </w:rPr>
        <w:t>（一）“三公”经费财政拨款支出决算总体情况说明</w:t>
      </w:r>
      <w:bookmarkEnd w:id="48"/>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20</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21</w:t>
      </w:r>
      <w:r>
        <w:rPr>
          <w:rFonts w:hint="eastAsia" w:ascii="仿宋_GB2312" w:hAnsi="仿宋_GB2312" w:eastAsia="仿宋_GB2312" w:cs="仿宋_GB2312"/>
          <w:color w:val="000000" w:themeColor="text1"/>
          <w:sz w:val="32"/>
          <w:szCs w:val="32"/>
          <w:highlight w:val="none"/>
          <w14:textFill>
            <w14:solidFill>
              <w14:schemeClr w14:val="tx1"/>
            </w14:solidFill>
          </w14:textFill>
        </w:rPr>
        <w:t>年</w:t>
      </w:r>
      <w:r>
        <w:rPr>
          <w:rFonts w:hint="eastAsia" w:ascii="仿宋_GB2312" w:hAnsi="仿宋_GB2312" w:eastAsia="仿宋_GB2312" w:cs="仿宋_GB2312"/>
          <w:color w:val="000000" w:themeColor="text1"/>
          <w:sz w:val="32"/>
          <w:szCs w:val="32"/>
          <w14:textFill>
            <w14:solidFill>
              <w14:schemeClr w14:val="tx1"/>
            </w14:solidFill>
          </w14:textFill>
        </w:rPr>
        <w:t>“三公”经费财政拨款支出决算为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50.31</w:t>
      </w:r>
      <w:r>
        <w:rPr>
          <w:rFonts w:hint="eastAsia" w:ascii="仿宋_GB2312" w:hAnsi="仿宋_GB2312" w:eastAsia="仿宋_GB2312" w:cs="仿宋_GB2312"/>
          <w:color w:val="000000" w:themeColor="text1"/>
          <w:sz w:val="32"/>
          <w:szCs w:val="32"/>
          <w14:textFill>
            <w14:solidFill>
              <w14:schemeClr w14:val="tx1"/>
            </w14:solidFill>
          </w14:textFill>
        </w:rPr>
        <w:t>万元，完成预算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54.68</w:t>
      </w:r>
      <w:r>
        <w:rPr>
          <w:rFonts w:hint="eastAsia" w:ascii="仿宋_GB2312" w:hAnsi="仿宋_GB2312" w:eastAsia="仿宋_GB2312" w:cs="仿宋_GB2312"/>
          <w:color w:val="000000" w:themeColor="text1"/>
          <w:sz w:val="32"/>
          <w:szCs w:val="32"/>
          <w14:textFill>
            <w14:solidFill>
              <w14:schemeClr w14:val="tx1"/>
            </w14:solidFill>
          </w14:textFill>
        </w:rPr>
        <w:t>%，决算数小于预算数的主要原因是单位厉行节约，压减“三公”经费支出。</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2"/>
        <w:rPr>
          <w:rFonts w:hint="eastAsia" w:ascii="楷体_GB2312" w:hAnsi="楷体_GB2312" w:eastAsia="楷体_GB2312" w:cs="楷体_GB2312"/>
          <w:b/>
          <w:color w:val="000000" w:themeColor="text1"/>
          <w:sz w:val="32"/>
          <w:szCs w:val="32"/>
          <w:highlight w:val="none"/>
          <w14:textFill>
            <w14:solidFill>
              <w14:schemeClr w14:val="tx1"/>
            </w14:solidFill>
          </w14:textFill>
        </w:rPr>
      </w:pPr>
      <w:bookmarkStart w:id="49" w:name="_Toc15377217"/>
      <w:r>
        <w:rPr>
          <w:rFonts w:hint="eastAsia" w:ascii="楷体_GB2312" w:hAnsi="楷体_GB2312" w:eastAsia="楷体_GB2312" w:cs="楷体_GB2312"/>
          <w:b/>
          <w:color w:val="000000" w:themeColor="text1"/>
          <w:sz w:val="32"/>
          <w:szCs w:val="32"/>
          <w:highlight w:val="none"/>
          <w14:textFill>
            <w14:solidFill>
              <w14:schemeClr w14:val="tx1"/>
            </w14:solidFill>
          </w14:textFill>
        </w:rPr>
        <w:t>（二）“三公”经费财政拨款支出决算具体情况说明</w:t>
      </w:r>
      <w:bookmarkEnd w:id="49"/>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20</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21</w:t>
      </w:r>
      <w:r>
        <w:rPr>
          <w:rFonts w:hint="eastAsia" w:ascii="仿宋_GB2312" w:hAnsi="仿宋_GB2312" w:eastAsia="仿宋_GB2312" w:cs="仿宋_GB2312"/>
          <w:color w:val="000000" w:themeColor="text1"/>
          <w:sz w:val="32"/>
          <w:szCs w:val="32"/>
          <w:highlight w:val="none"/>
          <w14:textFill>
            <w14:solidFill>
              <w14:schemeClr w14:val="tx1"/>
            </w14:solidFill>
          </w14:textFill>
        </w:rPr>
        <w:t>年“三公”经费财政拨款支出决算中，因公出国（境）费支出决算</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highlight w:val="none"/>
          <w14:textFill>
            <w14:solidFill>
              <w14:schemeClr w14:val="tx1"/>
            </w14:solidFill>
          </w14:textFill>
        </w:rPr>
        <w:t>万元，占</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highlight w:val="none"/>
          <w14:textFill>
            <w14:solidFill>
              <w14:schemeClr w14:val="tx1"/>
            </w14:solidFill>
          </w14:textFill>
        </w:rPr>
        <w:t>%；公务用车购置及运行维护费支出决算</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47.51</w:t>
      </w:r>
      <w:r>
        <w:rPr>
          <w:rFonts w:hint="eastAsia" w:ascii="仿宋_GB2312" w:hAnsi="仿宋_GB2312" w:eastAsia="仿宋_GB2312" w:cs="仿宋_GB2312"/>
          <w:color w:val="000000" w:themeColor="text1"/>
          <w:sz w:val="32"/>
          <w:szCs w:val="32"/>
          <w:highlight w:val="none"/>
          <w14:textFill>
            <w14:solidFill>
              <w14:schemeClr w14:val="tx1"/>
            </w14:solidFill>
          </w14:textFill>
        </w:rPr>
        <w:t>万元，占</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94.44</w:t>
      </w:r>
      <w:r>
        <w:rPr>
          <w:rFonts w:hint="eastAsia" w:ascii="仿宋_GB2312" w:hAnsi="仿宋_GB2312" w:eastAsia="仿宋_GB2312" w:cs="仿宋_GB2312"/>
          <w:color w:val="000000" w:themeColor="text1"/>
          <w:sz w:val="32"/>
          <w:szCs w:val="32"/>
          <w:highlight w:val="none"/>
          <w14:textFill>
            <w14:solidFill>
              <w14:schemeClr w14:val="tx1"/>
            </w14:solidFill>
          </w14:textFill>
        </w:rPr>
        <w:t>%；公务接待费支出决算</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2.80</w:t>
      </w:r>
      <w:r>
        <w:rPr>
          <w:rFonts w:hint="eastAsia" w:ascii="仿宋_GB2312" w:hAnsi="仿宋_GB2312" w:eastAsia="仿宋_GB2312" w:cs="仿宋_GB2312"/>
          <w:color w:val="000000" w:themeColor="text1"/>
          <w:sz w:val="32"/>
          <w:szCs w:val="32"/>
          <w:highlight w:val="none"/>
          <w14:textFill>
            <w14:solidFill>
              <w14:schemeClr w14:val="tx1"/>
            </w14:solidFill>
          </w14:textFill>
        </w:rPr>
        <w:t>万元，占</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5.56</w:t>
      </w:r>
      <w:r>
        <w:rPr>
          <w:rFonts w:hint="eastAsia" w:ascii="仿宋_GB2312" w:hAnsi="仿宋_GB2312" w:eastAsia="仿宋_GB2312" w:cs="仿宋_GB2312"/>
          <w:color w:val="000000" w:themeColor="text1"/>
          <w:sz w:val="32"/>
          <w:szCs w:val="32"/>
          <w:highlight w:val="none"/>
          <w14:textFill>
            <w14:solidFill>
              <w14:schemeClr w14:val="tx1"/>
            </w14:solidFill>
          </w14:textFill>
        </w:rPr>
        <w:t>%。具体情况如下：</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（图7：“三公”经费财政拨款支出结构）（饼状图）</w:t>
      </w:r>
    </w:p>
    <w:p>
      <w:pPr>
        <w:pStyle w:val="5"/>
        <w:rPr>
          <w:color w:val="000000" w:themeColor="text1"/>
          <w14:textFill>
            <w14:solidFill>
              <w14:schemeClr w14:val="tx1"/>
            </w14:solidFill>
          </w14:textFill>
        </w:rPr>
      </w:pPr>
      <w:r>
        <w:rPr>
          <w:color w:val="000000" w:themeColor="text1"/>
          <w14:textFill>
            <w14:solidFill>
              <w14:schemeClr w14:val="tx1"/>
            </w14:solidFill>
          </w14:textFill>
        </w:rPr>
        <w:drawing>
          <wp:anchor distT="0" distB="0" distL="114935" distR="114935" simplePos="0" relativeHeight="251663360" behindDoc="1" locked="0" layoutInCell="1" allowOverlap="1">
            <wp:simplePos x="0" y="0"/>
            <wp:positionH relativeFrom="column">
              <wp:posOffset>499745</wp:posOffset>
            </wp:positionH>
            <wp:positionV relativeFrom="paragraph">
              <wp:posOffset>79375</wp:posOffset>
            </wp:positionV>
            <wp:extent cx="4572000" cy="1743075"/>
            <wp:effectExtent l="4445" t="4445" r="14605" b="5080"/>
            <wp:wrapTight wrapText="bothSides">
              <wp:wrapPolygon>
                <wp:start x="-21" y="-55"/>
                <wp:lineTo x="-21" y="21427"/>
                <wp:lineTo x="21579" y="21427"/>
                <wp:lineTo x="21579" y="-55"/>
                <wp:lineTo x="-21" y="-55"/>
              </wp:wrapPolygon>
            </wp:wrapTight>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spacing w:line="600" w:lineRule="exact"/>
        <w:ind w:firstLine="640"/>
        <w:rPr>
          <w:rFonts w:ascii="仿宋_GB2312" w:eastAsia="仿宋_GB2312"/>
          <w:b/>
          <w:color w:val="000000" w:themeColor="text1"/>
          <w:sz w:val="32"/>
          <w:szCs w:val="32"/>
          <w:highlight w:val="none"/>
          <w14:textFill>
            <w14:solidFill>
              <w14:schemeClr w14:val="tx1"/>
            </w14:solidFill>
          </w14:textFill>
        </w:rPr>
      </w:pPr>
    </w:p>
    <w:p>
      <w:pPr>
        <w:spacing w:line="600" w:lineRule="exact"/>
        <w:ind w:firstLine="640"/>
        <w:rPr>
          <w:rFonts w:ascii="仿宋_GB2312" w:eastAsia="仿宋_GB2312"/>
          <w:b/>
          <w:color w:val="000000" w:themeColor="text1"/>
          <w:sz w:val="32"/>
          <w:szCs w:val="32"/>
          <w:highlight w:val="none"/>
          <w14:textFill>
            <w14:solidFill>
              <w14:schemeClr w14:val="tx1"/>
            </w14:solidFill>
          </w14:textFill>
        </w:rPr>
      </w:pPr>
    </w:p>
    <w:p>
      <w:pPr>
        <w:spacing w:line="600" w:lineRule="exact"/>
        <w:ind w:firstLine="640"/>
        <w:rPr>
          <w:rFonts w:ascii="仿宋_GB2312" w:eastAsia="仿宋_GB2312"/>
          <w:b/>
          <w:color w:val="000000" w:themeColor="text1"/>
          <w:sz w:val="32"/>
          <w:szCs w:val="32"/>
          <w:highlight w:val="none"/>
          <w14:textFill>
            <w14:solidFill>
              <w14:schemeClr w14:val="tx1"/>
            </w14:solidFill>
          </w14:textFill>
        </w:rPr>
      </w:pPr>
    </w:p>
    <w:p>
      <w:pPr>
        <w:spacing w:line="600" w:lineRule="exact"/>
        <w:ind w:firstLine="640"/>
        <w:rPr>
          <w:rFonts w:ascii="仿宋_GB2312" w:eastAsia="仿宋_GB2312"/>
          <w:b/>
          <w:color w:val="000000" w:themeColor="text1"/>
          <w:sz w:val="32"/>
          <w:szCs w:val="32"/>
          <w:highlight w:val="none"/>
          <w14:textFill>
            <w14:solidFill>
              <w14:schemeClr w14:val="tx1"/>
            </w14:solidFill>
          </w14:textFill>
        </w:rPr>
      </w:pPr>
    </w:p>
    <w:p>
      <w:pPr>
        <w:keepNext w:val="0"/>
        <w:keepLines w:val="0"/>
        <w:pageBreakBefore w:val="0"/>
        <w:kinsoku/>
        <w:wordWrap/>
        <w:overflowPunct/>
        <w:topLinePunct w:val="0"/>
        <w:bidi w:val="0"/>
        <w:snapToGrid/>
        <w:spacing w:line="600" w:lineRule="exact"/>
        <w:ind w:firstLine="640"/>
        <w:jc w:val="both"/>
        <w:textAlignment w:val="auto"/>
        <w:rPr>
          <w:rFonts w:hint="eastAsia" w:ascii="仿宋_GB2312" w:hAnsi="仿宋_GB2312" w:eastAsia="仿宋_GB2312" w:cs="仿宋_GB2312"/>
          <w:b/>
          <w:i w:val="0"/>
          <w:iCs w:val="0"/>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b/>
          <w:i w:val="0"/>
          <w:iCs w:val="0"/>
          <w:color w:val="000000" w:themeColor="text1"/>
          <w:sz w:val="32"/>
          <w:szCs w:val="32"/>
          <w:highlight w:val="none"/>
          <w:u w:val="none"/>
          <w14:textFill>
            <w14:solidFill>
              <w14:schemeClr w14:val="tx1"/>
            </w14:solidFill>
          </w14:textFill>
        </w:rPr>
        <w:t>1.因公出国（境）经费支出</w:t>
      </w:r>
      <w:r>
        <w:rPr>
          <w:rFonts w:hint="eastAsia" w:ascii="仿宋_GB2312" w:hAnsi="仿宋_GB2312" w:eastAsia="仿宋_GB2312" w:cs="仿宋_GB2312"/>
          <w:i w:val="0"/>
          <w:iCs w:val="0"/>
          <w:color w:val="000000" w:themeColor="text1"/>
          <w:sz w:val="32"/>
          <w:szCs w:val="32"/>
          <w:highlight w:val="none"/>
          <w:u w:val="none"/>
          <w:lang w:val="en-US" w:eastAsia="zh-CN"/>
          <w14:textFill>
            <w14:solidFill>
              <w14:schemeClr w14:val="tx1"/>
            </w14:solidFill>
          </w14:textFill>
        </w:rPr>
        <w:t>0</w:t>
      </w:r>
      <w:r>
        <w:rPr>
          <w:rFonts w:hint="eastAsia" w:ascii="仿宋_GB2312" w:hAnsi="仿宋_GB2312" w:eastAsia="仿宋_GB2312" w:cs="仿宋_GB2312"/>
          <w:i w:val="0"/>
          <w:iCs w:val="0"/>
          <w:color w:val="000000" w:themeColor="text1"/>
          <w:sz w:val="32"/>
          <w:szCs w:val="32"/>
          <w:highlight w:val="none"/>
          <w:u w:val="none"/>
          <w14:textFill>
            <w14:solidFill>
              <w14:schemeClr w14:val="tx1"/>
            </w14:solidFill>
          </w14:textFill>
        </w:rPr>
        <w:t>万元，</w:t>
      </w:r>
      <w:r>
        <w:rPr>
          <w:rStyle w:val="16"/>
          <w:rFonts w:hint="eastAsia" w:ascii="仿宋_GB2312" w:hAnsi="仿宋_GB2312" w:eastAsia="仿宋_GB2312" w:cs="仿宋_GB2312"/>
          <w:b w:val="0"/>
          <w:bCs/>
          <w:i w:val="0"/>
          <w:iCs w:val="0"/>
          <w:color w:val="000000" w:themeColor="text1"/>
          <w:sz w:val="32"/>
          <w:szCs w:val="32"/>
          <w:highlight w:val="none"/>
          <w:u w:val="none"/>
          <w14:textFill>
            <w14:solidFill>
              <w14:schemeClr w14:val="tx1"/>
            </w14:solidFill>
          </w14:textFill>
        </w:rPr>
        <w:t>完成预算</w:t>
      </w:r>
      <w:r>
        <w:rPr>
          <w:rStyle w:val="16"/>
          <w:rFonts w:hint="eastAsia" w:ascii="仿宋_GB2312" w:hAnsi="仿宋_GB2312" w:eastAsia="仿宋_GB2312" w:cs="仿宋_GB2312"/>
          <w:b w:val="0"/>
          <w:bCs/>
          <w:i w:val="0"/>
          <w:iCs w:val="0"/>
          <w:color w:val="000000" w:themeColor="text1"/>
          <w:sz w:val="32"/>
          <w:szCs w:val="32"/>
          <w:highlight w:val="none"/>
          <w:u w:val="none"/>
          <w:lang w:val="en-US" w:eastAsia="zh-CN"/>
          <w14:textFill>
            <w14:solidFill>
              <w14:schemeClr w14:val="tx1"/>
            </w14:solidFill>
          </w14:textFill>
        </w:rPr>
        <w:t>0</w:t>
      </w:r>
      <w:r>
        <w:rPr>
          <w:rStyle w:val="16"/>
          <w:rFonts w:hint="eastAsia" w:ascii="仿宋_GB2312" w:hAnsi="仿宋_GB2312" w:eastAsia="仿宋_GB2312" w:cs="仿宋_GB2312"/>
          <w:b w:val="0"/>
          <w:bCs/>
          <w:i w:val="0"/>
          <w:iCs w:val="0"/>
          <w:color w:val="000000" w:themeColor="text1"/>
          <w:sz w:val="32"/>
          <w:szCs w:val="32"/>
          <w:highlight w:val="none"/>
          <w:u w:val="none"/>
          <w14:textFill>
            <w14:solidFill>
              <w14:schemeClr w14:val="tx1"/>
            </w14:solidFill>
          </w14:textFill>
        </w:rPr>
        <w:t>%。</w:t>
      </w:r>
      <w:r>
        <w:rPr>
          <w:rFonts w:hint="eastAsia" w:ascii="仿宋_GB2312" w:hAnsi="仿宋_GB2312" w:eastAsia="仿宋_GB2312" w:cs="仿宋_GB2312"/>
          <w:i w:val="0"/>
          <w:iCs w:val="0"/>
          <w:color w:val="000000" w:themeColor="text1"/>
          <w:sz w:val="32"/>
          <w:szCs w:val="32"/>
          <w:highlight w:val="none"/>
          <w:u w:val="none"/>
          <w14:textFill>
            <w14:solidFill>
              <w14:schemeClr w14:val="tx1"/>
            </w14:solidFill>
          </w14:textFill>
        </w:rPr>
        <w:t>全年安排因公出国（境）团组</w:t>
      </w:r>
      <w:r>
        <w:rPr>
          <w:rFonts w:hint="eastAsia" w:ascii="仿宋_GB2312" w:hAnsi="仿宋_GB2312" w:eastAsia="仿宋_GB2312" w:cs="仿宋_GB2312"/>
          <w:i w:val="0"/>
          <w:iCs w:val="0"/>
          <w:color w:val="000000" w:themeColor="text1"/>
          <w:sz w:val="32"/>
          <w:szCs w:val="32"/>
          <w:highlight w:val="none"/>
          <w:u w:val="none"/>
          <w:lang w:val="en-US" w:eastAsia="zh-CN"/>
          <w14:textFill>
            <w14:solidFill>
              <w14:schemeClr w14:val="tx1"/>
            </w14:solidFill>
          </w14:textFill>
        </w:rPr>
        <w:t>0</w:t>
      </w:r>
      <w:r>
        <w:rPr>
          <w:rFonts w:hint="eastAsia" w:ascii="仿宋_GB2312" w:hAnsi="仿宋_GB2312" w:eastAsia="仿宋_GB2312" w:cs="仿宋_GB2312"/>
          <w:i w:val="0"/>
          <w:iCs w:val="0"/>
          <w:color w:val="000000" w:themeColor="text1"/>
          <w:sz w:val="32"/>
          <w:szCs w:val="32"/>
          <w:highlight w:val="none"/>
          <w:u w:val="none"/>
          <w14:textFill>
            <w14:solidFill>
              <w14:schemeClr w14:val="tx1"/>
            </w14:solidFill>
          </w14:textFill>
        </w:rPr>
        <w:t>次，出国（境）</w:t>
      </w:r>
      <w:r>
        <w:rPr>
          <w:rFonts w:hint="eastAsia" w:ascii="仿宋_GB2312" w:hAnsi="仿宋_GB2312" w:eastAsia="仿宋_GB2312" w:cs="仿宋_GB2312"/>
          <w:i w:val="0"/>
          <w:iCs w:val="0"/>
          <w:color w:val="000000" w:themeColor="text1"/>
          <w:sz w:val="32"/>
          <w:szCs w:val="32"/>
          <w:highlight w:val="none"/>
          <w:u w:val="none"/>
          <w:lang w:val="en-US" w:eastAsia="zh-CN"/>
          <w14:textFill>
            <w14:solidFill>
              <w14:schemeClr w14:val="tx1"/>
            </w14:solidFill>
          </w14:textFill>
        </w:rPr>
        <w:t>0</w:t>
      </w:r>
      <w:r>
        <w:rPr>
          <w:rFonts w:hint="eastAsia" w:ascii="仿宋_GB2312" w:hAnsi="仿宋_GB2312" w:eastAsia="仿宋_GB2312" w:cs="仿宋_GB2312"/>
          <w:i w:val="0"/>
          <w:iCs w:val="0"/>
          <w:color w:val="000000" w:themeColor="text1"/>
          <w:sz w:val="32"/>
          <w:szCs w:val="32"/>
          <w:highlight w:val="none"/>
          <w:u w:val="none"/>
          <w14:textFill>
            <w14:solidFill>
              <w14:schemeClr w14:val="tx1"/>
            </w14:solidFill>
          </w14:textFill>
        </w:rPr>
        <w:t>人。因公出国（境）支出决算</w:t>
      </w:r>
      <w:r>
        <w:rPr>
          <w:rFonts w:hint="eastAsia" w:ascii="仿宋_GB2312" w:hAnsi="仿宋_GB2312" w:eastAsia="仿宋_GB2312" w:cs="仿宋_GB2312"/>
          <w:i w:val="0"/>
          <w:iCs w:val="0"/>
          <w:color w:val="000000" w:themeColor="text1"/>
          <w:sz w:val="32"/>
          <w:szCs w:val="32"/>
          <w:highlight w:val="none"/>
          <w:u w:val="none"/>
          <w:lang w:eastAsia="zh-CN"/>
          <w14:textFill>
            <w14:solidFill>
              <w14:schemeClr w14:val="tx1"/>
            </w14:solidFill>
          </w14:textFill>
        </w:rPr>
        <w:t>与</w:t>
      </w:r>
      <w:r>
        <w:rPr>
          <w:rFonts w:hint="eastAsia" w:ascii="仿宋_GB2312" w:hAnsi="仿宋_GB2312" w:eastAsia="仿宋_GB2312" w:cs="仿宋_GB2312"/>
          <w:i w:val="0"/>
          <w:iCs w:val="0"/>
          <w:color w:val="000000" w:themeColor="text1"/>
          <w:sz w:val="32"/>
          <w:szCs w:val="32"/>
          <w:highlight w:val="none"/>
          <w:u w:val="none"/>
          <w14:textFill>
            <w14:solidFill>
              <w14:schemeClr w14:val="tx1"/>
            </w14:solidFill>
          </w14:textFill>
        </w:rPr>
        <w:t>20</w:t>
      </w:r>
      <w:r>
        <w:rPr>
          <w:rFonts w:hint="eastAsia" w:ascii="仿宋_GB2312" w:hAnsi="仿宋_GB2312" w:eastAsia="仿宋_GB2312" w:cs="仿宋_GB2312"/>
          <w:i w:val="0"/>
          <w:iCs w:val="0"/>
          <w:color w:val="000000" w:themeColor="text1"/>
          <w:sz w:val="32"/>
          <w:szCs w:val="32"/>
          <w:highlight w:val="none"/>
          <w:u w:val="none"/>
          <w:lang w:val="en-US" w:eastAsia="zh-CN"/>
          <w14:textFill>
            <w14:solidFill>
              <w14:schemeClr w14:val="tx1"/>
            </w14:solidFill>
          </w14:textFill>
        </w:rPr>
        <w:t>20</w:t>
      </w:r>
      <w:r>
        <w:rPr>
          <w:rFonts w:hint="eastAsia" w:ascii="仿宋_GB2312" w:hAnsi="仿宋_GB2312" w:eastAsia="仿宋_GB2312" w:cs="仿宋_GB2312"/>
          <w:i w:val="0"/>
          <w:iCs w:val="0"/>
          <w:color w:val="000000" w:themeColor="text1"/>
          <w:sz w:val="32"/>
          <w:szCs w:val="32"/>
          <w:highlight w:val="none"/>
          <w:u w:val="none"/>
          <w14:textFill>
            <w14:solidFill>
              <w14:schemeClr w14:val="tx1"/>
            </w14:solidFill>
          </w14:textFill>
        </w:rPr>
        <w:t>年</w:t>
      </w:r>
      <w:r>
        <w:rPr>
          <w:rFonts w:hint="eastAsia" w:ascii="仿宋_GB2312" w:hAnsi="仿宋_GB2312" w:eastAsia="仿宋_GB2312" w:cs="仿宋_GB2312"/>
          <w:i w:val="0"/>
          <w:iCs w:val="0"/>
          <w:color w:val="000000" w:themeColor="text1"/>
          <w:sz w:val="32"/>
          <w:szCs w:val="32"/>
          <w:highlight w:val="none"/>
          <w:u w:val="none"/>
          <w:lang w:eastAsia="zh-CN"/>
          <w14:textFill>
            <w14:solidFill>
              <w14:schemeClr w14:val="tx1"/>
            </w14:solidFill>
          </w14:textFill>
        </w:rPr>
        <w:t>持平</w:t>
      </w:r>
      <w:r>
        <w:rPr>
          <w:rFonts w:hint="eastAsia" w:ascii="仿宋_GB2312" w:hAnsi="仿宋_GB2312" w:eastAsia="仿宋_GB2312" w:cs="仿宋_GB2312"/>
          <w:i w:val="0"/>
          <w:iCs w:val="0"/>
          <w:color w:val="000000" w:themeColor="text1"/>
          <w:sz w:val="32"/>
          <w:szCs w:val="32"/>
          <w:highlight w:val="none"/>
          <w:u w:val="none"/>
          <w14:textFill>
            <w14:solidFill>
              <w14:schemeClr w14:val="tx1"/>
            </w14:solidFill>
          </w14:textFill>
        </w:rPr>
        <w:t>。</w:t>
      </w:r>
    </w:p>
    <w:p>
      <w:pPr>
        <w:keepNext w:val="0"/>
        <w:keepLines w:val="0"/>
        <w:pageBreakBefore w:val="0"/>
        <w:kinsoku/>
        <w:wordWrap/>
        <w:overflowPunct/>
        <w:topLinePunct w:val="0"/>
        <w:bidi w:val="0"/>
        <w:snapToGrid/>
        <w:spacing w:line="600" w:lineRule="exact"/>
        <w:ind w:firstLine="640"/>
        <w:jc w:val="both"/>
        <w:textAlignment w:val="auto"/>
        <w:rPr>
          <w:rFonts w:hint="eastAsia" w:ascii="仿宋_GB2312" w:hAnsi="仿宋_GB2312" w:eastAsia="仿宋_GB2312" w:cs="仿宋_GB2312"/>
          <w:b/>
          <w:i w:val="0"/>
          <w:iCs w:val="0"/>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b/>
          <w:i w:val="0"/>
          <w:iCs w:val="0"/>
          <w:color w:val="000000" w:themeColor="text1"/>
          <w:sz w:val="32"/>
          <w:szCs w:val="32"/>
          <w:highlight w:val="none"/>
          <w:u w:val="none"/>
          <w14:textFill>
            <w14:solidFill>
              <w14:schemeClr w14:val="tx1"/>
            </w14:solidFill>
          </w14:textFill>
        </w:rPr>
        <w:t>2.公务用车购置及运行维护费支出</w:t>
      </w:r>
      <w:r>
        <w:rPr>
          <w:rFonts w:hint="eastAsia" w:ascii="仿宋_GB2312" w:hAnsi="仿宋_GB2312" w:eastAsia="仿宋_GB2312" w:cs="仿宋_GB2312"/>
          <w:i w:val="0"/>
          <w:iCs w:val="0"/>
          <w:color w:val="000000" w:themeColor="text1"/>
          <w:sz w:val="32"/>
          <w:szCs w:val="32"/>
          <w:highlight w:val="none"/>
          <w:u w:val="none"/>
          <w:lang w:val="en-US" w:eastAsia="zh-CN"/>
          <w14:textFill>
            <w14:solidFill>
              <w14:schemeClr w14:val="tx1"/>
            </w14:solidFill>
          </w14:textFill>
        </w:rPr>
        <w:t>47.51</w:t>
      </w:r>
      <w:r>
        <w:rPr>
          <w:rFonts w:hint="eastAsia" w:ascii="仿宋_GB2312" w:hAnsi="仿宋_GB2312" w:eastAsia="仿宋_GB2312" w:cs="仿宋_GB2312"/>
          <w:i w:val="0"/>
          <w:iCs w:val="0"/>
          <w:color w:val="000000" w:themeColor="text1"/>
          <w:sz w:val="32"/>
          <w:szCs w:val="32"/>
          <w:highlight w:val="none"/>
          <w:u w:val="none"/>
          <w14:textFill>
            <w14:solidFill>
              <w14:schemeClr w14:val="tx1"/>
            </w14:solidFill>
          </w14:textFill>
        </w:rPr>
        <w:t>万元,</w:t>
      </w:r>
      <w:r>
        <w:rPr>
          <w:rStyle w:val="16"/>
          <w:rFonts w:hint="eastAsia" w:ascii="仿宋_GB2312" w:hAnsi="仿宋_GB2312" w:eastAsia="仿宋_GB2312" w:cs="仿宋_GB2312"/>
          <w:b w:val="0"/>
          <w:bCs/>
          <w:i w:val="0"/>
          <w:iCs w:val="0"/>
          <w:color w:val="000000" w:themeColor="text1"/>
          <w:sz w:val="32"/>
          <w:szCs w:val="32"/>
          <w:highlight w:val="none"/>
          <w:u w:val="none"/>
          <w14:textFill>
            <w14:solidFill>
              <w14:schemeClr w14:val="tx1"/>
            </w14:solidFill>
          </w14:textFill>
        </w:rPr>
        <w:t>完成预算</w:t>
      </w:r>
      <w:r>
        <w:rPr>
          <w:rStyle w:val="16"/>
          <w:rFonts w:hint="eastAsia" w:ascii="仿宋_GB2312" w:hAnsi="仿宋_GB2312" w:eastAsia="仿宋_GB2312" w:cs="仿宋_GB2312"/>
          <w:b w:val="0"/>
          <w:bCs/>
          <w:i w:val="0"/>
          <w:iCs w:val="0"/>
          <w:color w:val="000000" w:themeColor="text1"/>
          <w:sz w:val="32"/>
          <w:szCs w:val="32"/>
          <w:highlight w:val="none"/>
          <w:u w:val="none"/>
          <w:lang w:val="en-US" w:eastAsia="zh-CN"/>
          <w14:textFill>
            <w14:solidFill>
              <w14:schemeClr w14:val="tx1"/>
            </w14:solidFill>
          </w14:textFill>
        </w:rPr>
        <w:t>57.94</w:t>
      </w:r>
      <w:r>
        <w:rPr>
          <w:rStyle w:val="16"/>
          <w:rFonts w:hint="eastAsia" w:ascii="仿宋_GB2312" w:hAnsi="仿宋_GB2312" w:eastAsia="仿宋_GB2312" w:cs="仿宋_GB2312"/>
          <w:b w:val="0"/>
          <w:bCs/>
          <w:i w:val="0"/>
          <w:iCs w:val="0"/>
          <w:color w:val="000000" w:themeColor="text1"/>
          <w:sz w:val="32"/>
          <w:szCs w:val="32"/>
          <w:highlight w:val="none"/>
          <w:u w:val="none"/>
          <w14:textFill>
            <w14:solidFill>
              <w14:schemeClr w14:val="tx1"/>
            </w14:solidFill>
          </w14:textFill>
        </w:rPr>
        <w:t>%。</w:t>
      </w:r>
      <w:r>
        <w:rPr>
          <w:rFonts w:hint="eastAsia" w:ascii="仿宋_GB2312" w:hAnsi="仿宋_GB2312" w:eastAsia="仿宋_GB2312" w:cs="仿宋_GB2312"/>
          <w:i w:val="0"/>
          <w:iCs w:val="0"/>
          <w:color w:val="000000" w:themeColor="text1"/>
          <w:sz w:val="32"/>
          <w:szCs w:val="32"/>
          <w:highlight w:val="none"/>
          <w:u w:val="none"/>
          <w14:textFill>
            <w14:solidFill>
              <w14:schemeClr w14:val="tx1"/>
            </w14:solidFill>
          </w14:textFill>
        </w:rPr>
        <w:t>公务用车购置及运行维护费支出决算比20</w:t>
      </w:r>
      <w:r>
        <w:rPr>
          <w:rFonts w:hint="eastAsia" w:ascii="仿宋_GB2312" w:hAnsi="仿宋_GB2312" w:eastAsia="仿宋_GB2312" w:cs="仿宋_GB2312"/>
          <w:i w:val="0"/>
          <w:iCs w:val="0"/>
          <w:color w:val="000000" w:themeColor="text1"/>
          <w:sz w:val="32"/>
          <w:szCs w:val="32"/>
          <w:highlight w:val="none"/>
          <w:u w:val="none"/>
          <w:lang w:val="en-US" w:eastAsia="zh-CN"/>
          <w14:textFill>
            <w14:solidFill>
              <w14:schemeClr w14:val="tx1"/>
            </w14:solidFill>
          </w14:textFill>
        </w:rPr>
        <w:t>20</w:t>
      </w:r>
      <w:r>
        <w:rPr>
          <w:rFonts w:hint="eastAsia" w:ascii="仿宋_GB2312" w:hAnsi="仿宋_GB2312" w:eastAsia="仿宋_GB2312" w:cs="仿宋_GB2312"/>
          <w:i w:val="0"/>
          <w:iCs w:val="0"/>
          <w:color w:val="000000" w:themeColor="text1"/>
          <w:sz w:val="32"/>
          <w:szCs w:val="32"/>
          <w:highlight w:val="none"/>
          <w:u w:val="none"/>
          <w14:textFill>
            <w14:solidFill>
              <w14:schemeClr w14:val="tx1"/>
            </w14:solidFill>
          </w14:textFill>
        </w:rPr>
        <w:t>年</w:t>
      </w:r>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下降了</w:t>
      </w:r>
      <w:r>
        <w:rPr>
          <w:rFonts w:hint="eastAsia" w:ascii="仿宋_GB2312" w:hAnsi="仿宋_GB2312" w:eastAsia="仿宋_GB2312" w:cs="仿宋_GB2312"/>
          <w:i w:val="0"/>
          <w:iCs w:val="0"/>
          <w:color w:val="000000" w:themeColor="text1"/>
          <w:sz w:val="32"/>
          <w:szCs w:val="32"/>
          <w:u w:val="none"/>
          <w:lang w:val="en-US" w:eastAsia="zh-CN"/>
          <w14:textFill>
            <w14:solidFill>
              <w14:schemeClr w14:val="tx1"/>
            </w14:solidFill>
          </w14:textFill>
        </w:rPr>
        <w:t>37.61</w:t>
      </w:r>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万元，下降比率为</w:t>
      </w:r>
      <w:r>
        <w:rPr>
          <w:rFonts w:hint="eastAsia" w:ascii="仿宋_GB2312" w:hAnsi="仿宋_GB2312" w:eastAsia="仿宋_GB2312" w:cs="仿宋_GB2312"/>
          <w:i w:val="0"/>
          <w:iCs w:val="0"/>
          <w:color w:val="000000" w:themeColor="text1"/>
          <w:sz w:val="32"/>
          <w:szCs w:val="32"/>
          <w:u w:val="none"/>
          <w:lang w:val="en-US" w:eastAsia="zh-CN"/>
          <w14:textFill>
            <w14:solidFill>
              <w14:schemeClr w14:val="tx1"/>
            </w14:solidFill>
          </w14:textFill>
        </w:rPr>
        <w:t>44.18</w:t>
      </w:r>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w:t>
      </w:r>
      <w:r>
        <w:rPr>
          <w:rFonts w:hint="eastAsia" w:ascii="仿宋_GB2312" w:hAnsi="仿宋_GB2312" w:eastAsia="仿宋_GB2312" w:cs="仿宋_GB2312"/>
          <w:i w:val="0"/>
          <w:iCs w:val="0"/>
          <w:color w:val="000000" w:themeColor="text1"/>
          <w:sz w:val="32"/>
          <w:szCs w:val="32"/>
          <w:highlight w:val="none"/>
          <w:u w:val="none"/>
          <w14:textFill>
            <w14:solidFill>
              <w14:schemeClr w14:val="tx1"/>
            </w14:solidFill>
          </w14:textFill>
        </w:rPr>
        <w:t>主要原因是</w:t>
      </w:r>
      <w:r>
        <w:rPr>
          <w:rFonts w:hint="eastAsia" w:ascii="仿宋_GB2312" w:hAnsi="仿宋_GB2312" w:eastAsia="仿宋_GB2312" w:cs="仿宋_GB2312"/>
          <w:i w:val="0"/>
          <w:iCs w:val="0"/>
          <w:color w:val="000000" w:themeColor="text1"/>
          <w:sz w:val="32"/>
          <w:szCs w:val="32"/>
          <w:highlight w:val="none"/>
          <w:u w:val="none"/>
          <w:lang w:val="en-US" w:eastAsia="zh-CN"/>
          <w14:textFill>
            <w14:solidFill>
              <w14:schemeClr w14:val="tx1"/>
            </w14:solidFill>
          </w14:textFill>
        </w:rPr>
        <w:t>2020年购置了一台新车，2021年</w:t>
      </w:r>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单位</w:t>
      </w:r>
      <w:r>
        <w:rPr>
          <w:rFonts w:hint="eastAsia" w:ascii="仿宋_GB2312" w:hAnsi="仿宋_GB2312" w:eastAsia="仿宋_GB2312" w:cs="仿宋_GB2312"/>
          <w:i w:val="0"/>
          <w:iCs w:val="0"/>
          <w:color w:val="000000" w:themeColor="text1"/>
          <w:sz w:val="32"/>
          <w:szCs w:val="32"/>
          <w:u w:val="none"/>
          <w:lang w:eastAsia="zh-CN"/>
          <w14:textFill>
            <w14:solidFill>
              <w14:schemeClr w14:val="tx1"/>
            </w14:solidFill>
          </w14:textFill>
        </w:rPr>
        <w:t>未购置车辆同时</w:t>
      </w:r>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厉行节约,落实过紧日子的要求</w:t>
      </w:r>
      <w:r>
        <w:rPr>
          <w:rFonts w:hint="eastAsia" w:ascii="仿宋_GB2312" w:hAnsi="仿宋_GB2312" w:eastAsia="仿宋_GB2312" w:cs="仿宋_GB2312"/>
          <w:i w:val="0"/>
          <w:iCs w:val="0"/>
          <w:color w:val="000000" w:themeColor="text1"/>
          <w:sz w:val="32"/>
          <w:szCs w:val="32"/>
          <w:highlight w:val="none"/>
          <w:u w:val="none"/>
          <w14:textFill>
            <w14:solidFill>
              <w14:schemeClr w14:val="tx1"/>
            </w14:solidFill>
          </w14:textFill>
        </w:rPr>
        <w:t>。</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s="仿宋_GB2312"/>
          <w:b/>
          <w:i w:val="0"/>
          <w:iCs w:val="0"/>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i w:val="0"/>
          <w:iCs w:val="0"/>
          <w:color w:val="000000" w:themeColor="text1"/>
          <w:sz w:val="32"/>
          <w:szCs w:val="32"/>
          <w:highlight w:val="none"/>
          <w:u w:val="none"/>
          <w14:textFill>
            <w14:solidFill>
              <w14:schemeClr w14:val="tx1"/>
            </w14:solidFill>
          </w14:textFill>
        </w:rPr>
        <w:t>其中：</w:t>
      </w:r>
      <w:r>
        <w:rPr>
          <w:rFonts w:hint="eastAsia" w:ascii="仿宋_GB2312" w:hAnsi="仿宋_GB2312" w:eastAsia="仿宋_GB2312" w:cs="仿宋_GB2312"/>
          <w:b/>
          <w:i w:val="0"/>
          <w:iCs w:val="0"/>
          <w:color w:val="000000" w:themeColor="text1"/>
          <w:sz w:val="32"/>
          <w:szCs w:val="32"/>
          <w:highlight w:val="none"/>
          <w:u w:val="none"/>
          <w14:textFill>
            <w14:solidFill>
              <w14:schemeClr w14:val="tx1"/>
            </w14:solidFill>
          </w14:textFill>
        </w:rPr>
        <w:t>公务用车购置支出</w:t>
      </w:r>
      <w:r>
        <w:rPr>
          <w:rFonts w:hint="eastAsia" w:ascii="仿宋_GB2312" w:hAnsi="仿宋_GB2312" w:eastAsia="仿宋_GB2312" w:cs="仿宋_GB2312"/>
          <w:i w:val="0"/>
          <w:iCs w:val="0"/>
          <w:color w:val="000000" w:themeColor="text1"/>
          <w:sz w:val="32"/>
          <w:szCs w:val="32"/>
          <w:highlight w:val="none"/>
          <w:u w:val="none"/>
          <w:lang w:val="en-US" w:eastAsia="zh-CN"/>
          <w14:textFill>
            <w14:solidFill>
              <w14:schemeClr w14:val="tx1"/>
            </w14:solidFill>
          </w14:textFill>
        </w:rPr>
        <w:t>0</w:t>
      </w:r>
      <w:r>
        <w:rPr>
          <w:rFonts w:hint="eastAsia" w:ascii="仿宋_GB2312" w:hAnsi="仿宋_GB2312" w:eastAsia="仿宋_GB2312" w:cs="仿宋_GB2312"/>
          <w:i w:val="0"/>
          <w:iCs w:val="0"/>
          <w:color w:val="000000" w:themeColor="text1"/>
          <w:sz w:val="32"/>
          <w:szCs w:val="32"/>
          <w:highlight w:val="none"/>
          <w:u w:val="none"/>
          <w14:textFill>
            <w14:solidFill>
              <w14:schemeClr w14:val="tx1"/>
            </w14:solidFill>
          </w14:textFill>
        </w:rPr>
        <w:t>万元。全年按规定更新购置公务用车</w:t>
      </w:r>
      <w:r>
        <w:rPr>
          <w:rFonts w:hint="eastAsia" w:ascii="仿宋_GB2312" w:hAnsi="仿宋_GB2312" w:eastAsia="仿宋_GB2312" w:cs="仿宋_GB2312"/>
          <w:i w:val="0"/>
          <w:iCs w:val="0"/>
          <w:color w:val="000000" w:themeColor="text1"/>
          <w:sz w:val="32"/>
          <w:szCs w:val="32"/>
          <w:highlight w:val="none"/>
          <w:u w:val="none"/>
          <w:lang w:val="en-US" w:eastAsia="zh-CN"/>
          <w14:textFill>
            <w14:solidFill>
              <w14:schemeClr w14:val="tx1"/>
            </w14:solidFill>
          </w14:textFill>
        </w:rPr>
        <w:t>0</w:t>
      </w:r>
      <w:r>
        <w:rPr>
          <w:rFonts w:hint="eastAsia" w:ascii="仿宋_GB2312" w:hAnsi="仿宋_GB2312" w:eastAsia="仿宋_GB2312" w:cs="仿宋_GB2312"/>
          <w:i w:val="0"/>
          <w:iCs w:val="0"/>
          <w:color w:val="000000" w:themeColor="text1"/>
          <w:sz w:val="32"/>
          <w:szCs w:val="32"/>
          <w:highlight w:val="none"/>
          <w:u w:val="none"/>
          <w14:textFill>
            <w14:solidFill>
              <w14:schemeClr w14:val="tx1"/>
            </w14:solidFill>
          </w14:textFill>
        </w:rPr>
        <w:t>辆。截至20</w:t>
      </w:r>
      <w:r>
        <w:rPr>
          <w:rFonts w:hint="eastAsia" w:ascii="仿宋_GB2312" w:hAnsi="仿宋_GB2312" w:eastAsia="仿宋_GB2312" w:cs="仿宋_GB2312"/>
          <w:i w:val="0"/>
          <w:iCs w:val="0"/>
          <w:color w:val="000000" w:themeColor="text1"/>
          <w:sz w:val="32"/>
          <w:szCs w:val="32"/>
          <w:highlight w:val="none"/>
          <w:u w:val="none"/>
          <w:lang w:val="en-US" w:eastAsia="zh-CN"/>
          <w14:textFill>
            <w14:solidFill>
              <w14:schemeClr w14:val="tx1"/>
            </w14:solidFill>
          </w14:textFill>
        </w:rPr>
        <w:t>21</w:t>
      </w:r>
      <w:r>
        <w:rPr>
          <w:rFonts w:hint="eastAsia" w:ascii="仿宋_GB2312" w:hAnsi="仿宋_GB2312" w:eastAsia="仿宋_GB2312" w:cs="仿宋_GB2312"/>
          <w:i w:val="0"/>
          <w:iCs w:val="0"/>
          <w:color w:val="000000" w:themeColor="text1"/>
          <w:sz w:val="32"/>
          <w:szCs w:val="32"/>
          <w:highlight w:val="none"/>
          <w:u w:val="none"/>
          <w14:textFill>
            <w14:solidFill>
              <w14:schemeClr w14:val="tx1"/>
            </w14:solidFill>
          </w14:textFill>
        </w:rPr>
        <w:t>年12月底，单位共有公务用车</w:t>
      </w:r>
      <w:r>
        <w:rPr>
          <w:rFonts w:hint="eastAsia" w:ascii="仿宋_GB2312" w:hAnsi="仿宋_GB2312" w:eastAsia="仿宋_GB2312" w:cs="仿宋_GB2312"/>
          <w:i w:val="0"/>
          <w:iCs w:val="0"/>
          <w:color w:val="000000" w:themeColor="text1"/>
          <w:sz w:val="32"/>
          <w:szCs w:val="32"/>
          <w:highlight w:val="none"/>
          <w:u w:val="none"/>
          <w:lang w:val="en-US" w:eastAsia="zh-CN"/>
          <w14:textFill>
            <w14:solidFill>
              <w14:schemeClr w14:val="tx1"/>
            </w14:solidFill>
          </w14:textFill>
        </w:rPr>
        <w:t>29</w:t>
      </w:r>
      <w:r>
        <w:rPr>
          <w:rFonts w:hint="eastAsia" w:ascii="仿宋_GB2312" w:hAnsi="仿宋_GB2312" w:eastAsia="仿宋_GB2312" w:cs="仿宋_GB2312"/>
          <w:i w:val="0"/>
          <w:iCs w:val="0"/>
          <w:color w:val="000000" w:themeColor="text1"/>
          <w:sz w:val="32"/>
          <w:szCs w:val="32"/>
          <w:highlight w:val="none"/>
          <w:u w:val="none"/>
          <w14:textFill>
            <w14:solidFill>
              <w14:schemeClr w14:val="tx1"/>
            </w14:solidFill>
          </w14:textFill>
        </w:rPr>
        <w:t>辆，其中：轿车</w:t>
      </w:r>
      <w:r>
        <w:rPr>
          <w:rFonts w:hint="eastAsia" w:ascii="仿宋_GB2312" w:hAnsi="仿宋_GB2312" w:eastAsia="仿宋_GB2312" w:cs="仿宋_GB2312"/>
          <w:i w:val="0"/>
          <w:iCs w:val="0"/>
          <w:color w:val="000000" w:themeColor="text1"/>
          <w:sz w:val="32"/>
          <w:szCs w:val="32"/>
          <w:highlight w:val="none"/>
          <w:u w:val="none"/>
          <w:lang w:val="en-US" w:eastAsia="zh-CN"/>
          <w14:textFill>
            <w14:solidFill>
              <w14:schemeClr w14:val="tx1"/>
            </w14:solidFill>
          </w14:textFill>
        </w:rPr>
        <w:t>23</w:t>
      </w:r>
      <w:r>
        <w:rPr>
          <w:rFonts w:hint="eastAsia" w:ascii="仿宋_GB2312" w:hAnsi="仿宋_GB2312" w:eastAsia="仿宋_GB2312" w:cs="仿宋_GB2312"/>
          <w:i w:val="0"/>
          <w:iCs w:val="0"/>
          <w:color w:val="000000" w:themeColor="text1"/>
          <w:sz w:val="32"/>
          <w:szCs w:val="32"/>
          <w:highlight w:val="none"/>
          <w:u w:val="none"/>
          <w14:textFill>
            <w14:solidFill>
              <w14:schemeClr w14:val="tx1"/>
            </w14:solidFill>
          </w14:textFill>
        </w:rPr>
        <w:t>辆、越野车</w:t>
      </w:r>
      <w:r>
        <w:rPr>
          <w:rFonts w:hint="eastAsia" w:ascii="仿宋_GB2312" w:hAnsi="仿宋_GB2312" w:eastAsia="仿宋_GB2312" w:cs="仿宋_GB2312"/>
          <w:i w:val="0"/>
          <w:iCs w:val="0"/>
          <w:color w:val="000000" w:themeColor="text1"/>
          <w:sz w:val="32"/>
          <w:szCs w:val="32"/>
          <w:highlight w:val="none"/>
          <w:u w:val="none"/>
          <w:lang w:val="en-US" w:eastAsia="zh-CN"/>
          <w14:textFill>
            <w14:solidFill>
              <w14:schemeClr w14:val="tx1"/>
            </w14:solidFill>
          </w14:textFill>
        </w:rPr>
        <w:t>3</w:t>
      </w:r>
      <w:r>
        <w:rPr>
          <w:rFonts w:hint="eastAsia" w:ascii="仿宋_GB2312" w:hAnsi="仿宋_GB2312" w:eastAsia="仿宋_GB2312" w:cs="仿宋_GB2312"/>
          <w:i w:val="0"/>
          <w:iCs w:val="0"/>
          <w:color w:val="000000" w:themeColor="text1"/>
          <w:sz w:val="32"/>
          <w:szCs w:val="32"/>
          <w:highlight w:val="none"/>
          <w:u w:val="none"/>
          <w14:textFill>
            <w14:solidFill>
              <w14:schemeClr w14:val="tx1"/>
            </w14:solidFill>
          </w14:textFill>
        </w:rPr>
        <w:t>辆、载客汽车</w:t>
      </w:r>
      <w:r>
        <w:rPr>
          <w:rFonts w:hint="eastAsia" w:ascii="仿宋_GB2312" w:hAnsi="仿宋_GB2312" w:eastAsia="仿宋_GB2312" w:cs="仿宋_GB2312"/>
          <w:i w:val="0"/>
          <w:iCs w:val="0"/>
          <w:color w:val="000000" w:themeColor="text1"/>
          <w:sz w:val="32"/>
          <w:szCs w:val="32"/>
          <w:highlight w:val="none"/>
          <w:u w:val="none"/>
          <w:lang w:val="en-US" w:eastAsia="zh-CN"/>
          <w14:textFill>
            <w14:solidFill>
              <w14:schemeClr w14:val="tx1"/>
            </w14:solidFill>
          </w14:textFill>
        </w:rPr>
        <w:t>3</w:t>
      </w:r>
      <w:r>
        <w:rPr>
          <w:rFonts w:hint="eastAsia" w:ascii="仿宋_GB2312" w:hAnsi="仿宋_GB2312" w:eastAsia="仿宋_GB2312" w:cs="仿宋_GB2312"/>
          <w:i w:val="0"/>
          <w:iCs w:val="0"/>
          <w:color w:val="000000" w:themeColor="text1"/>
          <w:sz w:val="32"/>
          <w:szCs w:val="32"/>
          <w:highlight w:val="none"/>
          <w:u w:val="none"/>
          <w14:textFill>
            <w14:solidFill>
              <w14:schemeClr w14:val="tx1"/>
            </w14:solidFill>
          </w14:textFill>
        </w:rPr>
        <w:t>辆。</w:t>
      </w:r>
    </w:p>
    <w:p>
      <w:pPr>
        <w:pStyle w:val="32"/>
        <w:keepNext w:val="0"/>
        <w:keepLines w:val="0"/>
        <w:pageBreakBefore w:val="0"/>
        <w:kinsoku/>
        <w:wordWrap/>
        <w:overflowPunct/>
        <w:topLinePunct w:val="0"/>
        <w:bidi w:val="0"/>
        <w:snapToGrid/>
        <w:spacing w:line="600" w:lineRule="exact"/>
        <w:ind w:firstLine="643" w:firstLineChars="200"/>
        <w:jc w:val="both"/>
        <w:textAlignment w:val="auto"/>
        <w:rPr>
          <w:rFonts w:hint="eastAsia" w:ascii="仿宋_GB2312" w:hAnsi="仿宋_GB2312" w:eastAsia="仿宋_GB2312" w:cs="仿宋_GB2312"/>
          <w:i w:val="0"/>
          <w:iCs w:val="0"/>
          <w:color w:val="000000" w:themeColor="text1"/>
          <w:sz w:val="32"/>
          <w:szCs w:val="32"/>
          <w:u w:val="none"/>
          <w14:textFill>
            <w14:solidFill>
              <w14:schemeClr w14:val="tx1"/>
            </w14:solidFill>
          </w14:textFill>
        </w:rPr>
      </w:pPr>
      <w:r>
        <w:rPr>
          <w:rFonts w:hint="eastAsia" w:ascii="仿宋_GB2312" w:hAnsi="仿宋_GB2312" w:eastAsia="仿宋_GB2312" w:cs="仿宋_GB2312"/>
          <w:b/>
          <w:i w:val="0"/>
          <w:iCs w:val="0"/>
          <w:color w:val="000000" w:themeColor="text1"/>
          <w:sz w:val="32"/>
          <w:szCs w:val="32"/>
          <w:highlight w:val="none"/>
          <w:u w:val="none"/>
          <w14:textFill>
            <w14:solidFill>
              <w14:schemeClr w14:val="tx1"/>
            </w14:solidFill>
          </w14:textFill>
        </w:rPr>
        <w:t>公务用车运行维护费支出</w:t>
      </w:r>
      <w:r>
        <w:rPr>
          <w:rFonts w:hint="eastAsia" w:ascii="仿宋_GB2312" w:hAnsi="仿宋_GB2312" w:eastAsia="仿宋_GB2312" w:cs="仿宋_GB2312"/>
          <w:i w:val="0"/>
          <w:iCs w:val="0"/>
          <w:color w:val="000000" w:themeColor="text1"/>
          <w:sz w:val="32"/>
          <w:szCs w:val="32"/>
          <w:highlight w:val="none"/>
          <w:u w:val="none"/>
          <w:lang w:val="en-US" w:eastAsia="zh-CN"/>
          <w14:textFill>
            <w14:solidFill>
              <w14:schemeClr w14:val="tx1"/>
            </w14:solidFill>
          </w14:textFill>
        </w:rPr>
        <w:t>47.51</w:t>
      </w:r>
      <w:r>
        <w:rPr>
          <w:rFonts w:hint="eastAsia" w:ascii="仿宋_GB2312" w:hAnsi="仿宋_GB2312" w:eastAsia="仿宋_GB2312" w:cs="仿宋_GB2312"/>
          <w:i w:val="0"/>
          <w:iCs w:val="0"/>
          <w:color w:val="000000" w:themeColor="text1"/>
          <w:sz w:val="32"/>
          <w:szCs w:val="32"/>
          <w:highlight w:val="none"/>
          <w:u w:val="none"/>
          <w14:textFill>
            <w14:solidFill>
              <w14:schemeClr w14:val="tx1"/>
            </w14:solidFill>
          </w14:textFill>
        </w:rPr>
        <w:t>万元。</w:t>
      </w:r>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要用于法律援助、普法宣传、基层司法、法制建设等工作所需的公务用车燃料费、维修费、过路过桥费、保险费等支出。</w:t>
      </w:r>
    </w:p>
    <w:p>
      <w:pPr>
        <w:keepNext w:val="0"/>
        <w:keepLines w:val="0"/>
        <w:pageBreakBefore w:val="0"/>
        <w:kinsoku/>
        <w:wordWrap/>
        <w:overflowPunct/>
        <w:topLinePunct w:val="0"/>
        <w:bidi w:val="0"/>
        <w:snapToGrid/>
        <w:spacing w:line="600" w:lineRule="exact"/>
        <w:ind w:firstLine="640"/>
        <w:jc w:val="both"/>
        <w:textAlignment w:val="auto"/>
        <w:rPr>
          <w:rFonts w:hint="eastAsia" w:ascii="仿宋_GB2312" w:hAnsi="仿宋_GB2312" w:eastAsia="仿宋_GB2312" w:cs="仿宋_GB2312"/>
          <w:i w:val="0"/>
          <w:iCs w:val="0"/>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b/>
          <w:i w:val="0"/>
          <w:iCs w:val="0"/>
          <w:color w:val="000000" w:themeColor="text1"/>
          <w:sz w:val="32"/>
          <w:szCs w:val="32"/>
          <w:highlight w:val="none"/>
          <w:u w:val="none"/>
          <w14:textFill>
            <w14:solidFill>
              <w14:schemeClr w14:val="tx1"/>
            </w14:solidFill>
          </w14:textFill>
        </w:rPr>
        <w:t>3.公务接待费支出</w:t>
      </w:r>
      <w:r>
        <w:rPr>
          <w:rFonts w:hint="eastAsia" w:ascii="仿宋_GB2312" w:hAnsi="仿宋_GB2312" w:eastAsia="仿宋_GB2312" w:cs="仿宋_GB2312"/>
          <w:i w:val="0"/>
          <w:iCs w:val="0"/>
          <w:color w:val="000000" w:themeColor="text1"/>
          <w:sz w:val="32"/>
          <w:szCs w:val="32"/>
          <w:highlight w:val="none"/>
          <w:u w:val="none"/>
          <w:lang w:val="en-US" w:eastAsia="zh-CN"/>
          <w14:textFill>
            <w14:solidFill>
              <w14:schemeClr w14:val="tx1"/>
            </w14:solidFill>
          </w14:textFill>
        </w:rPr>
        <w:t>2.80</w:t>
      </w:r>
      <w:r>
        <w:rPr>
          <w:rFonts w:hint="eastAsia" w:ascii="仿宋_GB2312" w:hAnsi="仿宋_GB2312" w:eastAsia="仿宋_GB2312" w:cs="仿宋_GB2312"/>
          <w:i w:val="0"/>
          <w:iCs w:val="0"/>
          <w:color w:val="000000" w:themeColor="text1"/>
          <w:sz w:val="32"/>
          <w:szCs w:val="32"/>
          <w:highlight w:val="none"/>
          <w:u w:val="none"/>
          <w14:textFill>
            <w14:solidFill>
              <w14:schemeClr w14:val="tx1"/>
            </w14:solidFill>
          </w14:textFill>
        </w:rPr>
        <w:t>万元，</w:t>
      </w:r>
      <w:r>
        <w:rPr>
          <w:rStyle w:val="16"/>
          <w:rFonts w:hint="eastAsia" w:ascii="仿宋_GB2312" w:hAnsi="仿宋_GB2312" w:eastAsia="仿宋_GB2312" w:cs="仿宋_GB2312"/>
          <w:b w:val="0"/>
          <w:bCs/>
          <w:i w:val="0"/>
          <w:iCs w:val="0"/>
          <w:color w:val="000000" w:themeColor="text1"/>
          <w:sz w:val="32"/>
          <w:szCs w:val="32"/>
          <w:highlight w:val="none"/>
          <w:u w:val="none"/>
          <w14:textFill>
            <w14:solidFill>
              <w14:schemeClr w14:val="tx1"/>
            </w14:solidFill>
          </w14:textFill>
        </w:rPr>
        <w:t>完成预算</w:t>
      </w:r>
      <w:r>
        <w:rPr>
          <w:rStyle w:val="16"/>
          <w:rFonts w:hint="eastAsia" w:ascii="仿宋_GB2312" w:hAnsi="仿宋_GB2312" w:eastAsia="仿宋_GB2312" w:cs="仿宋_GB2312"/>
          <w:b w:val="0"/>
          <w:bCs/>
          <w:i w:val="0"/>
          <w:iCs w:val="0"/>
          <w:color w:val="000000" w:themeColor="text1"/>
          <w:sz w:val="32"/>
          <w:szCs w:val="32"/>
          <w:highlight w:val="none"/>
          <w:u w:val="none"/>
          <w:lang w:val="en-US" w:eastAsia="zh-CN"/>
          <w14:textFill>
            <w14:solidFill>
              <w14:schemeClr w14:val="tx1"/>
            </w14:solidFill>
          </w14:textFill>
        </w:rPr>
        <w:t>27.96</w:t>
      </w:r>
      <w:r>
        <w:rPr>
          <w:rStyle w:val="16"/>
          <w:rFonts w:hint="eastAsia" w:ascii="仿宋_GB2312" w:hAnsi="仿宋_GB2312" w:eastAsia="仿宋_GB2312" w:cs="仿宋_GB2312"/>
          <w:b w:val="0"/>
          <w:bCs/>
          <w:i w:val="0"/>
          <w:iCs w:val="0"/>
          <w:color w:val="000000" w:themeColor="text1"/>
          <w:sz w:val="32"/>
          <w:szCs w:val="32"/>
          <w:highlight w:val="none"/>
          <w:u w:val="none"/>
          <w14:textFill>
            <w14:solidFill>
              <w14:schemeClr w14:val="tx1"/>
            </w14:solidFill>
          </w14:textFill>
        </w:rPr>
        <w:t>%。</w:t>
      </w:r>
      <w:r>
        <w:rPr>
          <w:rFonts w:hint="eastAsia" w:ascii="仿宋_GB2312" w:hAnsi="仿宋_GB2312" w:eastAsia="仿宋_GB2312" w:cs="仿宋_GB2312"/>
          <w:i w:val="0"/>
          <w:iCs w:val="0"/>
          <w:color w:val="000000" w:themeColor="text1"/>
          <w:sz w:val="32"/>
          <w:szCs w:val="32"/>
          <w:highlight w:val="none"/>
          <w:u w:val="none"/>
          <w14:textFill>
            <w14:solidFill>
              <w14:schemeClr w14:val="tx1"/>
            </w14:solidFill>
          </w14:textFill>
        </w:rPr>
        <w:t>公务接待费支出决算比20</w:t>
      </w:r>
      <w:r>
        <w:rPr>
          <w:rFonts w:hint="eastAsia" w:ascii="仿宋_GB2312" w:hAnsi="仿宋_GB2312" w:eastAsia="仿宋_GB2312" w:cs="仿宋_GB2312"/>
          <w:i w:val="0"/>
          <w:iCs w:val="0"/>
          <w:color w:val="000000" w:themeColor="text1"/>
          <w:sz w:val="32"/>
          <w:szCs w:val="32"/>
          <w:highlight w:val="none"/>
          <w:u w:val="none"/>
          <w:lang w:val="en-US" w:eastAsia="zh-CN"/>
          <w14:textFill>
            <w14:solidFill>
              <w14:schemeClr w14:val="tx1"/>
            </w14:solidFill>
          </w14:textFill>
        </w:rPr>
        <w:t>20</w:t>
      </w:r>
      <w:r>
        <w:rPr>
          <w:rFonts w:hint="eastAsia" w:ascii="仿宋_GB2312" w:hAnsi="仿宋_GB2312" w:eastAsia="仿宋_GB2312" w:cs="仿宋_GB2312"/>
          <w:i w:val="0"/>
          <w:iCs w:val="0"/>
          <w:color w:val="000000" w:themeColor="text1"/>
          <w:sz w:val="32"/>
          <w:szCs w:val="32"/>
          <w:highlight w:val="none"/>
          <w:u w:val="none"/>
          <w14:textFill>
            <w14:solidFill>
              <w14:schemeClr w14:val="tx1"/>
            </w14:solidFill>
          </w14:textFill>
        </w:rPr>
        <w:t>年</w:t>
      </w:r>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增长</w:t>
      </w:r>
      <w:r>
        <w:rPr>
          <w:rFonts w:hint="eastAsia" w:ascii="仿宋_GB2312" w:hAnsi="仿宋_GB2312" w:eastAsia="仿宋_GB2312" w:cs="仿宋_GB2312"/>
          <w:i w:val="0"/>
          <w:iCs w:val="0"/>
          <w:color w:val="000000" w:themeColor="text1"/>
          <w:sz w:val="32"/>
          <w:szCs w:val="32"/>
          <w:u w:val="none"/>
          <w:lang w:eastAsia="zh-CN"/>
          <w14:textFill>
            <w14:solidFill>
              <w14:schemeClr w14:val="tx1"/>
            </w14:solidFill>
          </w14:textFill>
        </w:rPr>
        <w:t>了</w:t>
      </w:r>
      <w:r>
        <w:rPr>
          <w:rFonts w:hint="eastAsia" w:ascii="仿宋_GB2312" w:hAnsi="仿宋_GB2312" w:eastAsia="仿宋_GB2312" w:cs="仿宋_GB2312"/>
          <w:i w:val="0"/>
          <w:iCs w:val="0"/>
          <w:color w:val="000000" w:themeColor="text1"/>
          <w:sz w:val="32"/>
          <w:szCs w:val="32"/>
          <w:u w:val="none"/>
          <w:lang w:val="en-US" w:eastAsia="zh-CN"/>
          <w14:textFill>
            <w14:solidFill>
              <w14:schemeClr w14:val="tx1"/>
            </w14:solidFill>
          </w14:textFill>
        </w:rPr>
        <w:t>0.1万元，</w:t>
      </w:r>
      <w:r>
        <w:rPr>
          <w:rFonts w:hint="eastAsia" w:ascii="仿宋_GB2312" w:hAnsi="仿宋_GB2312" w:eastAsia="仿宋_GB2312" w:cs="仿宋_GB2312"/>
          <w:i w:val="0"/>
          <w:iCs w:val="0"/>
          <w:color w:val="000000" w:themeColor="text1"/>
          <w:sz w:val="32"/>
          <w:szCs w:val="32"/>
          <w:u w:val="none"/>
          <w:lang w:eastAsia="zh-CN"/>
          <w14:textFill>
            <w14:solidFill>
              <w14:schemeClr w14:val="tx1"/>
            </w14:solidFill>
          </w14:textFill>
        </w:rPr>
        <w:t>增长</w:t>
      </w:r>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比率为</w:t>
      </w:r>
      <w:r>
        <w:rPr>
          <w:rFonts w:hint="eastAsia" w:ascii="仿宋_GB2312" w:hAnsi="仿宋_GB2312" w:eastAsia="仿宋_GB2312" w:cs="仿宋_GB2312"/>
          <w:i w:val="0"/>
          <w:iCs w:val="0"/>
          <w:color w:val="000000" w:themeColor="text1"/>
          <w:sz w:val="32"/>
          <w:szCs w:val="32"/>
          <w:u w:val="none"/>
          <w:lang w:val="en-US" w:eastAsia="zh-CN"/>
          <w14:textFill>
            <w14:solidFill>
              <w14:schemeClr w14:val="tx1"/>
            </w14:solidFill>
          </w14:textFill>
        </w:rPr>
        <w:t>3.7</w:t>
      </w:r>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w:t>
      </w:r>
      <w:r>
        <w:rPr>
          <w:rFonts w:hint="eastAsia" w:ascii="仿宋_GB2312" w:hAnsi="仿宋_GB2312" w:eastAsia="仿宋_GB2312" w:cs="仿宋_GB2312"/>
          <w:i w:val="0"/>
          <w:iCs w:val="0"/>
          <w:color w:val="000000" w:themeColor="text1"/>
          <w:sz w:val="32"/>
          <w:szCs w:val="32"/>
          <w:highlight w:val="none"/>
          <w:u w:val="none"/>
          <w14:textFill>
            <w14:solidFill>
              <w14:schemeClr w14:val="tx1"/>
            </w14:solidFill>
          </w14:textFill>
        </w:rPr>
        <w:t>。主要原因是</w:t>
      </w:r>
      <w:r>
        <w:rPr>
          <w:rFonts w:hint="eastAsia" w:ascii="仿宋_GB2312" w:hAnsi="仿宋_GB2312" w:eastAsia="仿宋_GB2312" w:cs="仿宋_GB2312"/>
          <w:i w:val="0"/>
          <w:iCs w:val="0"/>
          <w:color w:val="000000" w:themeColor="text1"/>
          <w:sz w:val="32"/>
          <w:szCs w:val="32"/>
          <w:highlight w:val="none"/>
          <w:u w:val="none"/>
          <w:lang w:val="en-US" w:eastAsia="zh-CN"/>
          <w14:textFill>
            <w14:solidFill>
              <w14:schemeClr w14:val="tx1"/>
            </w14:solidFill>
          </w14:textFill>
        </w:rPr>
        <w:t>2020年受新冠疫情影响，接待费开支大幅减少</w:t>
      </w:r>
      <w:r>
        <w:rPr>
          <w:rFonts w:hint="eastAsia" w:ascii="仿宋_GB2312" w:hAnsi="仿宋_GB2312" w:eastAsia="仿宋_GB2312" w:cs="仿宋_GB2312"/>
          <w:i w:val="0"/>
          <w:iCs w:val="0"/>
          <w:color w:val="000000" w:themeColor="text1"/>
          <w:sz w:val="32"/>
          <w:szCs w:val="32"/>
          <w:highlight w:val="none"/>
          <w:u w:val="none"/>
          <w14:textFill>
            <w14:solidFill>
              <w14:schemeClr w14:val="tx1"/>
            </w14:solidFill>
          </w14:textFill>
        </w:rPr>
        <w:t>。其中：</w:t>
      </w:r>
    </w:p>
    <w:p>
      <w:pPr>
        <w:pStyle w:val="32"/>
        <w:keepNext w:val="0"/>
        <w:keepLines w:val="0"/>
        <w:pageBreakBefore w:val="0"/>
        <w:kinsoku/>
        <w:wordWrap/>
        <w:overflowPunct/>
        <w:topLinePunct w:val="0"/>
        <w:bidi w:val="0"/>
        <w:snapToGrid/>
        <w:spacing w:line="600" w:lineRule="exact"/>
        <w:ind w:firstLine="643" w:firstLineChars="200"/>
        <w:jc w:val="both"/>
        <w:textAlignment w:val="auto"/>
        <w:rPr>
          <w:rFonts w:hint="eastAsia" w:ascii="仿宋_GB2312" w:hAnsi="仿宋_GB2312" w:eastAsia="仿宋_GB2312" w:cs="仿宋_GB2312"/>
          <w:i w:val="0"/>
          <w:iCs w:val="0"/>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b/>
          <w:i w:val="0"/>
          <w:iCs w:val="0"/>
          <w:color w:val="000000" w:themeColor="text1"/>
          <w:sz w:val="32"/>
          <w:szCs w:val="32"/>
          <w:highlight w:val="none"/>
          <w:u w:val="none"/>
          <w14:textFill>
            <w14:solidFill>
              <w14:schemeClr w14:val="tx1"/>
            </w14:solidFill>
          </w14:textFill>
        </w:rPr>
        <w:t>国内公务接待支出</w:t>
      </w:r>
      <w:r>
        <w:rPr>
          <w:rFonts w:hint="eastAsia" w:ascii="仿宋_GB2312" w:hAnsi="仿宋_GB2312" w:eastAsia="仿宋_GB2312" w:cs="仿宋_GB2312"/>
          <w:i w:val="0"/>
          <w:iCs w:val="0"/>
          <w:color w:val="000000" w:themeColor="text1"/>
          <w:sz w:val="32"/>
          <w:szCs w:val="32"/>
          <w:highlight w:val="none"/>
          <w:u w:val="none"/>
          <w:lang w:val="en-US" w:eastAsia="zh-CN"/>
          <w14:textFill>
            <w14:solidFill>
              <w14:schemeClr w14:val="tx1"/>
            </w14:solidFill>
          </w14:textFill>
        </w:rPr>
        <w:t>2.80</w:t>
      </w:r>
      <w:r>
        <w:rPr>
          <w:rFonts w:hint="eastAsia" w:ascii="仿宋_GB2312" w:hAnsi="仿宋_GB2312" w:eastAsia="仿宋_GB2312" w:cs="仿宋_GB2312"/>
          <w:i w:val="0"/>
          <w:iCs w:val="0"/>
          <w:color w:val="000000" w:themeColor="text1"/>
          <w:sz w:val="32"/>
          <w:szCs w:val="32"/>
          <w:highlight w:val="none"/>
          <w:u w:val="none"/>
          <w14:textFill>
            <w14:solidFill>
              <w14:schemeClr w14:val="tx1"/>
            </w14:solidFill>
          </w14:textFill>
        </w:rPr>
        <w:t>万元，</w:t>
      </w:r>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主要用于法律援助、普法宣传、基层司法、法制建设(执行公务、开展业务活动开支的交通费、住宿费、用餐费等)。国内公务接待2</w:t>
      </w:r>
      <w:r>
        <w:rPr>
          <w:rFonts w:hint="eastAsia" w:ascii="仿宋_GB2312" w:hAnsi="仿宋_GB2312" w:eastAsia="仿宋_GB2312" w:cs="仿宋_GB2312"/>
          <w:i w:val="0"/>
          <w:iCs w:val="0"/>
          <w:color w:val="000000" w:themeColor="text1"/>
          <w:sz w:val="32"/>
          <w:szCs w:val="32"/>
          <w:u w:val="none"/>
          <w:lang w:val="en-US" w:eastAsia="zh-CN"/>
          <w14:textFill>
            <w14:solidFill>
              <w14:schemeClr w14:val="tx1"/>
            </w14:solidFill>
          </w14:textFill>
        </w:rPr>
        <w:t>0</w:t>
      </w:r>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批次，2</w:t>
      </w:r>
      <w:r>
        <w:rPr>
          <w:rFonts w:hint="eastAsia" w:ascii="仿宋_GB2312" w:hAnsi="仿宋_GB2312" w:eastAsia="仿宋_GB2312" w:cs="仿宋_GB2312"/>
          <w:i w:val="0"/>
          <w:iCs w:val="0"/>
          <w:color w:val="000000" w:themeColor="text1"/>
          <w:sz w:val="32"/>
          <w:szCs w:val="32"/>
          <w:u w:val="none"/>
          <w:lang w:val="en-US" w:eastAsia="zh-CN"/>
          <w14:textFill>
            <w14:solidFill>
              <w14:schemeClr w14:val="tx1"/>
            </w14:solidFill>
          </w14:textFill>
        </w:rPr>
        <w:t>02</w:t>
      </w:r>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人次（不包括陪同人员），共计支出</w:t>
      </w:r>
      <w:r>
        <w:rPr>
          <w:rFonts w:hint="eastAsia" w:ascii="仿宋_GB2312" w:hAnsi="仿宋_GB2312" w:eastAsia="仿宋_GB2312" w:cs="仿宋_GB2312"/>
          <w:i w:val="0"/>
          <w:iCs w:val="0"/>
          <w:color w:val="000000" w:themeColor="text1"/>
          <w:sz w:val="32"/>
          <w:szCs w:val="32"/>
          <w:u w:val="none"/>
          <w:lang w:val="en-US" w:eastAsia="zh-CN"/>
          <w14:textFill>
            <w14:solidFill>
              <w14:schemeClr w14:val="tx1"/>
            </w14:solidFill>
          </w14:textFill>
        </w:rPr>
        <w:t>2.80</w:t>
      </w:r>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万元。</w:t>
      </w:r>
    </w:p>
    <w:p>
      <w:pPr>
        <w:pStyle w:val="32"/>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s="仿宋_GB2312"/>
          <w:i w:val="0"/>
          <w:iCs w:val="0"/>
          <w:color w:val="000000" w:themeColor="text1"/>
          <w:sz w:val="32"/>
          <w:szCs w:val="32"/>
          <w:u w:val="none"/>
          <w14:textFill>
            <w14:solidFill>
              <w14:schemeClr w14:val="tx1"/>
            </w14:solidFill>
          </w14:textFill>
        </w:rPr>
      </w:pPr>
      <w:bookmarkStart w:id="50" w:name="_Toc15396610"/>
      <w:bookmarkStart w:id="51" w:name="_Toc15377218"/>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无外事接待支出。</w:t>
      </w:r>
    </w:p>
    <w:p>
      <w:pPr>
        <w:keepNext w:val="0"/>
        <w:keepLines w:val="0"/>
        <w:pageBreakBefore w:val="0"/>
        <w:kinsoku/>
        <w:wordWrap/>
        <w:overflowPunct/>
        <w:topLinePunct w:val="0"/>
        <w:bidi w:val="0"/>
        <w:snapToGrid/>
        <w:spacing w:line="600" w:lineRule="exact"/>
        <w:ind w:firstLine="640"/>
        <w:jc w:val="both"/>
        <w:textAlignment w:val="auto"/>
        <w:outlineLvl w:val="1"/>
        <w:rPr>
          <w:rStyle w:val="27"/>
          <w:rFonts w:hint="eastAsia" w:ascii="黑体" w:hAnsi="黑体" w:eastAsia="黑体" w:cs="黑体"/>
          <w:i w:val="0"/>
          <w:iCs w:val="0"/>
          <w:color w:val="000000" w:themeColor="text1"/>
          <w:sz w:val="32"/>
          <w:szCs w:val="32"/>
          <w:highlight w:val="none"/>
          <w:u w:val="none"/>
          <w14:textFill>
            <w14:solidFill>
              <w14:schemeClr w14:val="tx1"/>
            </w14:solidFill>
          </w14:textFill>
        </w:rPr>
      </w:pPr>
      <w:r>
        <w:rPr>
          <w:rFonts w:hint="eastAsia" w:ascii="黑体" w:hAnsi="黑体" w:eastAsia="黑体" w:cs="黑体"/>
          <w:i w:val="0"/>
          <w:iCs w:val="0"/>
          <w:color w:val="000000" w:themeColor="text1"/>
          <w:sz w:val="32"/>
          <w:szCs w:val="32"/>
          <w:highlight w:val="none"/>
          <w:u w:val="none"/>
          <w14:textFill>
            <w14:solidFill>
              <w14:schemeClr w14:val="tx1"/>
            </w14:solidFill>
          </w14:textFill>
        </w:rPr>
        <w:t>八、</w:t>
      </w:r>
      <w:r>
        <w:rPr>
          <w:rStyle w:val="27"/>
          <w:rFonts w:hint="eastAsia" w:ascii="黑体" w:hAnsi="黑体" w:eastAsia="黑体" w:cs="黑体"/>
          <w:b w:val="0"/>
          <w:i w:val="0"/>
          <w:iCs w:val="0"/>
          <w:color w:val="000000" w:themeColor="text1"/>
          <w:sz w:val="32"/>
          <w:szCs w:val="32"/>
          <w:highlight w:val="none"/>
          <w:u w:val="none"/>
          <w14:textFill>
            <w14:solidFill>
              <w14:schemeClr w14:val="tx1"/>
            </w14:solidFill>
          </w14:textFill>
        </w:rPr>
        <w:t>政府性基金预算支出决算情况说明</w:t>
      </w:r>
      <w:bookmarkEnd w:id="50"/>
      <w:bookmarkEnd w:id="51"/>
    </w:p>
    <w:p>
      <w:pPr>
        <w:keepNext w:val="0"/>
        <w:keepLines w:val="0"/>
        <w:pageBreakBefore w:val="0"/>
        <w:kinsoku/>
        <w:wordWrap/>
        <w:overflowPunct/>
        <w:topLinePunct w:val="0"/>
        <w:bidi w:val="0"/>
        <w:snapToGrid/>
        <w:spacing w:line="600" w:lineRule="exact"/>
        <w:ind w:firstLine="640"/>
        <w:jc w:val="both"/>
        <w:textAlignment w:val="auto"/>
        <w:rPr>
          <w:rFonts w:hint="eastAsia" w:ascii="仿宋_GB2312" w:hAnsi="仿宋_GB2312" w:eastAsia="仿宋_GB2312" w:cs="仿宋_GB2312"/>
          <w:i w:val="0"/>
          <w:iCs w:val="0"/>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i w:val="0"/>
          <w:iCs w:val="0"/>
          <w:color w:val="000000" w:themeColor="text1"/>
          <w:sz w:val="32"/>
          <w:szCs w:val="32"/>
          <w:highlight w:val="none"/>
          <w:u w:val="none"/>
          <w14:textFill>
            <w14:solidFill>
              <w14:schemeClr w14:val="tx1"/>
            </w14:solidFill>
          </w14:textFill>
        </w:rPr>
        <w:t>20</w:t>
      </w:r>
      <w:r>
        <w:rPr>
          <w:rFonts w:hint="eastAsia" w:ascii="仿宋_GB2312" w:hAnsi="仿宋_GB2312" w:eastAsia="仿宋_GB2312" w:cs="仿宋_GB2312"/>
          <w:i w:val="0"/>
          <w:iCs w:val="0"/>
          <w:color w:val="000000" w:themeColor="text1"/>
          <w:sz w:val="32"/>
          <w:szCs w:val="32"/>
          <w:highlight w:val="none"/>
          <w:u w:val="none"/>
          <w:lang w:val="en-US" w:eastAsia="zh-CN"/>
          <w14:textFill>
            <w14:solidFill>
              <w14:schemeClr w14:val="tx1"/>
            </w14:solidFill>
          </w14:textFill>
        </w:rPr>
        <w:t>21</w:t>
      </w:r>
      <w:r>
        <w:rPr>
          <w:rFonts w:hint="eastAsia" w:ascii="仿宋_GB2312" w:hAnsi="仿宋_GB2312" w:eastAsia="仿宋_GB2312" w:cs="仿宋_GB2312"/>
          <w:i w:val="0"/>
          <w:iCs w:val="0"/>
          <w:color w:val="000000" w:themeColor="text1"/>
          <w:sz w:val="32"/>
          <w:szCs w:val="32"/>
          <w:highlight w:val="none"/>
          <w:u w:val="none"/>
          <w14:textFill>
            <w14:solidFill>
              <w14:schemeClr w14:val="tx1"/>
            </w14:solidFill>
          </w14:textFill>
        </w:rPr>
        <w:t>年政府性基金预算</w:t>
      </w:r>
      <w:r>
        <w:rPr>
          <w:rFonts w:hint="eastAsia" w:ascii="仿宋_GB2312" w:hAnsi="仿宋_GB2312" w:eastAsia="仿宋_GB2312" w:cs="仿宋_GB2312"/>
          <w:i w:val="0"/>
          <w:iCs w:val="0"/>
          <w:color w:val="000000" w:themeColor="text1"/>
          <w:sz w:val="32"/>
          <w:szCs w:val="32"/>
          <w:highlight w:val="none"/>
          <w:u w:val="none"/>
          <w:lang w:eastAsia="zh-CN"/>
          <w14:textFill>
            <w14:solidFill>
              <w14:schemeClr w14:val="tx1"/>
            </w14:solidFill>
          </w14:textFill>
        </w:rPr>
        <w:t>财政</w:t>
      </w:r>
      <w:r>
        <w:rPr>
          <w:rFonts w:hint="eastAsia" w:ascii="仿宋_GB2312" w:hAnsi="仿宋_GB2312" w:eastAsia="仿宋_GB2312" w:cs="仿宋_GB2312"/>
          <w:i w:val="0"/>
          <w:iCs w:val="0"/>
          <w:color w:val="000000" w:themeColor="text1"/>
          <w:sz w:val="32"/>
          <w:szCs w:val="32"/>
          <w:highlight w:val="none"/>
          <w:u w:val="none"/>
          <w14:textFill>
            <w14:solidFill>
              <w14:schemeClr w14:val="tx1"/>
            </w14:solidFill>
          </w14:textFill>
        </w:rPr>
        <w:t>拨款支出</w:t>
      </w:r>
      <w:r>
        <w:rPr>
          <w:rFonts w:hint="eastAsia" w:ascii="仿宋_GB2312" w:hAnsi="仿宋_GB2312" w:eastAsia="仿宋_GB2312" w:cs="仿宋_GB2312"/>
          <w:i w:val="0"/>
          <w:iCs w:val="0"/>
          <w:color w:val="000000" w:themeColor="text1"/>
          <w:sz w:val="32"/>
          <w:szCs w:val="32"/>
          <w:highlight w:val="none"/>
          <w:u w:val="none"/>
          <w:lang w:val="en-US" w:eastAsia="zh-CN"/>
          <w14:textFill>
            <w14:solidFill>
              <w14:schemeClr w14:val="tx1"/>
            </w14:solidFill>
          </w14:textFill>
        </w:rPr>
        <w:t>0</w:t>
      </w:r>
      <w:r>
        <w:rPr>
          <w:rFonts w:hint="eastAsia" w:ascii="仿宋_GB2312" w:hAnsi="仿宋_GB2312" w:eastAsia="仿宋_GB2312" w:cs="仿宋_GB2312"/>
          <w:i w:val="0"/>
          <w:iCs w:val="0"/>
          <w:color w:val="000000" w:themeColor="text1"/>
          <w:sz w:val="32"/>
          <w:szCs w:val="32"/>
          <w:highlight w:val="none"/>
          <w:u w:val="none"/>
          <w14:textFill>
            <w14:solidFill>
              <w14:schemeClr w14:val="tx1"/>
            </w14:solidFill>
          </w14:textFill>
        </w:rPr>
        <w:t>万元。</w:t>
      </w:r>
    </w:p>
    <w:p>
      <w:pPr>
        <w:keepNext w:val="0"/>
        <w:keepLines w:val="0"/>
        <w:pageBreakBefore w:val="0"/>
        <w:numPr>
          <w:ilvl w:val="0"/>
          <w:numId w:val="0"/>
        </w:numPr>
        <w:kinsoku/>
        <w:wordWrap/>
        <w:overflowPunct/>
        <w:topLinePunct w:val="0"/>
        <w:bidi w:val="0"/>
        <w:snapToGrid/>
        <w:spacing w:line="240" w:lineRule="auto"/>
        <w:ind w:firstLine="640" w:firstLineChars="200"/>
        <w:jc w:val="both"/>
        <w:textAlignment w:val="auto"/>
        <w:outlineLvl w:val="1"/>
        <w:rPr>
          <w:rStyle w:val="27"/>
          <w:rFonts w:hint="eastAsia" w:ascii="黑体" w:hAnsi="黑体" w:eastAsia="黑体" w:cs="黑体"/>
          <w:b w:val="0"/>
          <w:i w:val="0"/>
          <w:iCs w:val="0"/>
          <w:color w:val="000000" w:themeColor="text1"/>
          <w:sz w:val="32"/>
          <w:szCs w:val="32"/>
          <w:highlight w:val="none"/>
          <w:u w:val="none"/>
          <w14:textFill>
            <w14:solidFill>
              <w14:schemeClr w14:val="tx1"/>
            </w14:solidFill>
          </w14:textFill>
        </w:rPr>
      </w:pPr>
      <w:bookmarkStart w:id="52" w:name="_Toc15377219"/>
      <w:bookmarkStart w:id="53" w:name="_Toc15396611"/>
      <w:r>
        <w:rPr>
          <w:rStyle w:val="27"/>
          <w:rFonts w:hint="eastAsia" w:ascii="黑体" w:hAnsi="黑体" w:eastAsia="黑体" w:cs="黑体"/>
          <w:b w:val="0"/>
          <w:i w:val="0"/>
          <w:iCs w:val="0"/>
          <w:color w:val="000000" w:themeColor="text1"/>
          <w:sz w:val="32"/>
          <w:szCs w:val="32"/>
          <w:highlight w:val="none"/>
          <w:u w:val="none"/>
          <w:lang w:eastAsia="zh-CN"/>
          <w14:textFill>
            <w14:solidFill>
              <w14:schemeClr w14:val="tx1"/>
            </w14:solidFill>
          </w14:textFill>
        </w:rPr>
        <w:t>九、</w:t>
      </w:r>
      <w:r>
        <w:rPr>
          <w:rStyle w:val="27"/>
          <w:rFonts w:hint="eastAsia" w:ascii="黑体" w:hAnsi="黑体" w:eastAsia="黑体" w:cs="黑体"/>
          <w:b w:val="0"/>
          <w:i w:val="0"/>
          <w:iCs w:val="0"/>
          <w:color w:val="000000" w:themeColor="text1"/>
          <w:sz w:val="32"/>
          <w:szCs w:val="32"/>
          <w:highlight w:val="none"/>
          <w:u w:val="none"/>
          <w14:textFill>
            <w14:solidFill>
              <w14:schemeClr w14:val="tx1"/>
            </w14:solidFill>
          </w14:textFill>
        </w:rPr>
        <w:t>国有资本经营预算支出决算情况说明</w:t>
      </w:r>
      <w:bookmarkEnd w:id="52"/>
      <w:bookmarkEnd w:id="53"/>
    </w:p>
    <w:p>
      <w:pPr>
        <w:keepNext w:val="0"/>
        <w:keepLines w:val="0"/>
        <w:pageBreakBefore w:val="0"/>
        <w:kinsoku/>
        <w:wordWrap/>
        <w:overflowPunct/>
        <w:topLinePunct w:val="0"/>
        <w:bidi w:val="0"/>
        <w:snapToGrid/>
        <w:spacing w:line="600" w:lineRule="exact"/>
        <w:ind w:firstLine="640"/>
        <w:jc w:val="both"/>
        <w:textAlignment w:val="auto"/>
        <w:rPr>
          <w:rFonts w:hint="eastAsia" w:ascii="仿宋_GB2312" w:hAnsi="仿宋_GB2312" w:eastAsia="仿宋_GB2312" w:cs="仿宋_GB2312"/>
          <w:i w:val="0"/>
          <w:iCs w:val="0"/>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i w:val="0"/>
          <w:iCs w:val="0"/>
          <w:color w:val="000000" w:themeColor="text1"/>
          <w:sz w:val="32"/>
          <w:szCs w:val="32"/>
          <w:highlight w:val="none"/>
          <w:u w:val="none"/>
          <w14:textFill>
            <w14:solidFill>
              <w14:schemeClr w14:val="tx1"/>
            </w14:solidFill>
          </w14:textFill>
        </w:rPr>
        <w:t>20</w:t>
      </w:r>
      <w:r>
        <w:rPr>
          <w:rFonts w:hint="eastAsia" w:ascii="仿宋_GB2312" w:hAnsi="仿宋_GB2312" w:eastAsia="仿宋_GB2312" w:cs="仿宋_GB2312"/>
          <w:i w:val="0"/>
          <w:iCs w:val="0"/>
          <w:color w:val="000000" w:themeColor="text1"/>
          <w:sz w:val="32"/>
          <w:szCs w:val="32"/>
          <w:highlight w:val="none"/>
          <w:u w:val="none"/>
          <w:lang w:val="en-US" w:eastAsia="zh-CN"/>
          <w14:textFill>
            <w14:solidFill>
              <w14:schemeClr w14:val="tx1"/>
            </w14:solidFill>
          </w14:textFill>
        </w:rPr>
        <w:t>21</w:t>
      </w:r>
      <w:r>
        <w:rPr>
          <w:rFonts w:hint="eastAsia" w:ascii="仿宋_GB2312" w:hAnsi="仿宋_GB2312" w:eastAsia="仿宋_GB2312" w:cs="仿宋_GB2312"/>
          <w:i w:val="0"/>
          <w:iCs w:val="0"/>
          <w:color w:val="000000" w:themeColor="text1"/>
          <w:sz w:val="32"/>
          <w:szCs w:val="32"/>
          <w:highlight w:val="none"/>
          <w:u w:val="none"/>
          <w14:textFill>
            <w14:solidFill>
              <w14:schemeClr w14:val="tx1"/>
            </w14:solidFill>
          </w14:textFill>
        </w:rPr>
        <w:t>年国有资本经营预算</w:t>
      </w:r>
      <w:r>
        <w:rPr>
          <w:rFonts w:hint="eastAsia" w:ascii="仿宋_GB2312" w:hAnsi="仿宋_GB2312" w:eastAsia="仿宋_GB2312" w:cs="仿宋_GB2312"/>
          <w:i w:val="0"/>
          <w:iCs w:val="0"/>
          <w:color w:val="000000" w:themeColor="text1"/>
          <w:sz w:val="32"/>
          <w:szCs w:val="32"/>
          <w:highlight w:val="none"/>
          <w:u w:val="none"/>
          <w:lang w:eastAsia="zh-CN"/>
          <w14:textFill>
            <w14:solidFill>
              <w14:schemeClr w14:val="tx1"/>
            </w14:solidFill>
          </w14:textFill>
        </w:rPr>
        <w:t>财政</w:t>
      </w:r>
      <w:r>
        <w:rPr>
          <w:rFonts w:hint="eastAsia" w:ascii="仿宋_GB2312" w:hAnsi="仿宋_GB2312" w:eastAsia="仿宋_GB2312" w:cs="仿宋_GB2312"/>
          <w:i w:val="0"/>
          <w:iCs w:val="0"/>
          <w:color w:val="000000" w:themeColor="text1"/>
          <w:sz w:val="32"/>
          <w:szCs w:val="32"/>
          <w:highlight w:val="none"/>
          <w:u w:val="none"/>
          <w14:textFill>
            <w14:solidFill>
              <w14:schemeClr w14:val="tx1"/>
            </w14:solidFill>
          </w14:textFill>
        </w:rPr>
        <w:t>拨款支出</w:t>
      </w:r>
      <w:r>
        <w:rPr>
          <w:rFonts w:hint="eastAsia" w:ascii="仿宋_GB2312" w:hAnsi="仿宋_GB2312" w:eastAsia="仿宋_GB2312" w:cs="仿宋_GB2312"/>
          <w:i w:val="0"/>
          <w:iCs w:val="0"/>
          <w:color w:val="000000" w:themeColor="text1"/>
          <w:sz w:val="32"/>
          <w:szCs w:val="32"/>
          <w:highlight w:val="none"/>
          <w:u w:val="none"/>
          <w:lang w:val="en-US" w:eastAsia="zh-CN"/>
          <w14:textFill>
            <w14:solidFill>
              <w14:schemeClr w14:val="tx1"/>
            </w14:solidFill>
          </w14:textFill>
        </w:rPr>
        <w:t>0</w:t>
      </w:r>
      <w:r>
        <w:rPr>
          <w:rFonts w:hint="eastAsia" w:ascii="仿宋_GB2312" w:hAnsi="仿宋_GB2312" w:eastAsia="仿宋_GB2312" w:cs="仿宋_GB2312"/>
          <w:i w:val="0"/>
          <w:iCs w:val="0"/>
          <w:color w:val="000000" w:themeColor="text1"/>
          <w:sz w:val="32"/>
          <w:szCs w:val="32"/>
          <w:highlight w:val="none"/>
          <w:u w:val="none"/>
          <w14:textFill>
            <w14:solidFill>
              <w14:schemeClr w14:val="tx1"/>
            </w14:solidFill>
          </w14:textFill>
        </w:rPr>
        <w:t>万元。</w:t>
      </w:r>
    </w:p>
    <w:p>
      <w:pPr>
        <w:keepNext w:val="0"/>
        <w:keepLines w:val="0"/>
        <w:pageBreakBefore w:val="0"/>
        <w:numPr>
          <w:ilvl w:val="0"/>
          <w:numId w:val="0"/>
        </w:numPr>
        <w:kinsoku/>
        <w:wordWrap/>
        <w:overflowPunct/>
        <w:topLinePunct w:val="0"/>
        <w:bidi w:val="0"/>
        <w:snapToGrid/>
        <w:spacing w:line="240" w:lineRule="auto"/>
        <w:ind w:firstLine="640" w:firstLineChars="200"/>
        <w:jc w:val="both"/>
        <w:textAlignment w:val="auto"/>
        <w:outlineLvl w:val="1"/>
        <w:rPr>
          <w:rStyle w:val="27"/>
          <w:rFonts w:hint="eastAsia" w:ascii="黑体" w:hAnsi="黑体" w:eastAsia="黑体" w:cs="黑体"/>
          <w:b w:val="0"/>
          <w:i w:val="0"/>
          <w:iCs w:val="0"/>
          <w:color w:val="000000" w:themeColor="text1"/>
          <w:sz w:val="32"/>
          <w:szCs w:val="32"/>
          <w:highlight w:val="none"/>
          <w:u w:val="none"/>
          <w:lang w:eastAsia="zh-CN"/>
          <w14:textFill>
            <w14:solidFill>
              <w14:schemeClr w14:val="tx1"/>
            </w14:solidFill>
          </w14:textFill>
        </w:rPr>
      </w:pPr>
      <w:bookmarkStart w:id="54" w:name="_Toc15377221"/>
      <w:bookmarkStart w:id="55" w:name="_Toc15396612"/>
      <w:r>
        <w:rPr>
          <w:rStyle w:val="27"/>
          <w:rFonts w:hint="eastAsia" w:ascii="黑体" w:hAnsi="黑体" w:eastAsia="黑体" w:cs="黑体"/>
          <w:b w:val="0"/>
          <w:i w:val="0"/>
          <w:iCs w:val="0"/>
          <w:color w:val="000000" w:themeColor="text1"/>
          <w:sz w:val="32"/>
          <w:szCs w:val="32"/>
          <w:highlight w:val="none"/>
          <w:u w:val="none"/>
          <w:lang w:eastAsia="zh-CN"/>
          <w14:textFill>
            <w14:solidFill>
              <w14:schemeClr w14:val="tx1"/>
            </w14:solidFill>
          </w14:textFill>
        </w:rPr>
        <w:t>十、其他重要事项的情况说明</w:t>
      </w:r>
      <w:bookmarkEnd w:id="54"/>
      <w:bookmarkEnd w:id="55"/>
    </w:p>
    <w:p>
      <w:pPr>
        <w:keepNext w:val="0"/>
        <w:keepLines w:val="0"/>
        <w:pageBreakBefore w:val="0"/>
        <w:kinsoku/>
        <w:wordWrap/>
        <w:overflowPunct/>
        <w:topLinePunct w:val="0"/>
        <w:bidi w:val="0"/>
        <w:snapToGrid/>
        <w:spacing w:line="600" w:lineRule="exact"/>
        <w:ind w:firstLine="643" w:firstLineChars="200"/>
        <w:jc w:val="both"/>
        <w:textAlignment w:val="auto"/>
        <w:outlineLvl w:val="2"/>
        <w:rPr>
          <w:rFonts w:hint="eastAsia" w:ascii="楷体_GB2312" w:hAnsi="楷体_GB2312" w:eastAsia="楷体_GB2312" w:cs="楷体_GB2312"/>
          <w:i w:val="0"/>
          <w:iCs w:val="0"/>
          <w:color w:val="000000" w:themeColor="text1"/>
          <w:sz w:val="32"/>
          <w:szCs w:val="32"/>
          <w:highlight w:val="none"/>
          <w:u w:val="none"/>
          <w14:textFill>
            <w14:solidFill>
              <w14:schemeClr w14:val="tx1"/>
            </w14:solidFill>
          </w14:textFill>
        </w:rPr>
      </w:pPr>
      <w:bookmarkStart w:id="56" w:name="_Toc15377222"/>
      <w:r>
        <w:rPr>
          <w:rFonts w:hint="eastAsia" w:ascii="楷体_GB2312" w:hAnsi="楷体_GB2312" w:eastAsia="楷体_GB2312" w:cs="楷体_GB2312"/>
          <w:b/>
          <w:i w:val="0"/>
          <w:iCs w:val="0"/>
          <w:color w:val="000000" w:themeColor="text1"/>
          <w:sz w:val="32"/>
          <w:szCs w:val="32"/>
          <w:highlight w:val="none"/>
          <w:u w:val="none"/>
          <w14:textFill>
            <w14:solidFill>
              <w14:schemeClr w14:val="tx1"/>
            </w14:solidFill>
          </w14:textFill>
        </w:rPr>
        <w:t>（一）机关运行经费支出情况</w:t>
      </w:r>
      <w:bookmarkEnd w:id="56"/>
    </w:p>
    <w:p>
      <w:pPr>
        <w:pStyle w:val="32"/>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s="仿宋_GB2312"/>
          <w:i w:val="0"/>
          <w:iCs w:val="0"/>
          <w:color w:val="000000" w:themeColor="text1"/>
          <w:sz w:val="32"/>
          <w:szCs w:val="32"/>
          <w:u w:val="none"/>
          <w14:textFill>
            <w14:solidFill>
              <w14:schemeClr w14:val="tx1"/>
            </w14:solidFill>
          </w14:textFill>
        </w:rPr>
      </w:pPr>
      <w:r>
        <w:rPr>
          <w:rFonts w:hint="eastAsia" w:ascii="仿宋_GB2312" w:hAnsi="仿宋_GB2312" w:eastAsia="仿宋_GB2312" w:cs="仿宋_GB2312"/>
          <w:i w:val="0"/>
          <w:iCs w:val="0"/>
          <w:color w:val="000000" w:themeColor="text1"/>
          <w:sz w:val="32"/>
          <w:szCs w:val="32"/>
          <w:highlight w:val="none"/>
          <w:u w:val="none"/>
          <w14:textFill>
            <w14:solidFill>
              <w14:schemeClr w14:val="tx1"/>
            </w14:solidFill>
          </w14:textFill>
        </w:rPr>
        <w:t>20</w:t>
      </w:r>
      <w:r>
        <w:rPr>
          <w:rFonts w:hint="eastAsia" w:ascii="仿宋_GB2312" w:hAnsi="仿宋_GB2312" w:eastAsia="仿宋_GB2312" w:cs="仿宋_GB2312"/>
          <w:i w:val="0"/>
          <w:iCs w:val="0"/>
          <w:color w:val="000000" w:themeColor="text1"/>
          <w:sz w:val="32"/>
          <w:szCs w:val="32"/>
          <w:highlight w:val="none"/>
          <w:u w:val="none"/>
          <w:lang w:val="en-US" w:eastAsia="zh-CN"/>
          <w14:textFill>
            <w14:solidFill>
              <w14:schemeClr w14:val="tx1"/>
            </w14:solidFill>
          </w14:textFill>
        </w:rPr>
        <w:t>21</w:t>
      </w:r>
      <w:r>
        <w:rPr>
          <w:rFonts w:hint="eastAsia" w:ascii="仿宋_GB2312" w:hAnsi="仿宋_GB2312" w:eastAsia="仿宋_GB2312" w:cs="仿宋_GB2312"/>
          <w:i w:val="0"/>
          <w:iCs w:val="0"/>
          <w:color w:val="000000" w:themeColor="text1"/>
          <w:sz w:val="32"/>
          <w:szCs w:val="32"/>
          <w:highlight w:val="none"/>
          <w:u w:val="none"/>
          <w14:textFill>
            <w14:solidFill>
              <w14:schemeClr w14:val="tx1"/>
            </w14:solidFill>
          </w14:textFill>
        </w:rPr>
        <w:t>年，</w:t>
      </w:r>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司法厅</w:t>
      </w:r>
      <w:r>
        <w:rPr>
          <w:rFonts w:hint="eastAsia" w:ascii="仿宋_GB2312" w:hAnsi="仿宋_GB2312" w:eastAsia="仿宋_GB2312" w:cs="仿宋_GB2312"/>
          <w:i w:val="0"/>
          <w:iCs w:val="0"/>
          <w:color w:val="000000" w:themeColor="text1"/>
          <w:sz w:val="32"/>
          <w:szCs w:val="32"/>
          <w:highlight w:val="none"/>
          <w:u w:val="none"/>
          <w14:textFill>
            <w14:solidFill>
              <w14:schemeClr w14:val="tx1"/>
            </w14:solidFill>
          </w14:textFill>
        </w:rPr>
        <w:t>机关运行经费支出</w:t>
      </w:r>
      <w:r>
        <w:rPr>
          <w:rFonts w:hint="eastAsia" w:ascii="仿宋_GB2312" w:hAnsi="仿宋_GB2312" w:eastAsia="仿宋_GB2312" w:cs="仿宋_GB2312"/>
          <w:i w:val="0"/>
          <w:iCs w:val="0"/>
          <w:color w:val="000000" w:themeColor="text1"/>
          <w:sz w:val="32"/>
          <w:szCs w:val="32"/>
          <w:highlight w:val="none"/>
          <w:u w:val="none"/>
          <w:lang w:val="en-US" w:eastAsia="zh-CN"/>
          <w14:textFill>
            <w14:solidFill>
              <w14:schemeClr w14:val="tx1"/>
            </w14:solidFill>
          </w14:textFill>
        </w:rPr>
        <w:t>2196.57</w:t>
      </w:r>
      <w:r>
        <w:rPr>
          <w:rFonts w:hint="eastAsia" w:ascii="仿宋_GB2312" w:hAnsi="仿宋_GB2312" w:eastAsia="仿宋_GB2312" w:cs="仿宋_GB2312"/>
          <w:i w:val="0"/>
          <w:iCs w:val="0"/>
          <w:color w:val="000000" w:themeColor="text1"/>
          <w:sz w:val="32"/>
          <w:szCs w:val="32"/>
          <w:highlight w:val="none"/>
          <w:u w:val="none"/>
          <w14:textFill>
            <w14:solidFill>
              <w14:schemeClr w14:val="tx1"/>
            </w14:solidFill>
          </w14:textFill>
        </w:rPr>
        <w:t>万元，比20</w:t>
      </w:r>
      <w:r>
        <w:rPr>
          <w:rFonts w:hint="eastAsia" w:ascii="仿宋_GB2312" w:hAnsi="仿宋_GB2312" w:eastAsia="仿宋_GB2312" w:cs="仿宋_GB2312"/>
          <w:i w:val="0"/>
          <w:iCs w:val="0"/>
          <w:color w:val="000000" w:themeColor="text1"/>
          <w:sz w:val="32"/>
          <w:szCs w:val="32"/>
          <w:highlight w:val="none"/>
          <w:u w:val="none"/>
          <w:lang w:val="en-US" w:eastAsia="zh-CN"/>
          <w14:textFill>
            <w14:solidFill>
              <w14:schemeClr w14:val="tx1"/>
            </w14:solidFill>
          </w14:textFill>
        </w:rPr>
        <w:t>20</w:t>
      </w:r>
      <w:r>
        <w:rPr>
          <w:rFonts w:hint="eastAsia" w:ascii="仿宋_GB2312" w:hAnsi="仿宋_GB2312" w:eastAsia="仿宋_GB2312" w:cs="仿宋_GB2312"/>
          <w:i w:val="0"/>
          <w:iCs w:val="0"/>
          <w:color w:val="000000" w:themeColor="text1"/>
          <w:sz w:val="32"/>
          <w:szCs w:val="32"/>
          <w:highlight w:val="none"/>
          <w:u w:val="none"/>
          <w14:textFill>
            <w14:solidFill>
              <w14:schemeClr w14:val="tx1"/>
            </w14:solidFill>
          </w14:textFill>
        </w:rPr>
        <w:t>年</w:t>
      </w:r>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2418.55</w:t>
      </w:r>
      <w:r>
        <w:rPr>
          <w:rFonts w:hint="eastAsia" w:ascii="仿宋_GB2312" w:hAnsi="仿宋_GB2312" w:eastAsia="仿宋_GB2312" w:cs="仿宋_GB2312"/>
          <w:i w:val="0"/>
          <w:iCs w:val="0"/>
          <w:color w:val="000000" w:themeColor="text1"/>
          <w:sz w:val="32"/>
          <w:szCs w:val="32"/>
          <w:highlight w:val="none"/>
          <w:u w:val="none"/>
          <w14:textFill>
            <w14:solidFill>
              <w14:schemeClr w14:val="tx1"/>
            </w14:solidFill>
          </w14:textFill>
        </w:rPr>
        <w:t>万元减少</w:t>
      </w:r>
      <w:r>
        <w:rPr>
          <w:rFonts w:hint="eastAsia" w:ascii="仿宋_GB2312" w:hAnsi="仿宋_GB2312" w:eastAsia="仿宋_GB2312" w:cs="仿宋_GB2312"/>
          <w:i w:val="0"/>
          <w:iCs w:val="0"/>
          <w:color w:val="000000" w:themeColor="text1"/>
          <w:sz w:val="32"/>
          <w:szCs w:val="32"/>
          <w:highlight w:val="none"/>
          <w:u w:val="none"/>
          <w:lang w:val="en-US" w:eastAsia="zh-CN"/>
          <w14:textFill>
            <w14:solidFill>
              <w14:schemeClr w14:val="tx1"/>
            </w14:solidFill>
          </w14:textFill>
        </w:rPr>
        <w:t>221.98</w:t>
      </w:r>
      <w:r>
        <w:rPr>
          <w:rFonts w:hint="eastAsia" w:ascii="仿宋_GB2312" w:hAnsi="仿宋_GB2312" w:eastAsia="仿宋_GB2312" w:cs="仿宋_GB2312"/>
          <w:i w:val="0"/>
          <w:iCs w:val="0"/>
          <w:color w:val="000000" w:themeColor="text1"/>
          <w:sz w:val="32"/>
          <w:szCs w:val="32"/>
          <w:highlight w:val="none"/>
          <w:u w:val="none"/>
          <w14:textFill>
            <w14:solidFill>
              <w14:schemeClr w14:val="tx1"/>
            </w14:solidFill>
          </w14:textFill>
        </w:rPr>
        <w:t>万元，下降</w:t>
      </w:r>
      <w:r>
        <w:rPr>
          <w:rFonts w:hint="eastAsia" w:ascii="仿宋_GB2312" w:hAnsi="仿宋_GB2312" w:eastAsia="仿宋_GB2312" w:cs="仿宋_GB2312"/>
          <w:i w:val="0"/>
          <w:iCs w:val="0"/>
          <w:color w:val="000000" w:themeColor="text1"/>
          <w:sz w:val="32"/>
          <w:szCs w:val="32"/>
          <w:highlight w:val="none"/>
          <w:u w:val="none"/>
          <w:lang w:val="en-US" w:eastAsia="zh-CN"/>
          <w14:textFill>
            <w14:solidFill>
              <w14:schemeClr w14:val="tx1"/>
            </w14:solidFill>
          </w14:textFill>
        </w:rPr>
        <w:t>9.18</w:t>
      </w:r>
      <w:r>
        <w:rPr>
          <w:rFonts w:hint="eastAsia" w:ascii="仿宋_GB2312" w:hAnsi="仿宋_GB2312" w:eastAsia="仿宋_GB2312" w:cs="仿宋_GB2312"/>
          <w:i w:val="0"/>
          <w:iCs w:val="0"/>
          <w:color w:val="000000" w:themeColor="text1"/>
          <w:sz w:val="32"/>
          <w:szCs w:val="32"/>
          <w:highlight w:val="none"/>
          <w:u w:val="none"/>
          <w14:textFill>
            <w14:solidFill>
              <w14:schemeClr w14:val="tx1"/>
            </w14:solidFill>
          </w14:textFill>
        </w:rPr>
        <w:t>%。主要原因是</w:t>
      </w:r>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严格支出管理，将省委省政府过紧日子精神落到实处。</w:t>
      </w:r>
    </w:p>
    <w:p>
      <w:pPr>
        <w:keepNext w:val="0"/>
        <w:keepLines w:val="0"/>
        <w:pageBreakBefore w:val="0"/>
        <w:kinsoku/>
        <w:wordWrap/>
        <w:overflowPunct/>
        <w:topLinePunct w:val="0"/>
        <w:bidi w:val="0"/>
        <w:snapToGrid/>
        <w:spacing w:line="600" w:lineRule="exact"/>
        <w:ind w:firstLine="643" w:firstLineChars="200"/>
        <w:jc w:val="both"/>
        <w:textAlignment w:val="auto"/>
        <w:outlineLvl w:val="2"/>
        <w:rPr>
          <w:rFonts w:hint="eastAsia" w:ascii="楷体_GB2312" w:hAnsi="楷体_GB2312" w:eastAsia="楷体_GB2312" w:cs="楷体_GB2312"/>
          <w:b/>
          <w:i w:val="0"/>
          <w:iCs w:val="0"/>
          <w:color w:val="000000" w:themeColor="text1"/>
          <w:sz w:val="32"/>
          <w:szCs w:val="32"/>
          <w:highlight w:val="none"/>
          <w:u w:val="none"/>
          <w14:textFill>
            <w14:solidFill>
              <w14:schemeClr w14:val="tx1"/>
            </w14:solidFill>
          </w14:textFill>
        </w:rPr>
      </w:pPr>
      <w:bookmarkStart w:id="57" w:name="_Toc15377223"/>
      <w:r>
        <w:rPr>
          <w:rFonts w:hint="eastAsia" w:ascii="楷体_GB2312" w:hAnsi="楷体_GB2312" w:eastAsia="楷体_GB2312" w:cs="楷体_GB2312"/>
          <w:b/>
          <w:i w:val="0"/>
          <w:iCs w:val="0"/>
          <w:color w:val="000000" w:themeColor="text1"/>
          <w:sz w:val="32"/>
          <w:szCs w:val="32"/>
          <w:highlight w:val="none"/>
          <w:u w:val="none"/>
          <w14:textFill>
            <w14:solidFill>
              <w14:schemeClr w14:val="tx1"/>
            </w14:solidFill>
          </w14:textFill>
        </w:rPr>
        <w:t>（二）政府采购支出情况</w:t>
      </w:r>
      <w:bookmarkEnd w:id="57"/>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s="仿宋_GB2312"/>
          <w:i w:val="0"/>
          <w:iCs w:val="0"/>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i w:val="0"/>
          <w:iCs w:val="0"/>
          <w:color w:val="000000" w:themeColor="text1"/>
          <w:sz w:val="32"/>
          <w:szCs w:val="32"/>
          <w:highlight w:val="none"/>
          <w:u w:val="none"/>
          <w14:textFill>
            <w14:solidFill>
              <w14:schemeClr w14:val="tx1"/>
            </w14:solidFill>
          </w14:textFill>
        </w:rPr>
        <w:t>20</w:t>
      </w:r>
      <w:r>
        <w:rPr>
          <w:rFonts w:hint="eastAsia" w:ascii="仿宋_GB2312" w:hAnsi="仿宋_GB2312" w:eastAsia="仿宋_GB2312" w:cs="仿宋_GB2312"/>
          <w:i w:val="0"/>
          <w:iCs w:val="0"/>
          <w:color w:val="000000" w:themeColor="text1"/>
          <w:sz w:val="32"/>
          <w:szCs w:val="32"/>
          <w:highlight w:val="none"/>
          <w:u w:val="none"/>
          <w:lang w:val="en-US" w:eastAsia="zh-CN"/>
          <w14:textFill>
            <w14:solidFill>
              <w14:schemeClr w14:val="tx1"/>
            </w14:solidFill>
          </w14:textFill>
        </w:rPr>
        <w:t>21</w:t>
      </w:r>
      <w:r>
        <w:rPr>
          <w:rFonts w:hint="eastAsia" w:ascii="仿宋_GB2312" w:hAnsi="仿宋_GB2312" w:eastAsia="仿宋_GB2312" w:cs="仿宋_GB2312"/>
          <w:i w:val="0"/>
          <w:iCs w:val="0"/>
          <w:color w:val="000000" w:themeColor="text1"/>
          <w:sz w:val="32"/>
          <w:szCs w:val="32"/>
          <w:highlight w:val="none"/>
          <w:u w:val="none"/>
          <w14:textFill>
            <w14:solidFill>
              <w14:schemeClr w14:val="tx1"/>
            </w14:solidFill>
          </w14:textFill>
        </w:rPr>
        <w:t>年，</w:t>
      </w:r>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司法厅</w:t>
      </w:r>
      <w:r>
        <w:rPr>
          <w:rFonts w:hint="eastAsia" w:ascii="仿宋_GB2312" w:hAnsi="仿宋_GB2312" w:eastAsia="仿宋_GB2312" w:cs="仿宋_GB2312"/>
          <w:i w:val="0"/>
          <w:iCs w:val="0"/>
          <w:color w:val="000000" w:themeColor="text1"/>
          <w:sz w:val="32"/>
          <w:szCs w:val="32"/>
          <w:highlight w:val="none"/>
          <w:u w:val="none"/>
          <w14:textFill>
            <w14:solidFill>
              <w14:schemeClr w14:val="tx1"/>
            </w14:solidFill>
          </w14:textFill>
        </w:rPr>
        <w:t>政府采购支出总额</w:t>
      </w:r>
      <w:r>
        <w:rPr>
          <w:rFonts w:hint="eastAsia" w:ascii="仿宋_GB2312" w:hAnsi="仿宋_GB2312" w:eastAsia="仿宋_GB2312" w:cs="仿宋_GB2312"/>
          <w:i w:val="0"/>
          <w:iCs w:val="0"/>
          <w:color w:val="000000" w:themeColor="text1"/>
          <w:sz w:val="32"/>
          <w:szCs w:val="32"/>
          <w:highlight w:val="none"/>
          <w:u w:val="none"/>
          <w:lang w:val="en-US" w:eastAsia="zh-CN"/>
          <w14:textFill>
            <w14:solidFill>
              <w14:schemeClr w14:val="tx1"/>
            </w14:solidFill>
          </w14:textFill>
        </w:rPr>
        <w:t>3922.74</w:t>
      </w:r>
      <w:r>
        <w:rPr>
          <w:rFonts w:hint="eastAsia" w:ascii="仿宋_GB2312" w:hAnsi="仿宋_GB2312" w:eastAsia="仿宋_GB2312" w:cs="仿宋_GB2312"/>
          <w:i w:val="0"/>
          <w:iCs w:val="0"/>
          <w:color w:val="000000" w:themeColor="text1"/>
          <w:sz w:val="32"/>
          <w:szCs w:val="32"/>
          <w:highlight w:val="none"/>
          <w:u w:val="none"/>
          <w14:textFill>
            <w14:solidFill>
              <w14:schemeClr w14:val="tx1"/>
            </w14:solidFill>
          </w14:textFill>
        </w:rPr>
        <w:t>万元，其中：政府采购货物支出</w:t>
      </w:r>
      <w:r>
        <w:rPr>
          <w:rFonts w:hint="eastAsia" w:ascii="仿宋_GB2312" w:hAnsi="仿宋_GB2312" w:eastAsia="仿宋_GB2312" w:cs="仿宋_GB2312"/>
          <w:i w:val="0"/>
          <w:iCs w:val="0"/>
          <w:color w:val="000000" w:themeColor="text1"/>
          <w:sz w:val="32"/>
          <w:szCs w:val="32"/>
          <w:highlight w:val="none"/>
          <w:u w:val="none"/>
          <w:lang w:val="en-US" w:eastAsia="zh-CN"/>
          <w14:textFill>
            <w14:solidFill>
              <w14:schemeClr w14:val="tx1"/>
            </w14:solidFill>
          </w14:textFill>
        </w:rPr>
        <w:t>462.73</w:t>
      </w:r>
      <w:r>
        <w:rPr>
          <w:rFonts w:hint="eastAsia" w:ascii="仿宋_GB2312" w:hAnsi="仿宋_GB2312" w:eastAsia="仿宋_GB2312" w:cs="仿宋_GB2312"/>
          <w:i w:val="0"/>
          <w:iCs w:val="0"/>
          <w:color w:val="000000" w:themeColor="text1"/>
          <w:sz w:val="32"/>
          <w:szCs w:val="32"/>
          <w:highlight w:val="none"/>
          <w:u w:val="none"/>
          <w14:textFill>
            <w14:solidFill>
              <w14:schemeClr w14:val="tx1"/>
            </w14:solidFill>
          </w14:textFill>
        </w:rPr>
        <w:t>万元、政府采购工程支出</w:t>
      </w:r>
      <w:r>
        <w:rPr>
          <w:rFonts w:hint="eastAsia" w:ascii="仿宋_GB2312" w:hAnsi="仿宋_GB2312" w:eastAsia="仿宋_GB2312" w:cs="仿宋_GB2312"/>
          <w:i w:val="0"/>
          <w:iCs w:val="0"/>
          <w:color w:val="000000" w:themeColor="text1"/>
          <w:sz w:val="32"/>
          <w:szCs w:val="32"/>
          <w:highlight w:val="none"/>
          <w:u w:val="none"/>
          <w:lang w:val="en-US" w:eastAsia="zh-CN"/>
          <w14:textFill>
            <w14:solidFill>
              <w14:schemeClr w14:val="tx1"/>
            </w14:solidFill>
          </w14:textFill>
        </w:rPr>
        <w:t>0</w:t>
      </w:r>
      <w:r>
        <w:rPr>
          <w:rFonts w:hint="eastAsia" w:ascii="仿宋_GB2312" w:hAnsi="仿宋_GB2312" w:eastAsia="仿宋_GB2312" w:cs="仿宋_GB2312"/>
          <w:i w:val="0"/>
          <w:iCs w:val="0"/>
          <w:color w:val="000000" w:themeColor="text1"/>
          <w:sz w:val="32"/>
          <w:szCs w:val="32"/>
          <w:highlight w:val="none"/>
          <w:u w:val="none"/>
          <w14:textFill>
            <w14:solidFill>
              <w14:schemeClr w14:val="tx1"/>
            </w14:solidFill>
          </w14:textFill>
        </w:rPr>
        <w:t>万元、政府采购服务支出</w:t>
      </w:r>
      <w:r>
        <w:rPr>
          <w:rFonts w:hint="eastAsia" w:ascii="仿宋_GB2312" w:hAnsi="仿宋_GB2312" w:eastAsia="仿宋_GB2312" w:cs="仿宋_GB2312"/>
          <w:i w:val="0"/>
          <w:iCs w:val="0"/>
          <w:color w:val="000000" w:themeColor="text1"/>
          <w:sz w:val="32"/>
          <w:szCs w:val="32"/>
          <w:highlight w:val="none"/>
          <w:u w:val="none"/>
          <w:lang w:val="en-US" w:eastAsia="zh-CN"/>
          <w14:textFill>
            <w14:solidFill>
              <w14:schemeClr w14:val="tx1"/>
            </w14:solidFill>
          </w14:textFill>
        </w:rPr>
        <w:t>3460.01</w:t>
      </w:r>
      <w:r>
        <w:rPr>
          <w:rFonts w:hint="eastAsia" w:ascii="仿宋_GB2312" w:hAnsi="仿宋_GB2312" w:eastAsia="仿宋_GB2312" w:cs="仿宋_GB2312"/>
          <w:i w:val="0"/>
          <w:iCs w:val="0"/>
          <w:color w:val="000000" w:themeColor="text1"/>
          <w:sz w:val="32"/>
          <w:szCs w:val="32"/>
          <w:highlight w:val="none"/>
          <w:u w:val="none"/>
          <w14:textFill>
            <w14:solidFill>
              <w14:schemeClr w14:val="tx1"/>
            </w14:solidFill>
          </w14:textFill>
        </w:rPr>
        <w:t>万元。主要用于</w:t>
      </w:r>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主要用于信息化建设及政府购买服务。</w:t>
      </w:r>
      <w:r>
        <w:rPr>
          <w:rFonts w:hint="eastAsia" w:ascii="仿宋_GB2312" w:hAnsi="仿宋_GB2312" w:eastAsia="仿宋_GB2312" w:cs="仿宋_GB2312"/>
          <w:i w:val="0"/>
          <w:iCs w:val="0"/>
          <w:color w:val="000000" w:themeColor="text1"/>
          <w:sz w:val="32"/>
          <w:szCs w:val="32"/>
          <w:highlight w:val="none"/>
          <w:u w:val="none"/>
          <w14:textFill>
            <w14:solidFill>
              <w14:schemeClr w14:val="tx1"/>
            </w14:solidFill>
          </w14:textFill>
        </w:rPr>
        <w:t>授予中小企业合同金额</w:t>
      </w:r>
      <w:r>
        <w:rPr>
          <w:rFonts w:hint="eastAsia" w:ascii="仿宋_GB2312" w:hAnsi="仿宋_GB2312" w:eastAsia="仿宋_GB2312" w:cs="仿宋_GB2312"/>
          <w:i w:val="0"/>
          <w:iCs w:val="0"/>
          <w:color w:val="000000" w:themeColor="text1"/>
          <w:sz w:val="32"/>
          <w:szCs w:val="32"/>
          <w:highlight w:val="none"/>
          <w:u w:val="none"/>
          <w:lang w:val="en-US" w:eastAsia="zh-CN"/>
          <w14:textFill>
            <w14:solidFill>
              <w14:schemeClr w14:val="tx1"/>
            </w14:solidFill>
          </w14:textFill>
        </w:rPr>
        <w:t>298.23</w:t>
      </w:r>
      <w:r>
        <w:rPr>
          <w:rFonts w:hint="eastAsia" w:ascii="仿宋_GB2312" w:hAnsi="仿宋_GB2312" w:eastAsia="仿宋_GB2312" w:cs="仿宋_GB2312"/>
          <w:i w:val="0"/>
          <w:iCs w:val="0"/>
          <w:color w:val="000000" w:themeColor="text1"/>
          <w:sz w:val="32"/>
          <w:szCs w:val="32"/>
          <w:highlight w:val="none"/>
          <w:u w:val="none"/>
          <w14:textFill>
            <w14:solidFill>
              <w14:schemeClr w14:val="tx1"/>
            </w14:solidFill>
          </w14:textFill>
        </w:rPr>
        <w:t>万元，占政府采购支出总额的</w:t>
      </w:r>
      <w:r>
        <w:rPr>
          <w:rFonts w:hint="eastAsia" w:ascii="仿宋_GB2312" w:hAnsi="仿宋_GB2312" w:eastAsia="仿宋_GB2312" w:cs="仿宋_GB2312"/>
          <w:i w:val="0"/>
          <w:iCs w:val="0"/>
          <w:color w:val="000000" w:themeColor="text1"/>
          <w:sz w:val="32"/>
          <w:szCs w:val="32"/>
          <w:highlight w:val="none"/>
          <w:u w:val="none"/>
          <w:lang w:val="en-US" w:eastAsia="zh-CN"/>
          <w14:textFill>
            <w14:solidFill>
              <w14:schemeClr w14:val="tx1"/>
            </w14:solidFill>
          </w14:textFill>
        </w:rPr>
        <w:t>7.60</w:t>
      </w:r>
      <w:r>
        <w:rPr>
          <w:rFonts w:hint="eastAsia" w:ascii="仿宋_GB2312" w:hAnsi="仿宋_GB2312" w:eastAsia="仿宋_GB2312" w:cs="仿宋_GB2312"/>
          <w:i w:val="0"/>
          <w:iCs w:val="0"/>
          <w:color w:val="000000" w:themeColor="text1"/>
          <w:sz w:val="32"/>
          <w:szCs w:val="32"/>
          <w:highlight w:val="none"/>
          <w:u w:val="none"/>
          <w14:textFill>
            <w14:solidFill>
              <w14:schemeClr w14:val="tx1"/>
            </w14:solidFill>
          </w14:textFill>
        </w:rPr>
        <w:t>%，其中：授予小微企业合同金额</w:t>
      </w:r>
      <w:r>
        <w:rPr>
          <w:rFonts w:hint="eastAsia" w:ascii="仿宋_GB2312" w:hAnsi="仿宋_GB2312" w:eastAsia="仿宋_GB2312" w:cs="仿宋_GB2312"/>
          <w:i w:val="0"/>
          <w:iCs w:val="0"/>
          <w:color w:val="000000" w:themeColor="text1"/>
          <w:sz w:val="32"/>
          <w:szCs w:val="32"/>
          <w:highlight w:val="none"/>
          <w:u w:val="none"/>
          <w:lang w:val="en-US" w:eastAsia="zh-CN"/>
          <w14:textFill>
            <w14:solidFill>
              <w14:schemeClr w14:val="tx1"/>
            </w14:solidFill>
          </w14:textFill>
        </w:rPr>
        <w:t>298.23</w:t>
      </w:r>
      <w:r>
        <w:rPr>
          <w:rFonts w:hint="eastAsia" w:ascii="仿宋_GB2312" w:hAnsi="仿宋_GB2312" w:eastAsia="仿宋_GB2312" w:cs="仿宋_GB2312"/>
          <w:i w:val="0"/>
          <w:iCs w:val="0"/>
          <w:color w:val="000000" w:themeColor="text1"/>
          <w:sz w:val="32"/>
          <w:szCs w:val="32"/>
          <w:highlight w:val="none"/>
          <w:u w:val="none"/>
          <w14:textFill>
            <w14:solidFill>
              <w14:schemeClr w14:val="tx1"/>
            </w14:solidFill>
          </w14:textFill>
        </w:rPr>
        <w:t>万元，占政府采购支出总额的</w:t>
      </w:r>
      <w:r>
        <w:rPr>
          <w:rFonts w:hint="eastAsia" w:ascii="仿宋_GB2312" w:hAnsi="仿宋_GB2312" w:eastAsia="仿宋_GB2312" w:cs="仿宋_GB2312"/>
          <w:i w:val="0"/>
          <w:iCs w:val="0"/>
          <w:color w:val="000000" w:themeColor="text1"/>
          <w:sz w:val="32"/>
          <w:szCs w:val="32"/>
          <w:highlight w:val="none"/>
          <w:u w:val="none"/>
          <w:lang w:val="en-US" w:eastAsia="zh-CN"/>
          <w14:textFill>
            <w14:solidFill>
              <w14:schemeClr w14:val="tx1"/>
            </w14:solidFill>
          </w14:textFill>
        </w:rPr>
        <w:t>7.60</w:t>
      </w:r>
      <w:r>
        <w:rPr>
          <w:rFonts w:hint="eastAsia" w:ascii="仿宋_GB2312" w:hAnsi="仿宋_GB2312" w:eastAsia="仿宋_GB2312" w:cs="仿宋_GB2312"/>
          <w:i w:val="0"/>
          <w:iCs w:val="0"/>
          <w:color w:val="000000" w:themeColor="text1"/>
          <w:sz w:val="32"/>
          <w:szCs w:val="32"/>
          <w:highlight w:val="none"/>
          <w:u w:val="none"/>
          <w14:textFill>
            <w14:solidFill>
              <w14:schemeClr w14:val="tx1"/>
            </w14:solidFill>
          </w14:textFill>
        </w:rPr>
        <w:t>%。</w:t>
      </w:r>
    </w:p>
    <w:p>
      <w:pPr>
        <w:keepNext w:val="0"/>
        <w:keepLines w:val="0"/>
        <w:pageBreakBefore w:val="0"/>
        <w:kinsoku/>
        <w:wordWrap/>
        <w:overflowPunct/>
        <w:topLinePunct w:val="0"/>
        <w:bidi w:val="0"/>
        <w:snapToGrid/>
        <w:spacing w:line="600" w:lineRule="exact"/>
        <w:ind w:firstLine="643" w:firstLineChars="200"/>
        <w:jc w:val="both"/>
        <w:textAlignment w:val="auto"/>
        <w:outlineLvl w:val="2"/>
        <w:rPr>
          <w:rFonts w:hint="eastAsia" w:ascii="楷体_GB2312" w:hAnsi="楷体_GB2312" w:eastAsia="楷体_GB2312" w:cs="楷体_GB2312"/>
          <w:b/>
          <w:i w:val="0"/>
          <w:iCs w:val="0"/>
          <w:color w:val="000000" w:themeColor="text1"/>
          <w:sz w:val="32"/>
          <w:szCs w:val="32"/>
          <w:highlight w:val="none"/>
          <w:u w:val="none"/>
          <w14:textFill>
            <w14:solidFill>
              <w14:schemeClr w14:val="tx1"/>
            </w14:solidFill>
          </w14:textFill>
        </w:rPr>
      </w:pPr>
      <w:bookmarkStart w:id="58" w:name="_Toc15377224"/>
      <w:r>
        <w:rPr>
          <w:rFonts w:hint="eastAsia" w:ascii="楷体_GB2312" w:hAnsi="楷体_GB2312" w:eastAsia="楷体_GB2312" w:cs="楷体_GB2312"/>
          <w:b/>
          <w:i w:val="0"/>
          <w:iCs w:val="0"/>
          <w:color w:val="000000" w:themeColor="text1"/>
          <w:sz w:val="32"/>
          <w:szCs w:val="32"/>
          <w:highlight w:val="none"/>
          <w:u w:val="none"/>
          <w14:textFill>
            <w14:solidFill>
              <w14:schemeClr w14:val="tx1"/>
            </w14:solidFill>
          </w14:textFill>
        </w:rPr>
        <w:t>（三）国有资产占有使用情况</w:t>
      </w:r>
      <w:bookmarkEnd w:id="58"/>
    </w:p>
    <w:p>
      <w:pPr>
        <w:keepNext w:val="0"/>
        <w:keepLines w:val="0"/>
        <w:pageBreakBefore w:val="0"/>
        <w:kinsoku/>
        <w:wordWrap/>
        <w:overflowPunct/>
        <w:topLinePunct w:val="0"/>
        <w:autoSpaceDE w:val="0"/>
        <w:autoSpaceDN w:val="0"/>
        <w:bidi w:val="0"/>
        <w:adjustRightInd w:val="0"/>
        <w:snapToGrid/>
        <w:spacing w:line="600" w:lineRule="exact"/>
        <w:ind w:firstLine="640" w:firstLineChars="200"/>
        <w:jc w:val="both"/>
        <w:textAlignment w:val="auto"/>
        <w:rPr>
          <w:rFonts w:hint="eastAsia" w:ascii="仿宋_GB2312" w:hAnsi="仿宋_GB2312" w:eastAsia="仿宋_GB2312" w:cs="仿宋_GB2312"/>
          <w:i w:val="0"/>
          <w:iCs w:val="0"/>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i w:val="0"/>
          <w:iCs w:val="0"/>
          <w:color w:val="000000" w:themeColor="text1"/>
          <w:sz w:val="32"/>
          <w:szCs w:val="32"/>
          <w:highlight w:val="none"/>
          <w:u w:val="none"/>
          <w14:textFill>
            <w14:solidFill>
              <w14:schemeClr w14:val="tx1"/>
            </w14:solidFill>
          </w14:textFill>
        </w:rPr>
        <w:t>截至20</w:t>
      </w:r>
      <w:r>
        <w:rPr>
          <w:rFonts w:hint="eastAsia" w:ascii="仿宋_GB2312" w:hAnsi="仿宋_GB2312" w:eastAsia="仿宋_GB2312" w:cs="仿宋_GB2312"/>
          <w:i w:val="0"/>
          <w:iCs w:val="0"/>
          <w:color w:val="000000" w:themeColor="text1"/>
          <w:sz w:val="32"/>
          <w:szCs w:val="32"/>
          <w:highlight w:val="none"/>
          <w:u w:val="none"/>
          <w:lang w:val="en-US" w:eastAsia="zh-CN"/>
          <w14:textFill>
            <w14:solidFill>
              <w14:schemeClr w14:val="tx1"/>
            </w14:solidFill>
          </w14:textFill>
        </w:rPr>
        <w:t>21</w:t>
      </w:r>
      <w:r>
        <w:rPr>
          <w:rFonts w:hint="eastAsia" w:ascii="仿宋_GB2312" w:hAnsi="仿宋_GB2312" w:eastAsia="仿宋_GB2312" w:cs="仿宋_GB2312"/>
          <w:i w:val="0"/>
          <w:iCs w:val="0"/>
          <w:color w:val="000000" w:themeColor="text1"/>
          <w:sz w:val="32"/>
          <w:szCs w:val="32"/>
          <w:highlight w:val="none"/>
          <w:u w:val="none"/>
          <w14:textFill>
            <w14:solidFill>
              <w14:schemeClr w14:val="tx1"/>
            </w14:solidFill>
          </w14:textFill>
        </w:rPr>
        <w:t>年12月31日，</w:t>
      </w:r>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司法厅</w:t>
      </w:r>
      <w:r>
        <w:rPr>
          <w:rFonts w:hint="eastAsia" w:ascii="仿宋_GB2312" w:hAnsi="仿宋_GB2312" w:eastAsia="仿宋_GB2312" w:cs="仿宋_GB2312"/>
          <w:i w:val="0"/>
          <w:iCs w:val="0"/>
          <w:color w:val="000000" w:themeColor="text1"/>
          <w:sz w:val="32"/>
          <w:szCs w:val="32"/>
          <w:highlight w:val="none"/>
          <w:u w:val="none"/>
          <w14:textFill>
            <w14:solidFill>
              <w14:schemeClr w14:val="tx1"/>
            </w14:solidFill>
          </w14:textFill>
        </w:rPr>
        <w:t>共有车辆</w:t>
      </w:r>
      <w:r>
        <w:rPr>
          <w:rFonts w:hint="eastAsia" w:ascii="仿宋_GB2312" w:hAnsi="仿宋_GB2312" w:eastAsia="仿宋_GB2312" w:cs="仿宋_GB2312"/>
          <w:i w:val="0"/>
          <w:iCs w:val="0"/>
          <w:color w:val="000000" w:themeColor="text1"/>
          <w:sz w:val="32"/>
          <w:szCs w:val="32"/>
          <w:highlight w:val="none"/>
          <w:u w:val="none"/>
          <w:lang w:val="en-US" w:eastAsia="zh-CN"/>
          <w14:textFill>
            <w14:solidFill>
              <w14:schemeClr w14:val="tx1"/>
            </w14:solidFill>
          </w14:textFill>
        </w:rPr>
        <w:t>29</w:t>
      </w:r>
      <w:bookmarkStart w:id="77" w:name="_GoBack"/>
      <w:bookmarkEnd w:id="77"/>
      <w:r>
        <w:rPr>
          <w:rFonts w:hint="eastAsia" w:ascii="仿宋_GB2312" w:hAnsi="仿宋_GB2312" w:eastAsia="仿宋_GB2312" w:cs="仿宋_GB2312"/>
          <w:i w:val="0"/>
          <w:iCs w:val="0"/>
          <w:color w:val="000000" w:themeColor="text1"/>
          <w:sz w:val="32"/>
          <w:szCs w:val="32"/>
          <w:highlight w:val="none"/>
          <w:u w:val="none"/>
          <w14:textFill>
            <w14:solidFill>
              <w14:schemeClr w14:val="tx1"/>
            </w14:solidFill>
          </w14:textFill>
        </w:rPr>
        <w:t>辆，其中：主要领导干部用车</w:t>
      </w:r>
      <w:r>
        <w:rPr>
          <w:rFonts w:hint="eastAsia" w:ascii="仿宋_GB2312" w:hAnsi="仿宋_GB2312" w:eastAsia="仿宋_GB2312" w:cs="仿宋_GB2312"/>
          <w:i w:val="0"/>
          <w:iCs w:val="0"/>
          <w:color w:val="000000" w:themeColor="text1"/>
          <w:sz w:val="32"/>
          <w:szCs w:val="32"/>
          <w:highlight w:val="none"/>
          <w:u w:val="none"/>
          <w:lang w:val="en-US" w:eastAsia="zh-CN"/>
          <w14:textFill>
            <w14:solidFill>
              <w14:schemeClr w14:val="tx1"/>
            </w14:solidFill>
          </w14:textFill>
        </w:rPr>
        <w:t>1</w:t>
      </w:r>
      <w:r>
        <w:rPr>
          <w:rFonts w:hint="eastAsia" w:ascii="仿宋_GB2312" w:hAnsi="仿宋_GB2312" w:eastAsia="仿宋_GB2312" w:cs="仿宋_GB2312"/>
          <w:i w:val="0"/>
          <w:iCs w:val="0"/>
          <w:color w:val="000000" w:themeColor="text1"/>
          <w:sz w:val="32"/>
          <w:szCs w:val="32"/>
          <w:highlight w:val="none"/>
          <w:u w:val="none"/>
          <w14:textFill>
            <w14:solidFill>
              <w14:schemeClr w14:val="tx1"/>
            </w14:solidFill>
          </w14:textFill>
        </w:rPr>
        <w:t>辆、机要通信用车</w:t>
      </w:r>
      <w:r>
        <w:rPr>
          <w:rFonts w:hint="eastAsia" w:ascii="仿宋_GB2312" w:hAnsi="仿宋_GB2312" w:eastAsia="仿宋_GB2312" w:cs="仿宋_GB2312"/>
          <w:i w:val="0"/>
          <w:iCs w:val="0"/>
          <w:color w:val="000000" w:themeColor="text1"/>
          <w:sz w:val="32"/>
          <w:szCs w:val="32"/>
          <w:highlight w:val="none"/>
          <w:u w:val="none"/>
          <w:lang w:val="en-US" w:eastAsia="zh-CN"/>
          <w14:textFill>
            <w14:solidFill>
              <w14:schemeClr w14:val="tx1"/>
            </w14:solidFill>
          </w14:textFill>
        </w:rPr>
        <w:t>2</w:t>
      </w:r>
      <w:r>
        <w:rPr>
          <w:rFonts w:hint="eastAsia" w:ascii="仿宋_GB2312" w:hAnsi="仿宋_GB2312" w:eastAsia="仿宋_GB2312" w:cs="仿宋_GB2312"/>
          <w:i w:val="0"/>
          <w:iCs w:val="0"/>
          <w:color w:val="000000" w:themeColor="text1"/>
          <w:sz w:val="32"/>
          <w:szCs w:val="32"/>
          <w:highlight w:val="none"/>
          <w:u w:val="none"/>
          <w14:textFill>
            <w14:solidFill>
              <w14:schemeClr w14:val="tx1"/>
            </w14:solidFill>
          </w14:textFill>
        </w:rPr>
        <w:t>辆、应急保障用车</w:t>
      </w:r>
      <w:r>
        <w:rPr>
          <w:rFonts w:hint="eastAsia" w:ascii="仿宋_GB2312" w:hAnsi="仿宋_GB2312" w:eastAsia="仿宋_GB2312" w:cs="仿宋_GB2312"/>
          <w:i w:val="0"/>
          <w:iCs w:val="0"/>
          <w:color w:val="000000" w:themeColor="text1"/>
          <w:sz w:val="32"/>
          <w:szCs w:val="32"/>
          <w:highlight w:val="none"/>
          <w:u w:val="none"/>
          <w:lang w:val="en-US" w:eastAsia="zh-CN"/>
          <w14:textFill>
            <w14:solidFill>
              <w14:schemeClr w14:val="tx1"/>
            </w14:solidFill>
          </w14:textFill>
        </w:rPr>
        <w:t>3</w:t>
      </w:r>
      <w:r>
        <w:rPr>
          <w:rFonts w:hint="eastAsia" w:ascii="仿宋_GB2312" w:hAnsi="仿宋_GB2312" w:eastAsia="仿宋_GB2312" w:cs="仿宋_GB2312"/>
          <w:i w:val="0"/>
          <w:iCs w:val="0"/>
          <w:color w:val="000000" w:themeColor="text1"/>
          <w:sz w:val="32"/>
          <w:szCs w:val="32"/>
          <w:highlight w:val="none"/>
          <w:u w:val="none"/>
          <w14:textFill>
            <w14:solidFill>
              <w14:schemeClr w14:val="tx1"/>
            </w14:solidFill>
          </w14:textFill>
        </w:rPr>
        <w:t>辆、</w:t>
      </w:r>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执法执勤用车15辆</w:t>
      </w:r>
      <w:r>
        <w:rPr>
          <w:rFonts w:hint="eastAsia" w:ascii="仿宋_GB2312" w:hAnsi="仿宋_GB2312" w:eastAsia="仿宋_GB2312" w:cs="仿宋_GB2312"/>
          <w:i w:val="0"/>
          <w:iCs w:val="0"/>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i w:val="0"/>
          <w:iCs w:val="0"/>
          <w:color w:val="000000" w:themeColor="text1"/>
          <w:sz w:val="32"/>
          <w:szCs w:val="32"/>
          <w:highlight w:val="none"/>
          <w:u w:val="none"/>
          <w14:textFill>
            <w14:solidFill>
              <w14:schemeClr w14:val="tx1"/>
            </w14:solidFill>
          </w14:textFill>
        </w:rPr>
        <w:t>其他用车</w:t>
      </w:r>
      <w:r>
        <w:rPr>
          <w:rFonts w:hint="eastAsia" w:ascii="仿宋_GB2312" w:hAnsi="仿宋_GB2312" w:eastAsia="仿宋_GB2312" w:cs="仿宋_GB2312"/>
          <w:i w:val="0"/>
          <w:iCs w:val="0"/>
          <w:color w:val="000000" w:themeColor="text1"/>
          <w:sz w:val="32"/>
          <w:szCs w:val="32"/>
          <w:highlight w:val="none"/>
          <w:u w:val="none"/>
          <w:lang w:val="en-US" w:eastAsia="zh-CN"/>
          <w14:textFill>
            <w14:solidFill>
              <w14:schemeClr w14:val="tx1"/>
            </w14:solidFill>
          </w14:textFill>
        </w:rPr>
        <w:t>8</w:t>
      </w:r>
      <w:r>
        <w:rPr>
          <w:rFonts w:hint="eastAsia" w:ascii="仿宋_GB2312" w:hAnsi="仿宋_GB2312" w:eastAsia="仿宋_GB2312" w:cs="仿宋_GB2312"/>
          <w:i w:val="0"/>
          <w:iCs w:val="0"/>
          <w:color w:val="000000" w:themeColor="text1"/>
          <w:sz w:val="32"/>
          <w:szCs w:val="32"/>
          <w:highlight w:val="none"/>
          <w:u w:val="none"/>
          <w14:textFill>
            <w14:solidFill>
              <w14:schemeClr w14:val="tx1"/>
            </w14:solidFill>
          </w14:textFill>
        </w:rPr>
        <w:t>辆</w:t>
      </w:r>
      <w:r>
        <w:rPr>
          <w:rFonts w:hint="eastAsia" w:ascii="仿宋_GB2312" w:hAnsi="仿宋_GB2312" w:eastAsia="仿宋_GB2312" w:cs="仿宋_GB2312"/>
          <w:i w:val="0"/>
          <w:iCs w:val="0"/>
          <w:color w:val="000000" w:themeColor="text1"/>
          <w:sz w:val="32"/>
          <w:szCs w:val="32"/>
          <w:highlight w:val="none"/>
          <w:u w:val="none"/>
          <w:lang w:eastAsia="zh-CN"/>
          <w14:textFill>
            <w14:solidFill>
              <w14:schemeClr w14:val="tx1"/>
            </w14:solidFill>
          </w14:textFill>
        </w:rPr>
        <w:t>。</w:t>
      </w:r>
      <w:r>
        <w:rPr>
          <w:rFonts w:hint="eastAsia" w:ascii="仿宋_GB2312" w:hAnsi="仿宋_GB2312" w:eastAsia="仿宋_GB2312" w:cs="仿宋_GB2312"/>
          <w:i w:val="0"/>
          <w:iCs w:val="0"/>
          <w:color w:val="000000" w:themeColor="text1"/>
          <w:sz w:val="32"/>
          <w:szCs w:val="32"/>
          <w:highlight w:val="none"/>
          <w:u w:val="none"/>
          <w14:textFill>
            <w14:solidFill>
              <w14:schemeClr w14:val="tx1"/>
            </w14:solidFill>
          </w14:textFill>
        </w:rPr>
        <w:t>其他用车主要是用于</w:t>
      </w:r>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其他用车主要是用于离退休老干部用车及警校教学用车。单价50万元以上通用设备0台（套），单价100万元以上专用设备0台（套）。</w:t>
      </w:r>
    </w:p>
    <w:p>
      <w:pPr>
        <w:keepNext w:val="0"/>
        <w:keepLines w:val="0"/>
        <w:pageBreakBefore w:val="0"/>
        <w:kinsoku/>
        <w:wordWrap/>
        <w:overflowPunct/>
        <w:topLinePunct w:val="0"/>
        <w:bidi w:val="0"/>
        <w:snapToGrid/>
        <w:spacing w:line="600" w:lineRule="exact"/>
        <w:ind w:firstLine="643" w:firstLineChars="200"/>
        <w:jc w:val="both"/>
        <w:textAlignment w:val="auto"/>
        <w:outlineLvl w:val="2"/>
        <w:rPr>
          <w:rFonts w:hint="eastAsia" w:ascii="楷体_GB2312" w:hAnsi="楷体_GB2312" w:eastAsia="楷体_GB2312" w:cs="楷体_GB2312"/>
          <w:b/>
          <w:i w:val="0"/>
          <w:iCs w:val="0"/>
          <w:color w:val="000000" w:themeColor="text1"/>
          <w:sz w:val="32"/>
          <w:szCs w:val="32"/>
          <w:highlight w:val="none"/>
          <w:u w:val="none"/>
          <w14:textFill>
            <w14:solidFill>
              <w14:schemeClr w14:val="tx1"/>
            </w14:solidFill>
          </w14:textFill>
        </w:rPr>
      </w:pPr>
      <w:r>
        <w:rPr>
          <w:rFonts w:hint="eastAsia" w:ascii="楷体_GB2312" w:hAnsi="楷体_GB2312" w:eastAsia="楷体_GB2312" w:cs="楷体_GB2312"/>
          <w:b/>
          <w:i w:val="0"/>
          <w:iCs w:val="0"/>
          <w:color w:val="000000" w:themeColor="text1"/>
          <w:sz w:val="32"/>
          <w:szCs w:val="32"/>
          <w:highlight w:val="none"/>
          <w:u w:val="none"/>
          <w14:textFill>
            <w14:solidFill>
              <w14:schemeClr w14:val="tx1"/>
            </w14:solidFill>
          </w14:textFill>
        </w:rPr>
        <w:t>（四）预算绩效管理情况</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s="仿宋_GB2312"/>
          <w:i w:val="0"/>
          <w:iCs w:val="0"/>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i w:val="0"/>
          <w:iCs w:val="0"/>
          <w:color w:val="000000" w:themeColor="text1"/>
          <w:sz w:val="32"/>
          <w:szCs w:val="32"/>
          <w:highlight w:val="none"/>
          <w:u w:val="none"/>
          <w14:textFill>
            <w14:solidFill>
              <w14:schemeClr w14:val="tx1"/>
            </w14:solidFill>
          </w14:textFill>
        </w:rPr>
        <w:t>根据预算绩效管理要求，本部门在</w:t>
      </w:r>
      <w:r>
        <w:rPr>
          <w:rFonts w:hint="eastAsia" w:ascii="仿宋_GB2312" w:hAnsi="仿宋_GB2312" w:eastAsia="仿宋_GB2312" w:cs="仿宋_GB2312"/>
          <w:i w:val="0"/>
          <w:iCs w:val="0"/>
          <w:color w:val="000000" w:themeColor="text1"/>
          <w:sz w:val="32"/>
          <w:szCs w:val="32"/>
          <w:highlight w:val="none"/>
          <w:u w:val="none"/>
          <w:lang w:val="en-US" w:eastAsia="zh-CN"/>
          <w14:textFill>
            <w14:solidFill>
              <w14:schemeClr w14:val="tx1"/>
            </w14:solidFill>
          </w14:textFill>
        </w:rPr>
        <w:t>2021年度</w:t>
      </w:r>
      <w:r>
        <w:rPr>
          <w:rFonts w:hint="eastAsia" w:ascii="仿宋_GB2312" w:hAnsi="仿宋_GB2312" w:eastAsia="仿宋_GB2312" w:cs="仿宋_GB2312"/>
          <w:i w:val="0"/>
          <w:iCs w:val="0"/>
          <w:color w:val="000000" w:themeColor="text1"/>
          <w:sz w:val="32"/>
          <w:szCs w:val="32"/>
          <w:highlight w:val="none"/>
          <w:u w:val="none"/>
          <w14:textFill>
            <w14:solidFill>
              <w14:schemeClr w14:val="tx1"/>
            </w14:solidFill>
          </w14:textFill>
        </w:rPr>
        <w:t>预算编制阶段，对</w:t>
      </w:r>
      <w:r>
        <w:rPr>
          <w:rFonts w:hint="eastAsia" w:ascii="仿宋_GB2312" w:hAnsi="仿宋_GB2312" w:eastAsia="仿宋_GB2312" w:cs="仿宋_GB2312"/>
          <w:i w:val="0"/>
          <w:iCs w:val="0"/>
          <w:color w:val="000000" w:themeColor="text1"/>
          <w:sz w:val="32"/>
          <w:szCs w:val="32"/>
          <w:highlight w:val="none"/>
          <w:u w:val="none"/>
          <w:lang w:val="en-US" w:eastAsia="zh-CN"/>
          <w14:textFill>
            <w14:solidFill>
              <w14:schemeClr w14:val="tx1"/>
            </w14:solidFill>
          </w14:textFill>
        </w:rPr>
        <w:t>29</w:t>
      </w:r>
      <w:r>
        <w:rPr>
          <w:rFonts w:hint="eastAsia" w:ascii="仿宋_GB2312" w:hAnsi="仿宋_GB2312" w:eastAsia="仿宋_GB2312" w:cs="仿宋_GB2312"/>
          <w:i w:val="0"/>
          <w:iCs w:val="0"/>
          <w:color w:val="000000" w:themeColor="text1"/>
          <w:sz w:val="32"/>
          <w:szCs w:val="32"/>
          <w:highlight w:val="none"/>
          <w:u w:val="none"/>
          <w14:textFill>
            <w14:solidFill>
              <w14:schemeClr w14:val="tx1"/>
            </w14:solidFill>
          </w14:textFill>
        </w:rPr>
        <w:t>个项目编制了绩效目标，预算执行过程中，选取</w:t>
      </w:r>
      <w:r>
        <w:rPr>
          <w:rFonts w:hint="eastAsia" w:ascii="仿宋_GB2312" w:hAnsi="仿宋_GB2312" w:eastAsia="仿宋_GB2312" w:cs="仿宋_GB2312"/>
          <w:i w:val="0"/>
          <w:iCs w:val="0"/>
          <w:color w:val="000000" w:themeColor="text1"/>
          <w:sz w:val="32"/>
          <w:szCs w:val="32"/>
          <w:highlight w:val="none"/>
          <w:u w:val="none"/>
          <w:lang w:val="en-US" w:eastAsia="zh-CN"/>
          <w14:textFill>
            <w14:solidFill>
              <w14:schemeClr w14:val="tx1"/>
            </w14:solidFill>
          </w14:textFill>
        </w:rPr>
        <w:t>29</w:t>
      </w:r>
      <w:r>
        <w:rPr>
          <w:rFonts w:hint="eastAsia" w:ascii="仿宋_GB2312" w:hAnsi="仿宋_GB2312" w:eastAsia="仿宋_GB2312" w:cs="仿宋_GB2312"/>
          <w:i w:val="0"/>
          <w:iCs w:val="0"/>
          <w:color w:val="000000" w:themeColor="text1"/>
          <w:sz w:val="32"/>
          <w:szCs w:val="32"/>
          <w:highlight w:val="none"/>
          <w:u w:val="none"/>
          <w14:textFill>
            <w14:solidFill>
              <w14:schemeClr w14:val="tx1"/>
            </w14:solidFill>
          </w14:textFill>
        </w:rPr>
        <w:t>个项目开展绩效监控，年终执行完毕后，对</w:t>
      </w:r>
      <w:r>
        <w:rPr>
          <w:rFonts w:hint="eastAsia" w:ascii="仿宋_GB2312" w:hAnsi="仿宋_GB2312" w:eastAsia="仿宋_GB2312" w:cs="仿宋_GB2312"/>
          <w:i w:val="0"/>
          <w:iCs w:val="0"/>
          <w:color w:val="000000" w:themeColor="text1"/>
          <w:sz w:val="32"/>
          <w:szCs w:val="32"/>
          <w:highlight w:val="none"/>
          <w:u w:val="none"/>
          <w:lang w:val="en-US" w:eastAsia="zh-CN"/>
          <w14:textFill>
            <w14:solidFill>
              <w14:schemeClr w14:val="tx1"/>
            </w14:solidFill>
          </w14:textFill>
        </w:rPr>
        <w:t>29</w:t>
      </w:r>
      <w:r>
        <w:rPr>
          <w:rFonts w:hint="eastAsia" w:ascii="仿宋_GB2312" w:hAnsi="仿宋_GB2312" w:eastAsia="仿宋_GB2312" w:cs="仿宋_GB2312"/>
          <w:i w:val="0"/>
          <w:iCs w:val="0"/>
          <w:color w:val="000000" w:themeColor="text1"/>
          <w:sz w:val="32"/>
          <w:szCs w:val="32"/>
          <w:highlight w:val="none"/>
          <w:u w:val="none"/>
          <w14:textFill>
            <w14:solidFill>
              <w14:schemeClr w14:val="tx1"/>
            </w14:solidFill>
          </w14:textFill>
        </w:rPr>
        <w:t>个项目开展了绩效自评</w:t>
      </w:r>
      <w:r>
        <w:rPr>
          <w:rFonts w:hint="eastAsia" w:ascii="仿宋_GB2312" w:hAnsi="仿宋_GB2312" w:eastAsia="仿宋_GB2312" w:cs="仿宋_GB2312"/>
          <w:i w:val="0"/>
          <w:iCs w:val="0"/>
          <w:color w:val="000000" w:themeColor="text1"/>
          <w:sz w:val="32"/>
          <w:szCs w:val="32"/>
          <w:highlight w:val="none"/>
          <w:u w:val="none"/>
          <w:lang w:eastAsia="zh-CN"/>
          <w14:textFill>
            <w14:solidFill>
              <w14:schemeClr w14:val="tx1"/>
            </w14:solidFill>
          </w14:textFill>
        </w:rPr>
        <w:t>。同时，</w:t>
      </w:r>
      <w:r>
        <w:rPr>
          <w:rFonts w:hint="eastAsia" w:ascii="仿宋_GB2312" w:hAnsi="仿宋_GB2312" w:eastAsia="仿宋_GB2312" w:cs="仿宋_GB2312"/>
          <w:i w:val="0"/>
          <w:iCs w:val="0"/>
          <w:color w:val="000000" w:themeColor="text1"/>
          <w:sz w:val="32"/>
          <w:szCs w:val="32"/>
          <w:highlight w:val="none"/>
          <w:u w:val="none"/>
          <w14:textFill>
            <w14:solidFill>
              <w14:schemeClr w14:val="tx1"/>
            </w14:solidFill>
          </w14:textFill>
        </w:rPr>
        <w:t>本部门对20</w:t>
      </w:r>
      <w:r>
        <w:rPr>
          <w:rFonts w:hint="eastAsia" w:ascii="仿宋_GB2312" w:hAnsi="仿宋_GB2312" w:eastAsia="仿宋_GB2312" w:cs="仿宋_GB2312"/>
          <w:i w:val="0"/>
          <w:iCs w:val="0"/>
          <w:color w:val="000000" w:themeColor="text1"/>
          <w:sz w:val="32"/>
          <w:szCs w:val="32"/>
          <w:highlight w:val="none"/>
          <w:u w:val="none"/>
          <w:lang w:val="en-US" w:eastAsia="zh-CN"/>
          <w14:textFill>
            <w14:solidFill>
              <w14:schemeClr w14:val="tx1"/>
            </w14:solidFill>
          </w14:textFill>
        </w:rPr>
        <w:t>21</w:t>
      </w:r>
      <w:r>
        <w:rPr>
          <w:rFonts w:hint="eastAsia" w:ascii="仿宋_GB2312" w:hAnsi="仿宋_GB2312" w:eastAsia="仿宋_GB2312" w:cs="仿宋_GB2312"/>
          <w:i w:val="0"/>
          <w:iCs w:val="0"/>
          <w:color w:val="000000" w:themeColor="text1"/>
          <w:sz w:val="32"/>
          <w:szCs w:val="32"/>
          <w:highlight w:val="none"/>
          <w:u w:val="none"/>
          <w14:textFill>
            <w14:solidFill>
              <w14:schemeClr w14:val="tx1"/>
            </w14:solidFill>
          </w14:textFill>
        </w:rPr>
        <w:t>年部门整体开展绩效自评，《202</w:t>
      </w:r>
      <w:r>
        <w:rPr>
          <w:rFonts w:hint="eastAsia" w:ascii="仿宋_GB2312" w:hAnsi="仿宋_GB2312" w:eastAsia="仿宋_GB2312" w:cs="仿宋_GB2312"/>
          <w:i w:val="0"/>
          <w:iCs w:val="0"/>
          <w:color w:val="000000" w:themeColor="text1"/>
          <w:sz w:val="32"/>
          <w:szCs w:val="32"/>
          <w:highlight w:val="none"/>
          <w:u w:val="none"/>
          <w:lang w:val="en-US" w:eastAsia="zh-CN"/>
          <w14:textFill>
            <w14:solidFill>
              <w14:schemeClr w14:val="tx1"/>
            </w14:solidFill>
          </w14:textFill>
        </w:rPr>
        <w:t>1</w:t>
      </w:r>
      <w:r>
        <w:rPr>
          <w:rFonts w:hint="eastAsia" w:ascii="仿宋_GB2312" w:hAnsi="仿宋_GB2312" w:eastAsia="仿宋_GB2312" w:cs="仿宋_GB2312"/>
          <w:i w:val="0"/>
          <w:iCs w:val="0"/>
          <w:color w:val="000000" w:themeColor="text1"/>
          <w:sz w:val="32"/>
          <w:szCs w:val="32"/>
          <w:highlight w:val="none"/>
          <w:u w:val="none"/>
          <w14:textFill>
            <w14:solidFill>
              <w14:schemeClr w14:val="tx1"/>
            </w14:solidFill>
          </w14:textFill>
        </w:rPr>
        <w:t>年</w:t>
      </w:r>
      <w:r>
        <w:rPr>
          <w:rFonts w:hint="eastAsia" w:ascii="仿宋_GB2312" w:hAnsi="仿宋_GB2312" w:eastAsia="仿宋_GB2312" w:cs="仿宋_GB2312"/>
          <w:i w:val="0"/>
          <w:iCs w:val="0"/>
          <w:color w:val="000000" w:themeColor="text1"/>
          <w:sz w:val="32"/>
          <w:szCs w:val="32"/>
          <w:highlight w:val="none"/>
          <w:u w:val="none"/>
          <w:lang w:eastAsia="zh-CN"/>
          <w14:textFill>
            <w14:solidFill>
              <w14:schemeClr w14:val="tx1"/>
            </w14:solidFill>
          </w14:textFill>
        </w:rPr>
        <w:t>四川省司法厅</w:t>
      </w:r>
      <w:r>
        <w:rPr>
          <w:rFonts w:hint="eastAsia" w:ascii="仿宋_GB2312" w:hAnsi="仿宋_GB2312" w:eastAsia="仿宋_GB2312" w:cs="仿宋_GB2312"/>
          <w:i w:val="0"/>
          <w:iCs w:val="0"/>
          <w:color w:val="000000" w:themeColor="text1"/>
          <w:sz w:val="32"/>
          <w:szCs w:val="32"/>
          <w:highlight w:val="none"/>
          <w:u w:val="none"/>
          <w14:textFill>
            <w14:solidFill>
              <w14:schemeClr w14:val="tx1"/>
            </w14:solidFill>
          </w14:textFill>
        </w:rPr>
        <w:t>整体绩效评价报告》见附件（</w:t>
      </w:r>
      <w:r>
        <w:rPr>
          <w:rFonts w:hint="eastAsia" w:ascii="仿宋_GB2312" w:hAnsi="仿宋_GB2312" w:eastAsia="仿宋_GB2312" w:cs="仿宋_GB2312"/>
          <w:i w:val="0"/>
          <w:iCs w:val="0"/>
          <w:color w:val="000000" w:themeColor="text1"/>
          <w:sz w:val="32"/>
          <w:szCs w:val="32"/>
          <w:highlight w:val="none"/>
          <w:u w:val="none"/>
          <w:lang w:eastAsia="zh-CN"/>
          <w14:textFill>
            <w14:solidFill>
              <w14:schemeClr w14:val="tx1"/>
            </w14:solidFill>
          </w14:textFill>
        </w:rPr>
        <w:t>第四部分</w:t>
      </w:r>
      <w:r>
        <w:rPr>
          <w:rFonts w:hint="eastAsia" w:ascii="仿宋_GB2312" w:hAnsi="仿宋_GB2312" w:eastAsia="仿宋_GB2312" w:cs="仿宋_GB2312"/>
          <w:i w:val="0"/>
          <w:iCs w:val="0"/>
          <w:color w:val="000000" w:themeColor="text1"/>
          <w:sz w:val="32"/>
          <w:szCs w:val="32"/>
          <w:highlight w:val="none"/>
          <w:u w:val="none"/>
          <w14:textFill>
            <w14:solidFill>
              <w14:schemeClr w14:val="tx1"/>
            </w14:solidFill>
          </w14:textFill>
        </w:rPr>
        <w:t>）。</w:t>
      </w:r>
    </w:p>
    <w:p>
      <w:pPr>
        <w:keepNext w:val="0"/>
        <w:keepLines w:val="0"/>
        <w:pageBreakBefore w:val="0"/>
        <w:widowControl/>
        <w:kinsoku/>
        <w:wordWrap/>
        <w:overflowPunct/>
        <w:topLinePunct w:val="0"/>
        <w:bidi w:val="0"/>
        <w:snapToGrid/>
        <w:spacing w:line="600" w:lineRule="exact"/>
        <w:jc w:val="center"/>
        <w:textAlignment w:val="auto"/>
        <w:rPr>
          <w:rFonts w:hint="eastAsia" w:ascii="宋体" w:hAnsi="宋体" w:eastAsia="宋体" w:cs="宋体"/>
          <w:b/>
          <w:bCs w:val="0"/>
          <w:i w:val="0"/>
          <w:iCs w:val="0"/>
          <w:color w:val="000000" w:themeColor="text1"/>
          <w:sz w:val="44"/>
          <w:szCs w:val="44"/>
          <w:highlight w:val="none"/>
          <w14:textFill>
            <w14:solidFill>
              <w14:schemeClr w14:val="tx1"/>
            </w14:solidFill>
          </w14:textFill>
        </w:rPr>
      </w:pPr>
    </w:p>
    <w:p>
      <w:pPr>
        <w:pStyle w:val="2"/>
        <w:rPr>
          <w:rFonts w:hint="eastAsia"/>
        </w:rPr>
      </w:pPr>
    </w:p>
    <w:p>
      <w:pPr>
        <w:jc w:val="center"/>
        <w:rPr>
          <w:rFonts w:hint="eastAsia" w:ascii="宋体" w:hAnsi="宋体" w:eastAsia="宋体" w:cs="宋体"/>
          <w:b/>
          <w:bCs w:val="0"/>
          <w:i w:val="0"/>
          <w:iCs w:val="0"/>
          <w:color w:val="000000" w:themeColor="text1"/>
          <w:sz w:val="44"/>
          <w:szCs w:val="44"/>
          <w:lang w:eastAsia="zh-CN"/>
          <w14:textFill>
            <w14:solidFill>
              <w14:schemeClr w14:val="tx1"/>
            </w14:solidFill>
          </w14:textFill>
        </w:rPr>
      </w:pPr>
      <w:bookmarkStart w:id="59" w:name="_Toc15396613"/>
      <w:bookmarkStart w:id="60" w:name="_Toc15377225"/>
    </w:p>
    <w:p>
      <w:pPr>
        <w:jc w:val="center"/>
        <w:rPr>
          <w:rFonts w:hint="eastAsia" w:ascii="宋体" w:hAnsi="宋体" w:eastAsia="宋体" w:cs="宋体"/>
          <w:b/>
          <w:bCs w:val="0"/>
          <w:i w:val="0"/>
          <w:iCs w:val="0"/>
          <w:color w:val="000000" w:themeColor="text1"/>
          <w:sz w:val="44"/>
          <w:szCs w:val="44"/>
          <w:lang w:eastAsia="zh-CN"/>
          <w14:textFill>
            <w14:solidFill>
              <w14:schemeClr w14:val="tx1"/>
            </w14:solidFill>
          </w14:textFill>
        </w:rPr>
      </w:pPr>
    </w:p>
    <w:p>
      <w:pPr>
        <w:jc w:val="center"/>
        <w:rPr>
          <w:rFonts w:hint="eastAsia" w:ascii="宋体" w:hAnsi="宋体" w:eastAsia="宋体" w:cs="宋体"/>
          <w:b/>
          <w:bCs w:val="0"/>
          <w:i w:val="0"/>
          <w:iCs w:val="0"/>
          <w:color w:val="000000" w:themeColor="text1"/>
          <w:sz w:val="44"/>
          <w:szCs w:val="44"/>
          <w:lang w:eastAsia="zh-CN"/>
          <w14:textFill>
            <w14:solidFill>
              <w14:schemeClr w14:val="tx1"/>
            </w14:solidFill>
          </w14:textFill>
        </w:rPr>
      </w:pPr>
    </w:p>
    <w:p>
      <w:pPr>
        <w:jc w:val="center"/>
        <w:rPr>
          <w:rFonts w:hint="eastAsia" w:ascii="宋体" w:hAnsi="宋体" w:eastAsia="宋体" w:cs="宋体"/>
          <w:b/>
          <w:bCs w:val="0"/>
          <w:i w:val="0"/>
          <w:iCs w:val="0"/>
          <w:color w:val="000000" w:themeColor="text1"/>
          <w:sz w:val="44"/>
          <w:szCs w:val="44"/>
          <w:lang w:eastAsia="zh-CN"/>
          <w14:textFill>
            <w14:solidFill>
              <w14:schemeClr w14:val="tx1"/>
            </w14:solidFill>
          </w14:textFill>
        </w:rPr>
      </w:pPr>
    </w:p>
    <w:p>
      <w:pPr>
        <w:jc w:val="center"/>
        <w:rPr>
          <w:rFonts w:hint="eastAsia" w:ascii="宋体" w:hAnsi="宋体" w:eastAsia="宋体" w:cs="宋体"/>
          <w:b/>
          <w:bCs w:val="0"/>
          <w:i w:val="0"/>
          <w:iCs w:val="0"/>
          <w:color w:val="000000" w:themeColor="text1"/>
          <w:sz w:val="44"/>
          <w:szCs w:val="44"/>
          <w:lang w:eastAsia="zh-CN"/>
          <w14:textFill>
            <w14:solidFill>
              <w14:schemeClr w14:val="tx1"/>
            </w14:solidFill>
          </w14:textFill>
        </w:rPr>
      </w:pPr>
    </w:p>
    <w:p>
      <w:pPr>
        <w:jc w:val="center"/>
        <w:rPr>
          <w:rFonts w:hint="eastAsia" w:ascii="宋体" w:hAnsi="宋体" w:eastAsia="宋体" w:cs="宋体"/>
          <w:b/>
          <w:bCs w:val="0"/>
          <w:i w:val="0"/>
          <w:iCs w:val="0"/>
          <w:color w:val="000000" w:themeColor="text1"/>
          <w:sz w:val="44"/>
          <w:szCs w:val="44"/>
          <w:lang w:eastAsia="zh-CN"/>
          <w14:textFill>
            <w14:solidFill>
              <w14:schemeClr w14:val="tx1"/>
            </w14:solidFill>
          </w14:textFill>
        </w:rPr>
      </w:pPr>
    </w:p>
    <w:p>
      <w:pPr>
        <w:jc w:val="center"/>
        <w:rPr>
          <w:rFonts w:hint="eastAsia" w:ascii="宋体" w:hAnsi="宋体" w:eastAsia="宋体" w:cs="宋体"/>
          <w:b/>
          <w:bCs w:val="0"/>
          <w:i w:val="0"/>
          <w:iCs w:val="0"/>
          <w:color w:val="000000" w:themeColor="text1"/>
          <w:sz w:val="44"/>
          <w:szCs w:val="44"/>
          <w:lang w:eastAsia="zh-CN"/>
          <w14:textFill>
            <w14:solidFill>
              <w14:schemeClr w14:val="tx1"/>
            </w14:solidFill>
          </w14:textFill>
        </w:rPr>
      </w:pPr>
    </w:p>
    <w:p>
      <w:pPr>
        <w:jc w:val="center"/>
        <w:rPr>
          <w:rFonts w:hint="eastAsia" w:ascii="宋体" w:hAnsi="宋体" w:eastAsia="宋体" w:cs="宋体"/>
          <w:b/>
          <w:bCs w:val="0"/>
          <w:i w:val="0"/>
          <w:iCs w:val="0"/>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color w:val="000000" w:themeColor="text1"/>
          <w:sz w:val="44"/>
          <w:szCs w:val="44"/>
          <w:highlight w:val="none"/>
          <w14:textFill>
            <w14:solidFill>
              <w14:schemeClr w14:val="tx1"/>
            </w14:solidFill>
          </w14:textFill>
        </w:rPr>
      </w:pPr>
      <w:r>
        <w:rPr>
          <w:rFonts w:hint="eastAsia" w:ascii="方正小标宋_GBK" w:hAnsi="方正小标宋_GBK" w:eastAsia="方正小标宋_GBK" w:cs="方正小标宋_GBK"/>
          <w:b w:val="0"/>
          <w:color w:val="000000" w:themeColor="text1"/>
          <w:sz w:val="44"/>
          <w:szCs w:val="44"/>
          <w:highlight w:val="none"/>
          <w:lang w:eastAsia="zh-CN"/>
          <w14:textFill>
            <w14:solidFill>
              <w14:schemeClr w14:val="tx1"/>
            </w14:solidFill>
          </w14:textFill>
        </w:rPr>
        <w:t>第三部分</w:t>
      </w:r>
      <w:r>
        <w:rPr>
          <w:rFonts w:hint="eastAsia" w:ascii="方正小标宋_GBK" w:hAnsi="方正小标宋_GBK" w:eastAsia="方正小标宋_GBK" w:cs="方正小标宋_GBK"/>
          <w:b w:val="0"/>
          <w:color w:val="000000" w:themeColor="text1"/>
          <w:sz w:val="44"/>
          <w:szCs w:val="44"/>
          <w:highlight w:val="none"/>
          <w:lang w:val="en-US" w:eastAsia="zh-CN"/>
          <w14:textFill>
            <w14:solidFill>
              <w14:schemeClr w14:val="tx1"/>
            </w14:solidFill>
          </w14:textFill>
        </w:rPr>
        <w:t xml:space="preserve">  </w:t>
      </w:r>
      <w:r>
        <w:rPr>
          <w:rFonts w:hint="eastAsia" w:ascii="方正小标宋_GBK" w:hAnsi="方正小标宋_GBK" w:eastAsia="方正小标宋_GBK" w:cs="方正小标宋_GBK"/>
          <w:b w:val="0"/>
          <w:color w:val="000000" w:themeColor="text1"/>
          <w:sz w:val="44"/>
          <w:szCs w:val="44"/>
          <w:highlight w:val="none"/>
          <w14:textFill>
            <w14:solidFill>
              <w14:schemeClr w14:val="tx1"/>
            </w14:solidFill>
          </w14:textFill>
        </w:rPr>
        <w:t>名词解释</w:t>
      </w:r>
      <w:bookmarkEnd w:id="59"/>
      <w:bookmarkEnd w:id="60"/>
    </w:p>
    <w:p>
      <w:pPr>
        <w:spacing w:line="600" w:lineRule="exact"/>
        <w:jc w:val="left"/>
        <w:rPr>
          <w:rFonts w:ascii="宋体"/>
          <w:b/>
          <w:color w:val="000000" w:themeColor="text1"/>
          <w:sz w:val="44"/>
          <w:szCs w:val="44"/>
          <w:highlight w:val="none"/>
          <w14:textFill>
            <w14:solidFill>
              <w14:schemeClr w14:val="tx1"/>
            </w14:solidFill>
          </w14:textFill>
        </w:rPr>
      </w:pPr>
    </w:p>
    <w:p>
      <w:pPr>
        <w:pStyle w:val="24"/>
        <w:keepNext w:val="0"/>
        <w:keepLines w:val="0"/>
        <w:pageBreakBefore w:val="0"/>
        <w:widowControl w:val="0"/>
        <w:kinsoku/>
        <w:wordWrap/>
        <w:overflowPunct/>
        <w:topLinePunct w:val="0"/>
        <w:bidi w:val="0"/>
        <w:snapToGrid/>
        <w:spacing w:line="60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bookmarkStart w:id="61" w:name="_Toc15396614"/>
      <w:bookmarkStart w:id="62" w:name="_Toc15377226"/>
      <w:r>
        <w:rPr>
          <w:rFonts w:ascii="仿宋_GB2312" w:hAnsi="仿宋_GB2312" w:eastAsia="仿宋_GB2312" w:cs="仿宋_GB2312"/>
          <w:color w:val="000000" w:themeColor="text1"/>
          <w:sz w:val="32"/>
          <w:szCs w:val="32"/>
          <w14:textFill>
            <w14:solidFill>
              <w14:schemeClr w14:val="tx1"/>
            </w14:solidFill>
          </w14:textFill>
        </w:rPr>
        <w:t>1.财政拨款收入：指单位从同级财政部门取得的财政预算资金。</w:t>
      </w:r>
    </w:p>
    <w:p>
      <w:pPr>
        <w:pStyle w:val="24"/>
        <w:keepNext w:val="0"/>
        <w:keepLines w:val="0"/>
        <w:pageBreakBefore w:val="0"/>
        <w:widowControl w:val="0"/>
        <w:kinsoku/>
        <w:wordWrap/>
        <w:overflowPunct/>
        <w:topLinePunct w:val="0"/>
        <w:bidi w:val="0"/>
        <w:snapToGrid/>
        <w:spacing w:line="60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2.事业收入：指事业单位开展专业业务活动及辅助活动取得的收入。</w:t>
      </w:r>
    </w:p>
    <w:p>
      <w:pPr>
        <w:pStyle w:val="24"/>
        <w:keepNext w:val="0"/>
        <w:keepLines w:val="0"/>
        <w:pageBreakBefore w:val="0"/>
        <w:widowControl w:val="0"/>
        <w:kinsoku/>
        <w:wordWrap/>
        <w:overflowPunct/>
        <w:topLinePunct w:val="0"/>
        <w:bidi w:val="0"/>
        <w:snapToGrid/>
        <w:spacing w:line="60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3.经营收入：指事业单位在专业业务活动及其辅助活动之外开展非独立核算经营活动取得的收入。</w:t>
      </w:r>
    </w:p>
    <w:p>
      <w:pPr>
        <w:pStyle w:val="24"/>
        <w:keepNext w:val="0"/>
        <w:keepLines w:val="0"/>
        <w:pageBreakBefore w:val="0"/>
        <w:widowControl w:val="0"/>
        <w:kinsoku/>
        <w:wordWrap/>
        <w:overflowPunct/>
        <w:topLinePunct w:val="0"/>
        <w:bidi w:val="0"/>
        <w:snapToGrid/>
        <w:spacing w:line="60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4.其他收入：指单位取得的除上述收入以外的各项收入。</w:t>
      </w:r>
    </w:p>
    <w:p>
      <w:pPr>
        <w:pStyle w:val="24"/>
        <w:keepNext w:val="0"/>
        <w:keepLines w:val="0"/>
        <w:pageBreakBefore w:val="0"/>
        <w:widowControl w:val="0"/>
        <w:kinsoku/>
        <w:wordWrap/>
        <w:overflowPunct/>
        <w:topLinePunct w:val="0"/>
        <w:bidi w:val="0"/>
        <w:snapToGrid/>
        <w:spacing w:line="60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5.使用非财政拨款结余：指事业单位使用以前年度积累的非财政拨款结余弥补当年收支差额的金额。</w:t>
      </w:r>
    </w:p>
    <w:p>
      <w:pPr>
        <w:pStyle w:val="24"/>
        <w:keepNext w:val="0"/>
        <w:keepLines w:val="0"/>
        <w:pageBreakBefore w:val="0"/>
        <w:widowControl w:val="0"/>
        <w:kinsoku/>
        <w:wordWrap/>
        <w:overflowPunct/>
        <w:topLinePunct w:val="0"/>
        <w:bidi w:val="0"/>
        <w:snapToGrid/>
        <w:spacing w:line="60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6.年初结转和结余：指以前年度尚未完成、结转到本年按有关规定继续使用的资金。</w:t>
      </w:r>
    </w:p>
    <w:p>
      <w:pPr>
        <w:pStyle w:val="24"/>
        <w:keepNext w:val="0"/>
        <w:keepLines w:val="0"/>
        <w:pageBreakBefore w:val="0"/>
        <w:widowControl w:val="0"/>
        <w:kinsoku/>
        <w:wordWrap/>
        <w:overflowPunct/>
        <w:topLinePunct w:val="0"/>
        <w:bidi w:val="0"/>
        <w:snapToGrid/>
        <w:spacing w:line="60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7.结余分配：指事业单位按照会计制度规定缴纳的所得税、提取的专用结余以及转入非财政拨款结余的金额等。</w:t>
      </w:r>
    </w:p>
    <w:p>
      <w:pPr>
        <w:pStyle w:val="24"/>
        <w:keepNext w:val="0"/>
        <w:keepLines w:val="0"/>
        <w:pageBreakBefore w:val="0"/>
        <w:widowControl w:val="0"/>
        <w:kinsoku/>
        <w:wordWrap/>
        <w:overflowPunct/>
        <w:topLinePunct w:val="0"/>
        <w:bidi w:val="0"/>
        <w:snapToGrid/>
        <w:spacing w:line="60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8.年末结转和结余：指单位按有关规定结转到下年或以后年度继续使用的资金。</w:t>
      </w:r>
    </w:p>
    <w:p>
      <w:pPr>
        <w:pStyle w:val="24"/>
        <w:keepNext w:val="0"/>
        <w:keepLines w:val="0"/>
        <w:pageBreakBefore w:val="0"/>
        <w:widowControl w:val="0"/>
        <w:kinsoku/>
        <w:wordWrap/>
        <w:overflowPunct/>
        <w:topLinePunct w:val="0"/>
        <w:bidi w:val="0"/>
        <w:snapToGrid/>
        <w:spacing w:line="600" w:lineRule="exact"/>
        <w:ind w:firstLine="640" w:firstLineChars="200"/>
        <w:jc w:val="both"/>
        <w:textAlignment w:val="auto"/>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9.一般公共服务（类）纪检监察事务（款）大案要案查处（项）:反映查处大要（专）案的支出。</w:t>
      </w:r>
    </w:p>
    <w:p>
      <w:pPr>
        <w:pStyle w:val="24"/>
        <w:keepNext w:val="0"/>
        <w:keepLines w:val="0"/>
        <w:pageBreakBefore w:val="0"/>
        <w:widowControl w:val="0"/>
        <w:kinsoku/>
        <w:wordWrap/>
        <w:overflowPunct/>
        <w:topLinePunct w:val="0"/>
        <w:bidi w:val="0"/>
        <w:snapToGrid/>
        <w:spacing w:line="600" w:lineRule="exact"/>
        <w:ind w:left="5" w:firstLine="635"/>
        <w:jc w:val="both"/>
        <w:textAlignment w:val="auto"/>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10.一般公共服务（类）市场监督管理事务（款）其他市场监督管理事务（项）:反映用于其他市场监督管理事务方面的支出。</w:t>
      </w:r>
    </w:p>
    <w:p>
      <w:pPr>
        <w:pStyle w:val="24"/>
        <w:keepNext w:val="0"/>
        <w:keepLines w:val="0"/>
        <w:pageBreakBefore w:val="0"/>
        <w:widowControl w:val="0"/>
        <w:kinsoku/>
        <w:wordWrap/>
        <w:overflowPunct/>
        <w:topLinePunct w:val="0"/>
        <w:bidi w:val="0"/>
        <w:snapToGrid/>
        <w:spacing w:line="600" w:lineRule="exact"/>
        <w:ind w:firstLine="640" w:firstLineChars="200"/>
        <w:jc w:val="both"/>
        <w:textAlignment w:val="auto"/>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11.公共安全支出（类）司法（款）行政运行（项）:反映</w:t>
      </w:r>
    </w:p>
    <w:p>
      <w:pPr>
        <w:pStyle w:val="24"/>
        <w:keepNext w:val="0"/>
        <w:keepLines w:val="0"/>
        <w:pageBreakBefore w:val="0"/>
        <w:widowControl w:val="0"/>
        <w:kinsoku/>
        <w:wordWrap/>
        <w:overflowPunct/>
        <w:topLinePunct w:val="0"/>
        <w:bidi w:val="0"/>
        <w:snapToGrid/>
        <w:spacing w:line="600" w:lineRule="exact"/>
        <w:jc w:val="both"/>
        <w:textAlignment w:val="auto"/>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行政单位（包括试行公务员管理的事业单位）的基本支出。</w:t>
      </w:r>
    </w:p>
    <w:p>
      <w:pPr>
        <w:keepNext w:val="0"/>
        <w:keepLines w:val="0"/>
        <w:pageBreakBefore w:val="0"/>
        <w:widowControl w:val="0"/>
        <w:kinsoku/>
        <w:wordWrap/>
        <w:overflowPunct/>
        <w:topLinePunct w:val="0"/>
        <w:bidi w:val="0"/>
        <w:snapToGrid/>
        <w:spacing w:line="600" w:lineRule="exact"/>
        <w:ind w:firstLine="640" w:firstLineChars="200"/>
        <w:jc w:val="both"/>
        <w:textAlignment w:val="auto"/>
        <w:rPr>
          <w:rFonts w:ascii="仿宋_GB2312" w:hAnsi="仿宋_GB2312" w:eastAsia="仿宋_GB2312" w:cs="仿宋"/>
          <w:color w:val="000000" w:themeColor="text1"/>
          <w:sz w:val="32"/>
          <w:szCs w:val="32"/>
          <w:lang w:bidi="ar-SA"/>
          <w14:textFill>
            <w14:solidFill>
              <w14:schemeClr w14:val="tx1"/>
            </w14:solidFill>
          </w14:textFill>
        </w:rPr>
      </w:pPr>
      <w:r>
        <w:rPr>
          <w:rFonts w:ascii="仿宋_GB2312" w:hAnsi="仿宋_GB2312" w:eastAsia="仿宋_GB2312" w:cs="仿宋"/>
          <w:color w:val="000000" w:themeColor="text1"/>
          <w:sz w:val="32"/>
          <w:szCs w:val="32"/>
          <w:lang w:bidi="ar-SA"/>
          <w14:textFill>
            <w14:solidFill>
              <w14:schemeClr w14:val="tx1"/>
            </w14:solidFill>
          </w14:textFill>
        </w:rPr>
        <w:t>12.公共安全支出（类）司法（款）一般行政管理事（项）:反映行政单位（包括试行公务员管理的事业单位）为单独设置顶级科目的其他项目支出。</w:t>
      </w:r>
    </w:p>
    <w:p>
      <w:pPr>
        <w:pStyle w:val="24"/>
        <w:keepNext w:val="0"/>
        <w:keepLines w:val="0"/>
        <w:pageBreakBefore w:val="0"/>
        <w:widowControl w:val="0"/>
        <w:kinsoku/>
        <w:wordWrap/>
        <w:overflowPunct/>
        <w:topLinePunct w:val="0"/>
        <w:bidi w:val="0"/>
        <w:snapToGrid/>
        <w:spacing w:line="600" w:lineRule="exact"/>
        <w:ind w:firstLine="640" w:firstLineChars="200"/>
        <w:jc w:val="both"/>
        <w:textAlignment w:val="auto"/>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13.公共安全支出（类）司法（款）机关服务（项）:反映行政单位（包括试行公务员管理的事业单位）提供后勤服务的各类后勤服务中心、医务室等附属事业单位的支出。</w:t>
      </w:r>
    </w:p>
    <w:p>
      <w:pPr>
        <w:pStyle w:val="24"/>
        <w:keepNext w:val="0"/>
        <w:keepLines w:val="0"/>
        <w:pageBreakBefore w:val="0"/>
        <w:widowControl w:val="0"/>
        <w:kinsoku/>
        <w:wordWrap/>
        <w:overflowPunct/>
        <w:topLinePunct w:val="0"/>
        <w:bidi w:val="0"/>
        <w:snapToGrid/>
        <w:spacing w:line="600" w:lineRule="exact"/>
        <w:ind w:firstLine="640" w:firstLineChars="200"/>
        <w:jc w:val="both"/>
        <w:textAlignment w:val="auto"/>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14.公共安全支出（类）司法（款）基层司法业务（项）:指各级司法行政部门用于基层业务的支出。</w:t>
      </w:r>
    </w:p>
    <w:p>
      <w:pPr>
        <w:pStyle w:val="24"/>
        <w:keepNext w:val="0"/>
        <w:keepLines w:val="0"/>
        <w:pageBreakBefore w:val="0"/>
        <w:widowControl w:val="0"/>
        <w:kinsoku/>
        <w:wordWrap/>
        <w:overflowPunct/>
        <w:topLinePunct w:val="0"/>
        <w:bidi w:val="0"/>
        <w:snapToGrid/>
        <w:spacing w:line="600" w:lineRule="exact"/>
        <w:ind w:firstLine="640" w:firstLineChars="200"/>
        <w:jc w:val="both"/>
        <w:textAlignment w:val="auto"/>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15.公共安全支出（类）司法（款）普法宣传（项）:指各级司法行政部门用于组织各种媒体的宣传、普法装备与设施、宣传资料、对外宣传、法制作品的审读评审等方面的支出。</w:t>
      </w:r>
    </w:p>
    <w:p>
      <w:pPr>
        <w:pStyle w:val="24"/>
        <w:keepNext w:val="0"/>
        <w:keepLines w:val="0"/>
        <w:pageBreakBefore w:val="0"/>
        <w:widowControl w:val="0"/>
        <w:kinsoku/>
        <w:wordWrap/>
        <w:overflowPunct/>
        <w:topLinePunct w:val="0"/>
        <w:bidi w:val="0"/>
        <w:snapToGrid/>
        <w:spacing w:line="600" w:lineRule="exact"/>
        <w:ind w:firstLine="640" w:firstLineChars="200"/>
        <w:jc w:val="both"/>
        <w:textAlignment w:val="auto"/>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16.公共安全支出（类）司法（款）法律援助（项）:指各级法律援助机构用于开展法律援助工作的支出。</w:t>
      </w:r>
    </w:p>
    <w:p>
      <w:pPr>
        <w:pStyle w:val="24"/>
        <w:keepNext w:val="0"/>
        <w:keepLines w:val="0"/>
        <w:pageBreakBefore w:val="0"/>
        <w:widowControl w:val="0"/>
        <w:kinsoku/>
        <w:wordWrap/>
        <w:overflowPunct/>
        <w:topLinePunct w:val="0"/>
        <w:bidi w:val="0"/>
        <w:snapToGrid/>
        <w:spacing w:line="600" w:lineRule="exact"/>
        <w:ind w:firstLine="640" w:firstLineChars="200"/>
        <w:jc w:val="both"/>
        <w:textAlignment w:val="auto"/>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17.公共安全支出（类）司法（款）国家统一法律资格考试（项）:指各级司法行政部门用于举办司法统一考试所需支出，包括报名组织费、命题费、试卷印刷费、阅卷费、考场租赁费等。</w:t>
      </w:r>
    </w:p>
    <w:p>
      <w:pPr>
        <w:pStyle w:val="24"/>
        <w:keepNext w:val="0"/>
        <w:keepLines w:val="0"/>
        <w:pageBreakBefore w:val="0"/>
        <w:widowControl w:val="0"/>
        <w:kinsoku/>
        <w:wordWrap/>
        <w:overflowPunct/>
        <w:topLinePunct w:val="0"/>
        <w:bidi w:val="0"/>
        <w:snapToGrid/>
        <w:spacing w:line="600" w:lineRule="exact"/>
        <w:ind w:firstLine="640" w:firstLineChars="200"/>
        <w:jc w:val="both"/>
        <w:textAlignment w:val="auto"/>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18.公共安全支出（类）司法（款）法制建设（项）:反映各级政府用于法制建设方面的支出。</w:t>
      </w:r>
    </w:p>
    <w:p>
      <w:pPr>
        <w:pStyle w:val="24"/>
        <w:keepNext w:val="0"/>
        <w:keepLines w:val="0"/>
        <w:pageBreakBefore w:val="0"/>
        <w:widowControl w:val="0"/>
        <w:kinsoku/>
        <w:wordWrap/>
        <w:overflowPunct/>
        <w:topLinePunct w:val="0"/>
        <w:bidi w:val="0"/>
        <w:snapToGrid/>
        <w:spacing w:line="600" w:lineRule="exact"/>
        <w:ind w:firstLine="640" w:firstLineChars="200"/>
        <w:jc w:val="both"/>
        <w:textAlignment w:val="auto"/>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1</w:t>
      </w:r>
      <w:r>
        <w:rPr>
          <w:rFonts w:hint="eastAsia" w:ascii="仿宋_GB2312" w:hAnsi="仿宋_GB2312" w:eastAsia="仿宋_GB2312"/>
          <w:color w:val="000000" w:themeColor="text1"/>
          <w:sz w:val="32"/>
          <w:szCs w:val="32"/>
          <w14:textFill>
            <w14:solidFill>
              <w14:schemeClr w14:val="tx1"/>
            </w14:solidFill>
          </w14:textFill>
        </w:rPr>
        <w:t>9</w:t>
      </w:r>
      <w:r>
        <w:rPr>
          <w:rFonts w:ascii="仿宋_GB2312" w:hAnsi="仿宋_GB2312" w:eastAsia="仿宋_GB2312"/>
          <w:color w:val="000000" w:themeColor="text1"/>
          <w:sz w:val="32"/>
          <w:szCs w:val="32"/>
          <w14:textFill>
            <w14:solidFill>
              <w14:schemeClr w14:val="tx1"/>
            </w14:solidFill>
          </w14:textFill>
        </w:rPr>
        <w:t>.公共安全支出（类）其他公共安全（款）其他公共安全（项）:反映用于其他方面公共安全支出。</w:t>
      </w:r>
    </w:p>
    <w:p>
      <w:pPr>
        <w:pStyle w:val="24"/>
        <w:keepNext w:val="0"/>
        <w:keepLines w:val="0"/>
        <w:pageBreakBefore w:val="0"/>
        <w:widowControl w:val="0"/>
        <w:kinsoku/>
        <w:wordWrap/>
        <w:overflowPunct/>
        <w:topLinePunct w:val="0"/>
        <w:bidi w:val="0"/>
        <w:snapToGrid/>
        <w:spacing w:line="600" w:lineRule="exact"/>
        <w:ind w:firstLine="640" w:firstLineChars="200"/>
        <w:jc w:val="both"/>
        <w:textAlignment w:val="auto"/>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20.教育支出（类）职业教育（款）高等职业教育（项）:指经国家批准设立的高等职业大学、专科职业教育等方面的支出。</w:t>
      </w:r>
    </w:p>
    <w:p>
      <w:pPr>
        <w:pStyle w:val="24"/>
        <w:keepNext w:val="0"/>
        <w:keepLines w:val="0"/>
        <w:pageBreakBefore w:val="0"/>
        <w:widowControl w:val="0"/>
        <w:kinsoku/>
        <w:wordWrap/>
        <w:overflowPunct/>
        <w:topLinePunct w:val="0"/>
        <w:bidi w:val="0"/>
        <w:snapToGrid/>
        <w:spacing w:line="600" w:lineRule="exact"/>
        <w:ind w:firstLine="640" w:firstLineChars="200"/>
        <w:jc w:val="both"/>
        <w:textAlignment w:val="auto"/>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21.社会保障和就业支出（类）行政事业单位离退休（款）未归口管理的行政事业单位离退休（项）: 指未实行归口管理的行政单位（包括实行公务员管理的事业单位）开支的离退休支出。</w:t>
      </w:r>
    </w:p>
    <w:p>
      <w:pPr>
        <w:pStyle w:val="24"/>
        <w:keepNext w:val="0"/>
        <w:keepLines w:val="0"/>
        <w:pageBreakBefore w:val="0"/>
        <w:widowControl w:val="0"/>
        <w:kinsoku/>
        <w:wordWrap/>
        <w:overflowPunct/>
        <w:topLinePunct w:val="0"/>
        <w:bidi w:val="0"/>
        <w:snapToGrid/>
        <w:spacing w:line="600" w:lineRule="exact"/>
        <w:ind w:firstLine="640" w:firstLineChars="200"/>
        <w:jc w:val="both"/>
        <w:textAlignment w:val="auto"/>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22.社会保障和就业支出（类）行政事业单位离退休（款）机关事业单位基本养老保险缴费支出（项）: 指机关事业单位实施养老保险制度由单位缴纳的基本养老保险支出。</w:t>
      </w:r>
    </w:p>
    <w:p>
      <w:pPr>
        <w:pStyle w:val="24"/>
        <w:keepNext w:val="0"/>
        <w:keepLines w:val="0"/>
        <w:pageBreakBefore w:val="0"/>
        <w:widowControl w:val="0"/>
        <w:kinsoku/>
        <w:wordWrap/>
        <w:overflowPunct/>
        <w:topLinePunct w:val="0"/>
        <w:bidi w:val="0"/>
        <w:snapToGrid/>
        <w:spacing w:line="600" w:lineRule="exact"/>
        <w:ind w:firstLine="640" w:firstLineChars="200"/>
        <w:jc w:val="both"/>
        <w:textAlignment w:val="auto"/>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23.社会保障和就业支出（类）行政事业单位离退休（款）机关事业单位职业年金缴费支出（项）: 反映机关事业单位实施年老保险制度由单位缴纳的职业年金支出。</w:t>
      </w:r>
    </w:p>
    <w:p>
      <w:pPr>
        <w:pStyle w:val="24"/>
        <w:keepNext w:val="0"/>
        <w:keepLines w:val="0"/>
        <w:pageBreakBefore w:val="0"/>
        <w:widowControl w:val="0"/>
        <w:kinsoku/>
        <w:wordWrap/>
        <w:overflowPunct/>
        <w:topLinePunct w:val="0"/>
        <w:bidi w:val="0"/>
        <w:snapToGrid/>
        <w:spacing w:line="600" w:lineRule="exact"/>
        <w:ind w:firstLine="640" w:firstLineChars="200"/>
        <w:jc w:val="both"/>
        <w:textAlignment w:val="auto"/>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24.社会保障和就业支出（类）抚恤（款）死亡抚恤（项）:指按规定用于烈士和牺牲、病故人员家属的一次性和定期抚恤金以及丧葬补助费。</w:t>
      </w:r>
    </w:p>
    <w:p>
      <w:pPr>
        <w:pStyle w:val="24"/>
        <w:keepNext w:val="0"/>
        <w:keepLines w:val="0"/>
        <w:pageBreakBefore w:val="0"/>
        <w:widowControl w:val="0"/>
        <w:kinsoku/>
        <w:wordWrap/>
        <w:overflowPunct/>
        <w:topLinePunct w:val="0"/>
        <w:bidi w:val="0"/>
        <w:snapToGrid/>
        <w:spacing w:line="600" w:lineRule="exact"/>
        <w:ind w:firstLine="640" w:firstLineChars="200"/>
        <w:jc w:val="both"/>
        <w:textAlignment w:val="auto"/>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25.社会保障和就业支出（类）其他社会保障和就业支出（款）其他社会保障和就业支出（项）: 指其他用于社会保障和就业方面的支出。</w:t>
      </w:r>
    </w:p>
    <w:p>
      <w:pPr>
        <w:pStyle w:val="24"/>
        <w:keepNext w:val="0"/>
        <w:keepLines w:val="0"/>
        <w:pageBreakBefore w:val="0"/>
        <w:widowControl w:val="0"/>
        <w:kinsoku/>
        <w:wordWrap/>
        <w:overflowPunct/>
        <w:topLinePunct w:val="0"/>
        <w:bidi w:val="0"/>
        <w:snapToGrid/>
        <w:spacing w:line="600" w:lineRule="exact"/>
        <w:ind w:firstLine="640" w:firstLineChars="200"/>
        <w:jc w:val="both"/>
        <w:textAlignment w:val="auto"/>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26.卫生健康支出（类）行政事业单位医疗（款）行政单位医疗（项）:指财政部门集中安排的行政单位基本医疗保险缴费经费，未参加医疗保险的行政单位的公费医疗经费，按国家规定享受离休人员、红军老战士待遇人员的医疗经费。</w:t>
      </w:r>
    </w:p>
    <w:p>
      <w:pPr>
        <w:pStyle w:val="24"/>
        <w:keepNext w:val="0"/>
        <w:keepLines w:val="0"/>
        <w:pageBreakBefore w:val="0"/>
        <w:widowControl w:val="0"/>
        <w:kinsoku/>
        <w:wordWrap/>
        <w:overflowPunct/>
        <w:topLinePunct w:val="0"/>
        <w:bidi w:val="0"/>
        <w:snapToGrid/>
        <w:spacing w:line="600" w:lineRule="exact"/>
        <w:ind w:firstLine="640" w:firstLineChars="200"/>
        <w:jc w:val="both"/>
        <w:textAlignment w:val="auto"/>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27.卫生健康支出（类）行政事业单位医疗（款）事业单位医疗（项）:指财政部门集中安排的事业单位基本医疗保险缴费经费，未参加医疗保险的事业单位的公费医疗经费，按国家规定享受离休人员待遇的医疗经费。</w:t>
      </w:r>
    </w:p>
    <w:p>
      <w:pPr>
        <w:pStyle w:val="24"/>
        <w:keepNext w:val="0"/>
        <w:keepLines w:val="0"/>
        <w:pageBreakBefore w:val="0"/>
        <w:widowControl w:val="0"/>
        <w:kinsoku/>
        <w:wordWrap/>
        <w:overflowPunct/>
        <w:topLinePunct w:val="0"/>
        <w:bidi w:val="0"/>
        <w:snapToGrid/>
        <w:spacing w:line="600" w:lineRule="exact"/>
        <w:ind w:firstLine="640" w:firstLineChars="200"/>
        <w:jc w:val="both"/>
        <w:textAlignment w:val="auto"/>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28.卫生健康支出（类）行政事业单位医疗（款）公务员医疗补助（项）:指财政部门集中安排的公务员补助经费。</w:t>
      </w:r>
    </w:p>
    <w:p>
      <w:pPr>
        <w:pStyle w:val="24"/>
        <w:keepNext w:val="0"/>
        <w:keepLines w:val="0"/>
        <w:pageBreakBefore w:val="0"/>
        <w:widowControl w:val="0"/>
        <w:kinsoku/>
        <w:wordWrap/>
        <w:overflowPunct/>
        <w:topLinePunct w:val="0"/>
        <w:bidi w:val="0"/>
        <w:snapToGrid/>
        <w:spacing w:line="600" w:lineRule="exact"/>
        <w:ind w:firstLine="640" w:firstLineChars="200"/>
        <w:jc w:val="both"/>
        <w:textAlignment w:val="auto"/>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29.住房保障支付（类）住房改革支出（款）住房公积金（项）:指行政事业单位按人力资源和社会保障部、财政部规定的基本工资和津补贴以及规定比例为职工缴纳的住房公积金。</w:t>
      </w:r>
    </w:p>
    <w:p>
      <w:pPr>
        <w:pStyle w:val="24"/>
        <w:keepNext w:val="0"/>
        <w:keepLines w:val="0"/>
        <w:pageBreakBefore w:val="0"/>
        <w:widowControl w:val="0"/>
        <w:kinsoku/>
        <w:wordWrap/>
        <w:overflowPunct/>
        <w:topLinePunct w:val="0"/>
        <w:bidi w:val="0"/>
        <w:snapToGrid/>
        <w:spacing w:line="600" w:lineRule="exact"/>
        <w:ind w:firstLine="640" w:firstLineChars="200"/>
        <w:jc w:val="both"/>
        <w:textAlignment w:val="auto"/>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30.住房保障支出（类）住房改革支出（款）购房补贴（项）:指按房改政策规定，行政事业单位向符合条件职工（含离退休人员）、军队（含武警）向转役复员离退休人员发放的用于购买住房的补贴。</w:t>
      </w:r>
    </w:p>
    <w:p>
      <w:pPr>
        <w:pStyle w:val="24"/>
        <w:keepNext w:val="0"/>
        <w:keepLines w:val="0"/>
        <w:pageBreakBefore w:val="0"/>
        <w:widowControl w:val="0"/>
        <w:kinsoku/>
        <w:wordWrap/>
        <w:overflowPunct/>
        <w:topLinePunct w:val="0"/>
        <w:bidi w:val="0"/>
        <w:snapToGrid/>
        <w:spacing w:line="600" w:lineRule="exact"/>
        <w:ind w:firstLine="640" w:firstLineChars="200"/>
        <w:jc w:val="both"/>
        <w:textAlignment w:val="auto"/>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31.灾害防治及应急管理支出（类）应急管理事务（款）其他应急管理事务（项）: 用于其他应急管理方面支出。</w:t>
      </w:r>
    </w:p>
    <w:p>
      <w:pPr>
        <w:pStyle w:val="24"/>
        <w:keepNext w:val="0"/>
        <w:keepLines w:val="0"/>
        <w:pageBreakBefore w:val="0"/>
        <w:widowControl w:val="0"/>
        <w:kinsoku/>
        <w:wordWrap/>
        <w:overflowPunct/>
        <w:topLinePunct w:val="0"/>
        <w:bidi w:val="0"/>
        <w:snapToGrid/>
        <w:spacing w:line="600" w:lineRule="exact"/>
        <w:ind w:firstLine="640" w:firstLineChars="200"/>
        <w:jc w:val="both"/>
        <w:textAlignment w:val="auto"/>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32.基本支出：指为保障机构正常运转、完成日常工作任务而发生的人员支出和公用支出。</w:t>
      </w:r>
    </w:p>
    <w:p>
      <w:pPr>
        <w:pStyle w:val="24"/>
        <w:keepNext w:val="0"/>
        <w:keepLines w:val="0"/>
        <w:pageBreakBefore w:val="0"/>
        <w:widowControl w:val="0"/>
        <w:kinsoku/>
        <w:wordWrap/>
        <w:overflowPunct/>
        <w:topLinePunct w:val="0"/>
        <w:bidi w:val="0"/>
        <w:snapToGrid/>
        <w:spacing w:line="600" w:lineRule="exact"/>
        <w:ind w:firstLine="640" w:firstLineChars="200"/>
        <w:jc w:val="both"/>
        <w:textAlignment w:val="auto"/>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 xml:space="preserve">33.项目支出：指在基本支出之外为完成特定行政任务和事业发展目标所发生的支出。 </w:t>
      </w:r>
    </w:p>
    <w:p>
      <w:pPr>
        <w:pStyle w:val="24"/>
        <w:keepNext w:val="0"/>
        <w:keepLines w:val="0"/>
        <w:pageBreakBefore w:val="0"/>
        <w:widowControl w:val="0"/>
        <w:kinsoku/>
        <w:wordWrap/>
        <w:overflowPunct/>
        <w:topLinePunct w:val="0"/>
        <w:bidi w:val="0"/>
        <w:snapToGrid/>
        <w:spacing w:line="600" w:lineRule="exact"/>
        <w:ind w:firstLine="640" w:firstLineChars="200"/>
        <w:jc w:val="both"/>
        <w:textAlignment w:val="auto"/>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34.经营支出：指事业单位在专业业务活动及其辅助活动之外开展非独立核算经营活动发生的支出。</w:t>
      </w:r>
    </w:p>
    <w:p>
      <w:pPr>
        <w:pStyle w:val="24"/>
        <w:keepNext w:val="0"/>
        <w:keepLines w:val="0"/>
        <w:pageBreakBefore w:val="0"/>
        <w:widowControl w:val="0"/>
        <w:kinsoku/>
        <w:wordWrap/>
        <w:overflowPunct/>
        <w:topLinePunct w:val="0"/>
        <w:bidi w:val="0"/>
        <w:snapToGrid/>
        <w:spacing w:line="600" w:lineRule="exact"/>
        <w:ind w:firstLine="640" w:firstLineChars="200"/>
        <w:jc w:val="both"/>
        <w:textAlignment w:val="auto"/>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35.“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4"/>
        <w:keepNext w:val="0"/>
        <w:keepLines w:val="0"/>
        <w:pageBreakBefore w:val="0"/>
        <w:widowControl w:val="0"/>
        <w:kinsoku/>
        <w:wordWrap/>
        <w:overflowPunct/>
        <w:topLinePunct w:val="0"/>
        <w:bidi w:val="0"/>
        <w:snapToGrid/>
        <w:spacing w:line="600" w:lineRule="exact"/>
        <w:ind w:firstLine="640" w:firstLineChars="200"/>
        <w:jc w:val="both"/>
        <w:textAlignment w:val="auto"/>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36.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4"/>
        <w:spacing w:line="560" w:lineRule="exact"/>
        <w:ind w:firstLine="640" w:firstLineChars="200"/>
        <w:jc w:val="both"/>
        <w:rPr>
          <w:rFonts w:ascii="仿宋_GB2312" w:hAnsi="仿宋_GB2312" w:eastAsia="仿宋_GB2312"/>
          <w:color w:val="000000" w:themeColor="text1"/>
          <w:sz w:val="32"/>
          <w:szCs w:val="32"/>
          <w14:textFill>
            <w14:solidFill>
              <w14:schemeClr w14:val="tx1"/>
            </w14:solidFill>
          </w14:textFill>
        </w:rPr>
      </w:pPr>
    </w:p>
    <w:p>
      <w:pPr>
        <w:pStyle w:val="24"/>
        <w:spacing w:line="560" w:lineRule="exact"/>
        <w:ind w:firstLine="640" w:firstLineChars="200"/>
        <w:jc w:val="both"/>
        <w:rPr>
          <w:rFonts w:ascii="仿宋_GB2312" w:hAnsi="仿宋_GB2312" w:eastAsia="仿宋_GB2312"/>
          <w:color w:val="000000" w:themeColor="text1"/>
          <w:sz w:val="32"/>
          <w:szCs w:val="32"/>
          <w14:textFill>
            <w14:solidFill>
              <w14:schemeClr w14:val="tx1"/>
            </w14:solidFill>
          </w14:textFill>
        </w:rPr>
      </w:pPr>
    </w:p>
    <w:p>
      <w:pPr>
        <w:pStyle w:val="24"/>
        <w:spacing w:line="560" w:lineRule="exact"/>
        <w:ind w:firstLine="640" w:firstLineChars="200"/>
        <w:jc w:val="both"/>
        <w:rPr>
          <w:rFonts w:ascii="仿宋_GB2312" w:hAnsi="仿宋_GB2312" w:eastAsia="仿宋_GB2312"/>
          <w:color w:val="000000" w:themeColor="text1"/>
          <w:sz w:val="32"/>
          <w:szCs w:val="32"/>
          <w14:textFill>
            <w14:solidFill>
              <w14:schemeClr w14:val="tx1"/>
            </w14:solidFill>
          </w14:textFill>
        </w:rPr>
      </w:pPr>
    </w:p>
    <w:p>
      <w:pPr>
        <w:pStyle w:val="24"/>
        <w:spacing w:line="560" w:lineRule="exact"/>
        <w:ind w:firstLine="640" w:firstLineChars="200"/>
        <w:jc w:val="both"/>
        <w:rPr>
          <w:rFonts w:ascii="仿宋_GB2312" w:hAnsi="仿宋_GB2312" w:eastAsia="仿宋_GB2312"/>
          <w:color w:val="000000" w:themeColor="text1"/>
          <w:sz w:val="32"/>
          <w:szCs w:val="32"/>
          <w14:textFill>
            <w14:solidFill>
              <w14:schemeClr w14:val="tx1"/>
            </w14:solidFill>
          </w14:textFill>
        </w:rPr>
      </w:pPr>
    </w:p>
    <w:p>
      <w:pPr>
        <w:pStyle w:val="24"/>
        <w:spacing w:line="560" w:lineRule="exact"/>
        <w:ind w:firstLine="640" w:firstLineChars="200"/>
        <w:jc w:val="both"/>
        <w:rPr>
          <w:rFonts w:ascii="仿宋_GB2312" w:hAnsi="仿宋_GB2312" w:eastAsia="仿宋_GB2312"/>
          <w:color w:val="000000" w:themeColor="text1"/>
          <w:sz w:val="32"/>
          <w:szCs w:val="32"/>
          <w14:textFill>
            <w14:solidFill>
              <w14:schemeClr w14:val="tx1"/>
            </w14:solidFill>
          </w14:textFill>
        </w:rPr>
      </w:pPr>
    </w:p>
    <w:p>
      <w:pPr>
        <w:pStyle w:val="24"/>
        <w:spacing w:line="560" w:lineRule="exact"/>
        <w:ind w:firstLine="640" w:firstLineChars="200"/>
        <w:jc w:val="both"/>
        <w:rPr>
          <w:rFonts w:ascii="仿宋_GB2312" w:hAnsi="仿宋_GB2312" w:eastAsia="仿宋_GB2312"/>
          <w:color w:val="000000" w:themeColor="text1"/>
          <w:sz w:val="32"/>
          <w:szCs w:val="32"/>
          <w14:textFill>
            <w14:solidFill>
              <w14:schemeClr w14:val="tx1"/>
            </w14:solidFill>
          </w14:textFill>
        </w:rPr>
      </w:pPr>
    </w:p>
    <w:p>
      <w:pPr>
        <w:pStyle w:val="24"/>
        <w:spacing w:line="560" w:lineRule="exact"/>
        <w:ind w:firstLine="640" w:firstLineChars="200"/>
        <w:jc w:val="both"/>
        <w:rPr>
          <w:rFonts w:ascii="仿宋_GB2312" w:hAnsi="仿宋_GB2312" w:eastAsia="仿宋_GB2312"/>
          <w:color w:val="000000" w:themeColor="text1"/>
          <w:sz w:val="32"/>
          <w:szCs w:val="32"/>
          <w14:textFill>
            <w14:solidFill>
              <w14:schemeClr w14:val="tx1"/>
            </w14:solidFill>
          </w14:textFill>
        </w:rPr>
      </w:pPr>
    </w:p>
    <w:p>
      <w:pPr>
        <w:pStyle w:val="24"/>
        <w:spacing w:line="560" w:lineRule="exact"/>
        <w:ind w:firstLine="640" w:firstLineChars="200"/>
        <w:jc w:val="both"/>
        <w:rPr>
          <w:rFonts w:ascii="仿宋_GB2312" w:hAnsi="仿宋_GB2312" w:eastAsia="仿宋_GB2312"/>
          <w:color w:val="000000" w:themeColor="text1"/>
          <w:sz w:val="32"/>
          <w:szCs w:val="32"/>
          <w14:textFill>
            <w14:solidFill>
              <w14:schemeClr w14:val="tx1"/>
            </w14:solidFill>
          </w14:textFill>
        </w:rPr>
      </w:pPr>
    </w:p>
    <w:p>
      <w:pPr>
        <w:pStyle w:val="24"/>
        <w:spacing w:line="560" w:lineRule="exact"/>
        <w:ind w:firstLine="640" w:firstLineChars="200"/>
        <w:jc w:val="both"/>
        <w:rPr>
          <w:rFonts w:ascii="仿宋_GB2312" w:hAnsi="仿宋_GB2312" w:eastAsia="仿宋_GB2312"/>
          <w:color w:val="000000" w:themeColor="text1"/>
          <w:sz w:val="32"/>
          <w:szCs w:val="32"/>
          <w14:textFill>
            <w14:solidFill>
              <w14:schemeClr w14:val="tx1"/>
            </w14:solidFill>
          </w14:textFill>
        </w:rPr>
      </w:pPr>
    </w:p>
    <w:p>
      <w:pPr>
        <w:pStyle w:val="24"/>
        <w:spacing w:line="560" w:lineRule="exact"/>
        <w:ind w:left="430"/>
        <w:jc w:val="both"/>
        <w:rPr>
          <w:rFonts w:ascii="仿宋_GB2312" w:hAnsi="仿宋_GB2312" w:eastAsia="仿宋_GB2312"/>
          <w:color w:val="000000" w:themeColor="text1"/>
          <w:sz w:val="32"/>
          <w:szCs w:val="32"/>
          <w14:textFill>
            <w14:solidFill>
              <w14:schemeClr w14:val="tx1"/>
            </w14:solidFill>
          </w14:textFill>
        </w:rPr>
      </w:pPr>
    </w:p>
    <w:bookmarkEnd w:id="61"/>
    <w:p>
      <w:pPr>
        <w:spacing w:line="600" w:lineRule="exact"/>
        <w:jc w:val="center"/>
        <w:outlineLvl w:val="0"/>
        <w:rPr>
          <w:rFonts w:hint="eastAsia" w:ascii="黑体" w:hAnsi="黑体" w:eastAsia="黑体"/>
          <w:b w:val="0"/>
          <w:color w:val="000000" w:themeColor="text1"/>
          <w:sz w:val="44"/>
          <w:szCs w:val="44"/>
          <w:highlight w:val="none"/>
          <w:lang w:eastAsia="zh-CN"/>
          <w14:textFill>
            <w14:solidFill>
              <w14:schemeClr w14:val="tx1"/>
            </w14:solidFill>
          </w14:textFill>
        </w:rPr>
      </w:pPr>
      <w:r>
        <w:rPr>
          <w:rStyle w:val="26"/>
          <w:rFonts w:ascii="黑体" w:hAnsi="黑体" w:eastAsia="黑体"/>
          <w:b w:val="0"/>
          <w:color w:val="000000" w:themeColor="text1"/>
          <w:highlight w:val="none"/>
          <w14:textFill>
            <w14:solidFill>
              <w14:schemeClr w14:val="tx1"/>
            </w14:solidFill>
          </w14:textFill>
        </w:rPr>
        <w:br w:type="page"/>
      </w:r>
      <w:r>
        <w:rPr>
          <w:rFonts w:hint="eastAsia" w:ascii="方正小标宋_GBK" w:hAnsi="方正小标宋_GBK" w:eastAsia="方正小标宋_GBK" w:cs="方正小标宋_GBK"/>
          <w:b w:val="0"/>
          <w:color w:val="000000" w:themeColor="text1"/>
          <w:sz w:val="44"/>
          <w:szCs w:val="44"/>
          <w:highlight w:val="none"/>
          <w14:textFill>
            <w14:solidFill>
              <w14:schemeClr w14:val="tx1"/>
            </w14:solidFill>
          </w14:textFill>
        </w:rPr>
        <w:t xml:space="preserve">第四部分 </w:t>
      </w:r>
      <w:r>
        <w:rPr>
          <w:rFonts w:hint="eastAsia" w:ascii="方正小标宋_GBK" w:hAnsi="方正小标宋_GBK" w:eastAsia="方正小标宋_GBK" w:cs="方正小标宋_GBK"/>
          <w:b w:val="0"/>
          <w:color w:val="000000" w:themeColor="text1"/>
          <w:sz w:val="44"/>
          <w:szCs w:val="44"/>
          <w:highlight w:val="none"/>
          <w:lang w:val="en-US" w:eastAsia="zh-CN"/>
          <w14:textFill>
            <w14:solidFill>
              <w14:schemeClr w14:val="tx1"/>
            </w14:solidFill>
          </w14:textFill>
        </w:rPr>
        <w:t xml:space="preserve"> </w:t>
      </w:r>
      <w:r>
        <w:rPr>
          <w:rFonts w:hint="eastAsia" w:ascii="方正小标宋_GBK" w:hAnsi="方正小标宋_GBK" w:eastAsia="方正小标宋_GBK" w:cs="方正小标宋_GBK"/>
          <w:b w:val="0"/>
          <w:color w:val="000000" w:themeColor="text1"/>
          <w:sz w:val="44"/>
          <w:szCs w:val="44"/>
          <w:highlight w:val="none"/>
          <w14:textFill>
            <w14:solidFill>
              <w14:schemeClr w14:val="tx1"/>
            </w14:solidFill>
          </w14:textFill>
        </w:rPr>
        <w:t>附件</w:t>
      </w:r>
    </w:p>
    <w:p>
      <w:pPr>
        <w:keepNext w:val="0"/>
        <w:keepLines w:val="0"/>
        <w:pageBreakBefore w:val="0"/>
        <w:widowControl w:val="0"/>
        <w:kinsoku/>
        <w:wordWrap/>
        <w:overflowPunct/>
        <w:topLinePunct w:val="0"/>
        <w:autoSpaceDE/>
        <w:autoSpaceDN/>
        <w:bidi w:val="0"/>
        <w:spacing w:line="560" w:lineRule="exact"/>
        <w:jc w:val="both"/>
        <w:textAlignment w:val="auto"/>
        <w:outlineLvl w:val="0"/>
        <w:rPr>
          <w:rFonts w:hint="eastAsia" w:ascii="黑体" w:hAnsi="黑体" w:eastAsia="黑体" w:cs="黑体"/>
          <w:b w:val="0"/>
          <w:bCs w:val="0"/>
          <w:i w:val="0"/>
          <w:iCs w:val="0"/>
          <w:color w:val="000000" w:themeColor="text1"/>
          <w:sz w:val="32"/>
          <w:szCs w:val="32"/>
          <w:highlight w:val="none"/>
          <w:u w:val="none"/>
          <w14:textFill>
            <w14:solidFill>
              <w14:schemeClr w14:val="tx1"/>
            </w14:solidFill>
          </w14:textFill>
        </w:rPr>
      </w:pPr>
      <w:r>
        <w:rPr>
          <w:rFonts w:hint="eastAsia" w:ascii="黑体" w:hAnsi="黑体" w:eastAsia="黑体" w:cs="黑体"/>
          <w:b w:val="0"/>
          <w:bCs w:val="0"/>
          <w:i w:val="0"/>
          <w:iCs w:val="0"/>
          <w:color w:val="000000" w:themeColor="text1"/>
          <w:sz w:val="32"/>
          <w:szCs w:val="32"/>
          <w:highlight w:val="none"/>
          <w:u w:val="none"/>
          <w14:textFill>
            <w14:solidFill>
              <w14:schemeClr w14:val="tx1"/>
            </w14:solidFill>
          </w14:textFill>
        </w:rPr>
        <w:t>附件</w:t>
      </w:r>
    </w:p>
    <w:p>
      <w:pPr>
        <w:keepNext w:val="0"/>
        <w:keepLines w:val="0"/>
        <w:pageBreakBefore w:val="0"/>
        <w:widowControl w:val="0"/>
        <w:kinsoku/>
        <w:wordWrap/>
        <w:overflowPunct/>
        <w:topLinePunct w:val="0"/>
        <w:autoSpaceDE/>
        <w:autoSpaceDN/>
        <w:bidi w:val="0"/>
        <w:spacing w:line="560" w:lineRule="exact"/>
        <w:textAlignment w:val="auto"/>
        <w:rPr>
          <w:rFonts w:hint="eastAsia"/>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_GBK" w:hAnsi="方正小标宋_GBK" w:eastAsia="方正小标宋_GBK" w:cs="方正小标宋_GBK"/>
          <w:b w:val="0"/>
          <w:bCs w:val="0"/>
          <w:i w:val="0"/>
          <w:iCs w:val="0"/>
          <w:color w:val="000000" w:themeColor="text1"/>
          <w:kern w:val="0"/>
          <w:sz w:val="44"/>
          <w:szCs w:val="44"/>
          <w:highlight w:val="none"/>
          <w:u w:val="none"/>
          <w:lang w:val="zh-CN"/>
          <w14:textFill>
            <w14:solidFill>
              <w14:schemeClr w14:val="tx1"/>
            </w14:solidFill>
          </w14:textFill>
        </w:rPr>
      </w:pPr>
      <w:r>
        <w:rPr>
          <w:rFonts w:hint="eastAsia" w:ascii="方正小标宋_GBK" w:hAnsi="方正小标宋_GBK" w:eastAsia="方正小标宋_GBK" w:cs="方正小标宋_GBK"/>
          <w:b w:val="0"/>
          <w:bCs w:val="0"/>
          <w:i w:val="0"/>
          <w:iCs w:val="0"/>
          <w:color w:val="000000" w:themeColor="text1"/>
          <w:kern w:val="0"/>
          <w:sz w:val="44"/>
          <w:szCs w:val="44"/>
          <w:highlight w:val="none"/>
          <w:u w:val="none"/>
          <w14:textFill>
            <w14:solidFill>
              <w14:schemeClr w14:val="tx1"/>
            </w14:solidFill>
          </w14:textFill>
        </w:rPr>
        <w:t>202</w:t>
      </w:r>
      <w:r>
        <w:rPr>
          <w:rFonts w:hint="eastAsia" w:ascii="方正小标宋_GBK" w:hAnsi="方正小标宋_GBK" w:eastAsia="方正小标宋_GBK" w:cs="方正小标宋_GBK"/>
          <w:b w:val="0"/>
          <w:bCs w:val="0"/>
          <w:i w:val="0"/>
          <w:iCs w:val="0"/>
          <w:color w:val="000000" w:themeColor="text1"/>
          <w:kern w:val="0"/>
          <w:sz w:val="44"/>
          <w:szCs w:val="44"/>
          <w:highlight w:val="none"/>
          <w:u w:val="none"/>
          <w:lang w:val="en-US" w:eastAsia="zh-CN"/>
          <w14:textFill>
            <w14:solidFill>
              <w14:schemeClr w14:val="tx1"/>
            </w14:solidFill>
          </w14:textFill>
        </w:rPr>
        <w:t>1</w:t>
      </w:r>
      <w:r>
        <w:rPr>
          <w:rFonts w:hint="eastAsia" w:ascii="方正小标宋_GBK" w:hAnsi="方正小标宋_GBK" w:eastAsia="方正小标宋_GBK" w:cs="方正小标宋_GBK"/>
          <w:b w:val="0"/>
          <w:bCs w:val="0"/>
          <w:i w:val="0"/>
          <w:iCs w:val="0"/>
          <w:color w:val="000000" w:themeColor="text1"/>
          <w:kern w:val="0"/>
          <w:sz w:val="44"/>
          <w:szCs w:val="44"/>
          <w:highlight w:val="none"/>
          <w:u w:val="none"/>
          <w14:textFill>
            <w14:solidFill>
              <w14:schemeClr w14:val="tx1"/>
            </w14:solidFill>
          </w14:textFill>
        </w:rPr>
        <w:t>年</w:t>
      </w:r>
      <w:r>
        <w:rPr>
          <w:rFonts w:hint="eastAsia" w:ascii="方正小标宋_GBK" w:hAnsi="方正小标宋_GBK" w:eastAsia="方正小标宋_GBK" w:cs="方正小标宋_GBK"/>
          <w:b w:val="0"/>
          <w:bCs w:val="0"/>
          <w:i w:val="0"/>
          <w:iCs w:val="0"/>
          <w:color w:val="000000" w:themeColor="text1"/>
          <w:kern w:val="0"/>
          <w:sz w:val="44"/>
          <w:szCs w:val="44"/>
          <w:highlight w:val="none"/>
          <w:u w:val="none"/>
          <w:lang w:eastAsia="zh-CN"/>
          <w14:textFill>
            <w14:solidFill>
              <w14:schemeClr w14:val="tx1"/>
            </w14:solidFill>
          </w14:textFill>
        </w:rPr>
        <w:t>四川省司法厅</w:t>
      </w:r>
      <w:r>
        <w:rPr>
          <w:rFonts w:hint="eastAsia" w:ascii="方正小标宋_GBK" w:hAnsi="方正小标宋_GBK" w:eastAsia="方正小标宋_GBK" w:cs="方正小标宋_GBK"/>
          <w:b w:val="0"/>
          <w:bCs w:val="0"/>
          <w:i w:val="0"/>
          <w:iCs w:val="0"/>
          <w:color w:val="000000" w:themeColor="text1"/>
          <w:kern w:val="0"/>
          <w:sz w:val="44"/>
          <w:szCs w:val="44"/>
          <w:highlight w:val="none"/>
          <w:u w:val="none"/>
          <w14:textFill>
            <w14:solidFill>
              <w14:schemeClr w14:val="tx1"/>
            </w14:solidFill>
          </w14:textFill>
        </w:rPr>
        <w:t>部门整体绩效评价报告</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contextualSpacing/>
        <w:jc w:val="both"/>
        <w:textAlignment w:val="auto"/>
        <w:rPr>
          <w:rFonts w:hint="eastAsia" w:ascii="仿宋_GB2312" w:hAnsi="仿宋_GB2312" w:eastAsia="仿宋_GB2312" w:cs="仿宋_GB2312"/>
          <w:b w:val="0"/>
          <w:bCs w:val="0"/>
          <w:i w:val="0"/>
          <w:iCs w:val="0"/>
          <w:color w:val="000000" w:themeColor="text1"/>
          <w:kern w:val="0"/>
          <w:sz w:val="32"/>
          <w:szCs w:val="32"/>
          <w:highlight w:val="none"/>
          <w:u w:val="none"/>
          <w:shd w:val="clear" w:color="auto" w:fill="FFFFFF"/>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contextualSpacing/>
        <w:jc w:val="both"/>
        <w:textAlignment w:val="auto"/>
        <w:rPr>
          <w:rFonts w:hint="eastAsia" w:ascii="黑体" w:hAnsi="黑体" w:eastAsia="黑体" w:cs="黑体"/>
          <w:b w:val="0"/>
          <w:bCs w:val="0"/>
          <w:i w:val="0"/>
          <w:iCs w:val="0"/>
          <w:color w:val="000000" w:themeColor="text1"/>
          <w:kern w:val="0"/>
          <w:sz w:val="32"/>
          <w:szCs w:val="32"/>
          <w:highlight w:val="none"/>
          <w:u w:val="none"/>
          <w:shd w:val="clear" w:color="auto" w:fill="FFFFFF"/>
          <w:lang w:val="zh-CN"/>
          <w14:textFill>
            <w14:solidFill>
              <w14:schemeClr w14:val="tx1"/>
            </w14:solidFill>
          </w14:textFill>
        </w:rPr>
      </w:pPr>
      <w:r>
        <w:rPr>
          <w:rFonts w:hint="eastAsia" w:ascii="黑体" w:hAnsi="黑体" w:eastAsia="黑体" w:cs="黑体"/>
          <w:b w:val="0"/>
          <w:bCs w:val="0"/>
          <w:i w:val="0"/>
          <w:iCs w:val="0"/>
          <w:color w:val="000000" w:themeColor="text1"/>
          <w:kern w:val="0"/>
          <w:sz w:val="32"/>
          <w:szCs w:val="32"/>
          <w:highlight w:val="none"/>
          <w:u w:val="none"/>
          <w:shd w:val="clear" w:color="auto" w:fill="FFFFFF"/>
          <w14:textFill>
            <w14:solidFill>
              <w14:schemeClr w14:val="tx1"/>
            </w14:solidFill>
          </w14:textFill>
        </w:rPr>
        <w:t>一、</w:t>
      </w:r>
      <w:r>
        <w:rPr>
          <w:rFonts w:hint="eastAsia" w:ascii="黑体" w:hAnsi="黑体" w:eastAsia="黑体" w:cs="黑体"/>
          <w:b w:val="0"/>
          <w:bCs w:val="0"/>
          <w:i w:val="0"/>
          <w:iCs w:val="0"/>
          <w:color w:val="000000" w:themeColor="text1"/>
          <w:kern w:val="0"/>
          <w:sz w:val="32"/>
          <w:szCs w:val="32"/>
          <w:highlight w:val="none"/>
          <w:u w:val="none"/>
          <w:shd w:val="clear" w:color="auto" w:fill="FFFFFF"/>
          <w:lang w:val="zh-CN"/>
          <w14:textFill>
            <w14:solidFill>
              <w14:schemeClr w14:val="tx1"/>
            </w14:solidFill>
          </w14:textFill>
        </w:rPr>
        <w:t>部门（单位）概况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contextualSpacing/>
        <w:jc w:val="both"/>
        <w:textAlignment w:val="auto"/>
        <w:rPr>
          <w:rFonts w:hint="eastAsia" w:ascii="楷体_GB2312" w:hAnsi="楷体_GB2312" w:eastAsia="楷体_GB2312" w:cs="楷体_GB2312"/>
          <w:b w:val="0"/>
          <w:bCs w:val="0"/>
          <w:i w:val="0"/>
          <w:iCs w:val="0"/>
          <w:color w:val="000000" w:themeColor="text1"/>
          <w:kern w:val="0"/>
          <w:sz w:val="32"/>
          <w:szCs w:val="32"/>
          <w:highlight w:val="none"/>
          <w:u w:val="none"/>
          <w:shd w:val="clear" w:color="auto" w:fill="FFFFFF"/>
          <w:lang w:val="zh-CN"/>
          <w14:textFill>
            <w14:solidFill>
              <w14:schemeClr w14:val="tx1"/>
            </w14:solidFill>
          </w14:textFill>
        </w:rPr>
      </w:pPr>
      <w:r>
        <w:rPr>
          <w:rFonts w:hint="eastAsia" w:ascii="楷体_GB2312" w:hAnsi="楷体_GB2312" w:eastAsia="楷体_GB2312" w:cs="楷体_GB2312"/>
          <w:b w:val="0"/>
          <w:bCs w:val="0"/>
          <w:i w:val="0"/>
          <w:iCs w:val="0"/>
          <w:color w:val="000000" w:themeColor="text1"/>
          <w:kern w:val="0"/>
          <w:sz w:val="32"/>
          <w:szCs w:val="32"/>
          <w:highlight w:val="none"/>
          <w:u w:val="none"/>
          <w:shd w:val="clear" w:color="auto" w:fill="FFFFFF"/>
          <w:lang w:val="zh-CN"/>
          <w14:textFill>
            <w14:solidFill>
              <w14:schemeClr w14:val="tx1"/>
            </w14:solidFill>
          </w14:textFill>
        </w:rPr>
        <w:t>（一）机构组成。</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contextualSpacing/>
        <w:jc w:val="both"/>
        <w:textAlignment w:val="auto"/>
        <w:rPr>
          <w:rFonts w:hint="eastAsia" w:ascii="仿宋_GB2312" w:hAnsi="仿宋_GB2312" w:eastAsia="仿宋_GB2312" w:cs="仿宋_GB2312"/>
          <w:b w:val="0"/>
          <w:bCs w:val="0"/>
          <w:i w:val="0"/>
          <w:iCs w:val="0"/>
          <w:color w:val="000000" w:themeColor="text1"/>
          <w:kern w:val="0"/>
          <w:sz w:val="32"/>
          <w:szCs w:val="32"/>
          <w:u w:val="none"/>
          <w:shd w:val="clear" w:color="auto" w:fill="FFFFFF"/>
          <w:lang w:val="zh-CN"/>
          <w14:textFill>
            <w14:solidFill>
              <w14:schemeClr w14:val="tx1"/>
            </w14:solidFill>
          </w14:textFill>
        </w:rPr>
      </w:pPr>
      <w:r>
        <w:rPr>
          <w:rFonts w:hint="eastAsia" w:ascii="仿宋_GB2312" w:hAnsi="仿宋_GB2312" w:eastAsia="仿宋_GB2312" w:cs="仿宋_GB2312"/>
          <w:b w:val="0"/>
          <w:bCs w:val="0"/>
          <w:i w:val="0"/>
          <w:iCs w:val="0"/>
          <w:color w:val="000000" w:themeColor="text1"/>
          <w:sz w:val="32"/>
          <w:szCs w:val="32"/>
          <w:u w:val="none"/>
          <w14:textFill>
            <w14:solidFill>
              <w14:schemeClr w14:val="tx1"/>
            </w14:solidFill>
          </w14:textFill>
        </w:rPr>
        <w:t>省司法厅下属二级预算单位4个，其中行政单位2个，参照公务员法管理的事业单位1个，其他事业单位1个。具体包括：四川省司法厅机关、四川司法警官职业学院、四川省法律援助中心、四川省司法厅机关服务中心。</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contextualSpacing/>
        <w:jc w:val="both"/>
        <w:textAlignment w:val="auto"/>
        <w:rPr>
          <w:rFonts w:hint="eastAsia" w:ascii="楷体_GB2312" w:hAnsi="楷体_GB2312" w:eastAsia="楷体_GB2312" w:cs="楷体_GB2312"/>
          <w:b w:val="0"/>
          <w:bCs w:val="0"/>
          <w:i w:val="0"/>
          <w:iCs w:val="0"/>
          <w:color w:val="000000" w:themeColor="text1"/>
          <w:kern w:val="0"/>
          <w:sz w:val="32"/>
          <w:szCs w:val="32"/>
          <w:highlight w:val="none"/>
          <w:u w:val="none"/>
          <w:shd w:val="clear" w:color="auto" w:fill="FFFFFF"/>
          <w:lang w:val="zh-CN"/>
          <w14:textFill>
            <w14:solidFill>
              <w14:schemeClr w14:val="tx1"/>
            </w14:solidFill>
          </w14:textFill>
        </w:rPr>
      </w:pPr>
      <w:r>
        <w:rPr>
          <w:rFonts w:hint="eastAsia" w:ascii="楷体_GB2312" w:hAnsi="楷体_GB2312" w:eastAsia="楷体_GB2312" w:cs="楷体_GB2312"/>
          <w:b w:val="0"/>
          <w:bCs w:val="0"/>
          <w:i w:val="0"/>
          <w:iCs w:val="0"/>
          <w:color w:val="000000" w:themeColor="text1"/>
          <w:kern w:val="0"/>
          <w:sz w:val="32"/>
          <w:szCs w:val="32"/>
          <w:highlight w:val="none"/>
          <w:u w:val="none"/>
          <w:shd w:val="clear" w:color="auto" w:fill="FFFFFF"/>
          <w:lang w:val="zh-CN"/>
          <w14:textFill>
            <w14:solidFill>
              <w14:schemeClr w14:val="tx1"/>
            </w14:solidFill>
          </w14:textFill>
        </w:rPr>
        <w:t>（二）机构职能。</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contextualSpacing/>
        <w:jc w:val="both"/>
        <w:textAlignment w:val="auto"/>
        <w:rPr>
          <w:rFonts w:hint="eastAsia" w:ascii="仿宋_GB2312" w:hAnsi="仿宋_GB2312" w:eastAsia="仿宋_GB2312" w:cs="仿宋_GB2312"/>
          <w:b w:val="0"/>
          <w:bCs w:val="0"/>
          <w:i w:val="0"/>
          <w:iCs w:val="0"/>
          <w:color w:val="000000" w:themeColor="text1"/>
          <w:sz w:val="32"/>
          <w:szCs w:val="32"/>
          <w:u w:val="none"/>
          <w:lang w:val="zh-CN"/>
          <w14:textFill>
            <w14:solidFill>
              <w14:schemeClr w14:val="tx1"/>
            </w14:solidFill>
          </w14:textFill>
        </w:rPr>
      </w:pPr>
      <w:r>
        <w:rPr>
          <w:rFonts w:hint="eastAsia" w:ascii="仿宋_GB2312" w:hAnsi="仿宋_GB2312" w:eastAsia="仿宋_GB2312" w:cs="仿宋_GB2312"/>
          <w:b w:val="0"/>
          <w:bCs w:val="0"/>
          <w:i w:val="0"/>
          <w:iCs w:val="0"/>
          <w:color w:val="000000" w:themeColor="text1"/>
          <w:sz w:val="32"/>
          <w:szCs w:val="32"/>
          <w:u w:val="none"/>
          <w14:textFill>
            <w14:solidFill>
              <w14:schemeClr w14:val="tx1"/>
            </w14:solidFill>
          </w14:textFill>
        </w:rPr>
        <w:t>省司法厅是主管全省司法行政工作的省政府组成部门,负责贯彻落实党中央关于全面依法治国的方针政策和省委的决策部署,在履行职责过程中坚持和加强党对全面依法治国工作的集中统一领导。其主要工作包括：承担全面依法治国、依法治省重大问题的政策研究，协调有关方面提出全面依法治省规划建议，负责有关重大决策部署督察工作；承担统筹规划立法工作的责任。协调有关方面提出立法规划和年度立法工作计划的建议，负责跟踪了解各部门对立法工作计划的落实情况，加强组织实施和督促指导，研究提出立法与改革决策相衔接的意见、措施。负责面向社会征集地方性法规、规章制定项目建议；负责起草或者组织起草地方性法规、省政府规章草案。负责省政府各部门报送省政府的地方性法规、规章草案的审查工作。负责立法协调；承担省政府规章的解释、立法后评估工作。负责协调各地、各部门实施法律、法规、规章中的有关争议和问题。承办省政府规章的清理、编纂、翻译工作。承办省政府规章报送备案工作。负责市（州）政府规章备案审查工作；负责省政府规范性文件、重大行政决策发布前的合法性审查。承办省政府规范性文件的报送备案工作。负责各市（州）政府和省政府各部门规范性文件报送省政府的备案审查工作。组织开展规范性文件清理；承担统筹推进法治政府建设的责任。指导监督省政府各部门、省以下各级政府依法行政工作。负责综合协调、监督检查行政执法，承担推进行政执法体制改革有关工作，推进严格规范公正文明执法。指导监督全省行政复议、行政应诉和行政赔偿工作，承办向省政府申请的行政复议、行政赔偿案件，代理省政府行政应诉案件；承担统筹规划法治社会建设的责任。负责拟订法治宣传教育规划，组织实施普法宣传工作，组织对外法治宣传。推动人民参与和促进法治建设。指导依法治理和法治创建工作。指导调解工作。负责并指导人民监督员的选任管理工作。指导人民陪审员选任工作。推进司法所建设。将安全生产、职业健康法律法规纳入公民普法教育重要内容并会同有关部门开展宣传普及，做好职责范围内的安全生产工作；负责全省监狱管理工作。负责监狱系统党的建设、党风廉政建设和领导班子建设，指导监督刑罚执行、罪犯改造的工作。指导管理社区矫正工作。指导刑满释放人员帮教安置工作；负责全省司法行政戒毒管理工作。负责司法行政戒毒系统党的建设、党风廉政建设和领导班子建设。指导监督本系统强制隔离戒毒执行和戒毒康复工作。对社区戒毒和社区康复工作提供指导、支持和协助；负责拟订全省公共法律服务体系建设规划并指导实施，统筹和布局全省城乡、区域法律服务资源。指导监督律师、法律援助、司法鉴定、公证、仲裁和基层法律服务管理工作；负责全省国家统一法律职业资格考试的组织实施工作。负责全省国家统一法律职业资格管理工作。负责规划和指导法律职业人员入职前培训工作；负责本系统枪支、弹药、服装和警车管理工作。指导监督本系统财务、装备、设施、场所等保障工作。指导监督监狱系统、司法行政戒毒系统和四川司法警官职业学院的计划财务工作。负责监狱系统、司法行政戒毒系统、四川司法警官职业学院及厅直属单位内部审计工作；规划、协调、指导法治人才队伍建设相关工作，指导监督本系统队伍建设。负责本系统人民警察警务管理和警务督察工作。负责四川司法警官职业学院领导班子建设，协助市（州）管理司法局领导干部；负责并指导本系统行政</w:t>
      </w:r>
      <w:r>
        <w:rPr>
          <w:rFonts w:hint="eastAsia" w:ascii="仿宋_GB2312" w:hAnsi="仿宋_GB2312" w:eastAsia="仿宋_GB2312" w:cs="仿宋_GB2312"/>
          <w:b w:val="0"/>
          <w:bCs w:val="0"/>
          <w:i w:val="0"/>
          <w:iCs w:val="0"/>
          <w:color w:val="000000" w:themeColor="text1"/>
          <w:spacing w:val="-6"/>
          <w:sz w:val="32"/>
          <w:szCs w:val="32"/>
          <w:u w:val="none"/>
          <w14:textFill>
            <w14:solidFill>
              <w14:schemeClr w14:val="tx1"/>
            </w14:solidFill>
          </w14:textFill>
        </w:rPr>
        <w:t>审批工作。负责全省外来企业投诉处理和民营企业法律服务工作。</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contextualSpacing/>
        <w:jc w:val="both"/>
        <w:textAlignment w:val="auto"/>
        <w:rPr>
          <w:rFonts w:hint="eastAsia" w:ascii="楷体_GB2312" w:hAnsi="楷体_GB2312" w:eastAsia="楷体_GB2312" w:cs="楷体_GB2312"/>
          <w:b w:val="0"/>
          <w:bCs w:val="0"/>
          <w:i w:val="0"/>
          <w:iCs w:val="0"/>
          <w:color w:val="000000" w:themeColor="text1"/>
          <w:kern w:val="0"/>
          <w:sz w:val="32"/>
          <w:szCs w:val="32"/>
          <w:highlight w:val="none"/>
          <w:u w:val="none"/>
          <w:shd w:val="clear" w:color="auto" w:fill="FFFFFF"/>
          <w:lang w:val="zh-CN"/>
          <w14:textFill>
            <w14:solidFill>
              <w14:schemeClr w14:val="tx1"/>
            </w14:solidFill>
          </w14:textFill>
        </w:rPr>
      </w:pPr>
      <w:r>
        <w:rPr>
          <w:rFonts w:hint="eastAsia" w:ascii="楷体_GB2312" w:hAnsi="楷体_GB2312" w:eastAsia="楷体_GB2312" w:cs="楷体_GB2312"/>
          <w:b w:val="0"/>
          <w:bCs w:val="0"/>
          <w:i w:val="0"/>
          <w:iCs w:val="0"/>
          <w:color w:val="000000" w:themeColor="text1"/>
          <w:kern w:val="0"/>
          <w:sz w:val="32"/>
          <w:szCs w:val="32"/>
          <w:highlight w:val="none"/>
          <w:u w:val="none"/>
          <w:shd w:val="clear" w:color="auto" w:fill="FFFFFF"/>
          <w:lang w:val="zh-CN"/>
          <w14:textFill>
            <w14:solidFill>
              <w14:schemeClr w14:val="tx1"/>
            </w14:solidFill>
          </w14:textFill>
        </w:rPr>
        <w:t>（三）人员概况。</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contextualSpacing/>
        <w:jc w:val="both"/>
        <w:textAlignment w:val="auto"/>
        <w:rPr>
          <w:rFonts w:hint="eastAsia" w:ascii="仿宋_GB2312" w:hAnsi="仿宋_GB2312" w:eastAsia="仿宋_GB2312" w:cs="仿宋_GB2312"/>
          <w:b w:val="0"/>
          <w:bCs w:val="0"/>
          <w:i w:val="0"/>
          <w:iCs w:val="0"/>
          <w:color w:val="000000" w:themeColor="text1"/>
          <w:sz w:val="32"/>
          <w:szCs w:val="32"/>
          <w:u w:val="none"/>
          <w:lang w:val="zh-CN"/>
          <w14:textFill>
            <w14:solidFill>
              <w14:schemeClr w14:val="tx1"/>
            </w14:solidFill>
          </w14:textFill>
        </w:rPr>
      </w:pPr>
      <w:r>
        <w:rPr>
          <w:rFonts w:hint="eastAsia" w:ascii="仿宋_GB2312" w:hAnsi="仿宋_GB2312" w:eastAsia="仿宋_GB2312" w:cs="仿宋_GB2312"/>
          <w:b w:val="0"/>
          <w:bCs w:val="0"/>
          <w:i w:val="0"/>
          <w:iCs w:val="0"/>
          <w:color w:val="000000" w:themeColor="text1"/>
          <w:sz w:val="32"/>
          <w:szCs w:val="32"/>
          <w:u w:val="none"/>
          <w14:textFill>
            <w14:solidFill>
              <w14:schemeClr w14:val="tx1"/>
            </w14:solidFill>
          </w14:textFill>
        </w:rPr>
        <w:t>四川省司法厅及</w:t>
      </w:r>
      <w:r>
        <w:rPr>
          <w:rFonts w:hint="eastAsia" w:ascii="仿宋_GB2312" w:hAnsi="仿宋_GB2312" w:eastAsia="仿宋_GB2312" w:cs="仿宋_GB2312"/>
          <w:b w:val="0"/>
          <w:bCs w:val="0"/>
          <w:i w:val="0"/>
          <w:iCs w:val="0"/>
          <w:color w:val="000000" w:themeColor="text1"/>
          <w:sz w:val="32"/>
          <w:szCs w:val="32"/>
          <w:u w:val="none"/>
          <w:lang w:eastAsia="zh-CN"/>
          <w14:textFill>
            <w14:solidFill>
              <w14:schemeClr w14:val="tx1"/>
            </w14:solidFill>
          </w14:textFill>
        </w:rPr>
        <w:t>二级预算</w:t>
      </w:r>
      <w:r>
        <w:rPr>
          <w:rFonts w:hint="eastAsia" w:ascii="仿宋_GB2312" w:hAnsi="仿宋_GB2312" w:eastAsia="仿宋_GB2312" w:cs="仿宋_GB2312"/>
          <w:b w:val="0"/>
          <w:bCs w:val="0"/>
          <w:i w:val="0"/>
          <w:iCs w:val="0"/>
          <w:color w:val="000000" w:themeColor="text1"/>
          <w:sz w:val="32"/>
          <w:szCs w:val="32"/>
          <w:u w:val="none"/>
          <w14:textFill>
            <w14:solidFill>
              <w14:schemeClr w14:val="tx1"/>
            </w14:solidFill>
          </w14:textFill>
        </w:rPr>
        <w:t>单位核定编制</w:t>
      </w:r>
      <w:r>
        <w:rPr>
          <w:rFonts w:hint="eastAsia"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t>521</w:t>
      </w:r>
      <w:r>
        <w:rPr>
          <w:rFonts w:hint="eastAsia" w:ascii="仿宋_GB2312" w:hAnsi="仿宋_GB2312" w:eastAsia="仿宋_GB2312" w:cs="仿宋_GB2312"/>
          <w:b w:val="0"/>
          <w:bCs w:val="0"/>
          <w:i w:val="0"/>
          <w:iCs w:val="0"/>
          <w:color w:val="000000" w:themeColor="text1"/>
          <w:sz w:val="32"/>
          <w:szCs w:val="32"/>
          <w:u w:val="none"/>
          <w14:textFill>
            <w14:solidFill>
              <w14:schemeClr w14:val="tx1"/>
            </w14:solidFill>
          </w14:textFill>
        </w:rPr>
        <w:t>人，其中行政编制</w:t>
      </w:r>
      <w:r>
        <w:rPr>
          <w:rFonts w:hint="eastAsia"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t>481</w:t>
      </w:r>
      <w:r>
        <w:rPr>
          <w:rFonts w:hint="eastAsia" w:ascii="仿宋_GB2312" w:hAnsi="仿宋_GB2312" w:eastAsia="仿宋_GB2312" w:cs="仿宋_GB2312"/>
          <w:b w:val="0"/>
          <w:bCs w:val="0"/>
          <w:i w:val="0"/>
          <w:iCs w:val="0"/>
          <w:color w:val="000000" w:themeColor="text1"/>
          <w:sz w:val="32"/>
          <w:szCs w:val="32"/>
          <w:u w:val="none"/>
          <w14:textFill>
            <w14:solidFill>
              <w14:schemeClr w14:val="tx1"/>
            </w14:solidFill>
          </w14:textFill>
        </w:rPr>
        <w:t>人、事业编制</w:t>
      </w:r>
      <w:r>
        <w:rPr>
          <w:rFonts w:hint="eastAsia"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t>40</w:t>
      </w:r>
      <w:r>
        <w:rPr>
          <w:rFonts w:hint="eastAsia" w:ascii="仿宋_GB2312" w:hAnsi="仿宋_GB2312" w:eastAsia="仿宋_GB2312" w:cs="仿宋_GB2312"/>
          <w:b w:val="0"/>
          <w:bCs w:val="0"/>
          <w:i w:val="0"/>
          <w:iCs w:val="0"/>
          <w:color w:val="000000" w:themeColor="text1"/>
          <w:sz w:val="32"/>
          <w:szCs w:val="32"/>
          <w:u w:val="none"/>
          <w14:textFill>
            <w14:solidFill>
              <w14:schemeClr w14:val="tx1"/>
            </w14:solidFill>
          </w14:textFill>
        </w:rPr>
        <w:t>人</w:t>
      </w:r>
      <w:r>
        <w:rPr>
          <w:rFonts w:hint="eastAsia" w:ascii="仿宋_GB2312" w:hAnsi="仿宋_GB2312" w:eastAsia="仿宋_GB2312" w:cs="仿宋_GB2312"/>
          <w:b w:val="0"/>
          <w:bCs w:val="0"/>
          <w:i w:val="0"/>
          <w:iCs w:val="0"/>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t>2021</w:t>
      </w:r>
      <w:r>
        <w:rPr>
          <w:rFonts w:hint="eastAsia" w:ascii="仿宋_GB2312" w:hAnsi="仿宋_GB2312" w:eastAsia="仿宋_GB2312" w:cs="仿宋_GB2312"/>
          <w:b w:val="0"/>
          <w:bCs w:val="0"/>
          <w:i w:val="0"/>
          <w:iCs w:val="0"/>
          <w:color w:val="000000" w:themeColor="text1"/>
          <w:sz w:val="32"/>
          <w:szCs w:val="32"/>
          <w:u w:val="none"/>
          <w14:textFill>
            <w14:solidFill>
              <w14:schemeClr w14:val="tx1"/>
            </w14:solidFill>
          </w14:textFill>
        </w:rPr>
        <w:t>年末实有</w:t>
      </w:r>
      <w:r>
        <w:rPr>
          <w:rFonts w:hint="eastAsia" w:ascii="仿宋_GB2312" w:hAnsi="仿宋_GB2312" w:eastAsia="仿宋_GB2312" w:cs="仿宋_GB2312"/>
          <w:b w:val="0"/>
          <w:bCs w:val="0"/>
          <w:i w:val="0"/>
          <w:iCs w:val="0"/>
          <w:color w:val="000000" w:themeColor="text1"/>
          <w:sz w:val="32"/>
          <w:szCs w:val="32"/>
          <w:u w:val="none"/>
          <w:lang w:eastAsia="zh-CN"/>
          <w14:textFill>
            <w14:solidFill>
              <w14:schemeClr w14:val="tx1"/>
            </w14:solidFill>
          </w14:textFill>
        </w:rPr>
        <w:t>人员</w:t>
      </w:r>
      <w:r>
        <w:rPr>
          <w:rFonts w:hint="eastAsia"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t>445人，其中</w:t>
      </w:r>
      <w:r>
        <w:rPr>
          <w:rFonts w:hint="eastAsia" w:ascii="仿宋_GB2312" w:hAnsi="仿宋_GB2312" w:eastAsia="仿宋_GB2312" w:cs="仿宋_GB2312"/>
          <w:b w:val="0"/>
          <w:bCs w:val="0"/>
          <w:i w:val="0"/>
          <w:iCs w:val="0"/>
          <w:color w:val="000000" w:themeColor="text1"/>
          <w:sz w:val="32"/>
          <w:szCs w:val="32"/>
          <w:u w:val="none"/>
          <w14:textFill>
            <w14:solidFill>
              <w14:schemeClr w14:val="tx1"/>
            </w14:solidFill>
          </w14:textFill>
        </w:rPr>
        <w:t>在职行政人员</w:t>
      </w:r>
      <w:r>
        <w:rPr>
          <w:rFonts w:hint="eastAsia"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t>424</w:t>
      </w:r>
      <w:r>
        <w:rPr>
          <w:rFonts w:hint="eastAsia" w:ascii="仿宋_GB2312" w:hAnsi="仿宋_GB2312" w:eastAsia="仿宋_GB2312" w:cs="仿宋_GB2312"/>
          <w:b w:val="0"/>
          <w:bCs w:val="0"/>
          <w:i w:val="0"/>
          <w:iCs w:val="0"/>
          <w:color w:val="000000" w:themeColor="text1"/>
          <w:sz w:val="32"/>
          <w:szCs w:val="32"/>
          <w:u w:val="none"/>
          <w14:textFill>
            <w14:solidFill>
              <w14:schemeClr w14:val="tx1"/>
            </w14:solidFill>
          </w14:textFill>
        </w:rPr>
        <w:t>人、</w:t>
      </w:r>
      <w:r>
        <w:rPr>
          <w:rFonts w:hint="eastAsia" w:ascii="仿宋_GB2312" w:hAnsi="仿宋_GB2312" w:eastAsia="仿宋_GB2312" w:cs="仿宋_GB2312"/>
          <w:b w:val="0"/>
          <w:bCs w:val="0"/>
          <w:i w:val="0"/>
          <w:iCs w:val="0"/>
          <w:color w:val="000000" w:themeColor="text1"/>
          <w:sz w:val="32"/>
          <w:szCs w:val="32"/>
          <w:u w:val="none"/>
          <w:lang w:eastAsia="zh-CN"/>
          <w14:textFill>
            <w14:solidFill>
              <w14:schemeClr w14:val="tx1"/>
            </w14:solidFill>
          </w14:textFill>
        </w:rPr>
        <w:t>在职</w:t>
      </w:r>
      <w:r>
        <w:rPr>
          <w:rFonts w:hint="eastAsia" w:ascii="仿宋_GB2312" w:hAnsi="仿宋_GB2312" w:eastAsia="仿宋_GB2312" w:cs="仿宋_GB2312"/>
          <w:b w:val="0"/>
          <w:bCs w:val="0"/>
          <w:i w:val="0"/>
          <w:iCs w:val="0"/>
          <w:color w:val="000000" w:themeColor="text1"/>
          <w:sz w:val="32"/>
          <w:szCs w:val="32"/>
          <w:u w:val="none"/>
          <w14:textFill>
            <w14:solidFill>
              <w14:schemeClr w14:val="tx1"/>
            </w14:solidFill>
          </w14:textFill>
        </w:rPr>
        <w:t>事业人员</w:t>
      </w:r>
      <w:r>
        <w:rPr>
          <w:rFonts w:hint="eastAsia"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t>21</w:t>
      </w:r>
      <w:r>
        <w:rPr>
          <w:rFonts w:hint="eastAsia" w:ascii="仿宋_GB2312" w:hAnsi="仿宋_GB2312" w:eastAsia="仿宋_GB2312" w:cs="仿宋_GB2312"/>
          <w:b w:val="0"/>
          <w:bCs w:val="0"/>
          <w:i w:val="0"/>
          <w:iCs w:val="0"/>
          <w:color w:val="000000" w:themeColor="text1"/>
          <w:sz w:val="32"/>
          <w:szCs w:val="32"/>
          <w:u w:val="none"/>
          <w14:textFill>
            <w14:solidFill>
              <w14:schemeClr w14:val="tx1"/>
            </w14:solidFill>
          </w14:textFill>
        </w:rPr>
        <w:t>人</w:t>
      </w:r>
      <w:r>
        <w:rPr>
          <w:rFonts w:hint="eastAsia" w:ascii="仿宋_GB2312" w:hAnsi="仿宋_GB2312" w:eastAsia="仿宋_GB2312" w:cs="仿宋_GB2312"/>
          <w:b w:val="0"/>
          <w:bCs w:val="0"/>
          <w:i w:val="0"/>
          <w:iCs w:val="0"/>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b w:val="0"/>
          <w:bCs w:val="0"/>
          <w:i w:val="0"/>
          <w:iCs w:val="0"/>
          <w:color w:val="000000" w:themeColor="text1"/>
          <w:sz w:val="32"/>
          <w:szCs w:val="32"/>
          <w:u w:val="none"/>
          <w14:textFill>
            <w14:solidFill>
              <w14:schemeClr w14:val="tx1"/>
            </w14:solidFill>
          </w14:textFill>
        </w:rPr>
        <w:t>离休人员</w:t>
      </w:r>
      <w:r>
        <w:rPr>
          <w:rFonts w:hint="eastAsia"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t>11</w:t>
      </w:r>
      <w:r>
        <w:rPr>
          <w:rFonts w:hint="eastAsia" w:ascii="仿宋_GB2312" w:hAnsi="仿宋_GB2312" w:eastAsia="仿宋_GB2312" w:cs="仿宋_GB2312"/>
          <w:b w:val="0"/>
          <w:bCs w:val="0"/>
          <w:i w:val="0"/>
          <w:iCs w:val="0"/>
          <w:color w:val="000000" w:themeColor="text1"/>
          <w:sz w:val="32"/>
          <w:szCs w:val="32"/>
          <w:u w:val="none"/>
          <w14:textFill>
            <w14:solidFill>
              <w14:schemeClr w14:val="tx1"/>
            </w14:solidFill>
          </w14:textFill>
        </w:rPr>
        <w:t>人。</w:t>
      </w:r>
      <w:r>
        <w:rPr>
          <w:rFonts w:hint="eastAsia" w:ascii="仿宋_GB2312" w:hAnsi="仿宋_GB2312" w:eastAsia="仿宋_GB2312" w:cs="仿宋_GB2312"/>
          <w:b w:val="0"/>
          <w:bCs w:val="0"/>
          <w:i w:val="0"/>
          <w:iCs w:val="0"/>
          <w:color w:val="000000" w:themeColor="text1"/>
          <w:sz w:val="32"/>
          <w:szCs w:val="32"/>
          <w:u w:val="none"/>
          <w:lang w:eastAsia="zh-CN"/>
          <w14:textFill>
            <w14:solidFill>
              <w14:schemeClr w14:val="tx1"/>
            </w14:solidFill>
          </w14:textFill>
        </w:rPr>
        <w:t>具体情况为</w:t>
      </w:r>
      <w:r>
        <w:rPr>
          <w:rFonts w:hint="eastAsia" w:ascii="仿宋_GB2312" w:hAnsi="仿宋_GB2312" w:eastAsia="仿宋_GB2312" w:cs="仿宋_GB2312"/>
          <w:b w:val="0"/>
          <w:bCs w:val="0"/>
          <w:i w:val="0"/>
          <w:iCs w:val="0"/>
          <w:color w:val="000000" w:themeColor="text1"/>
          <w:sz w:val="32"/>
          <w:szCs w:val="32"/>
          <w:u w:val="none"/>
          <w14:textFill>
            <w14:solidFill>
              <w14:schemeClr w14:val="tx1"/>
            </w14:solidFill>
          </w14:textFill>
        </w:rPr>
        <w:t>：厅机关年末实有在职人员</w:t>
      </w:r>
      <w:r>
        <w:rPr>
          <w:rFonts w:hint="eastAsia"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t>217</w:t>
      </w:r>
      <w:r>
        <w:rPr>
          <w:rFonts w:hint="eastAsia" w:ascii="仿宋_GB2312" w:hAnsi="仿宋_GB2312" w:eastAsia="仿宋_GB2312" w:cs="仿宋_GB2312"/>
          <w:b w:val="0"/>
          <w:bCs w:val="0"/>
          <w:i w:val="0"/>
          <w:iCs w:val="0"/>
          <w:color w:val="000000" w:themeColor="text1"/>
          <w:sz w:val="32"/>
          <w:szCs w:val="32"/>
          <w:u w:val="none"/>
          <w14:textFill>
            <w14:solidFill>
              <w14:schemeClr w14:val="tx1"/>
            </w14:solidFill>
          </w14:textFill>
        </w:rPr>
        <w:t>人，离休人员实有人数</w:t>
      </w:r>
      <w:r>
        <w:rPr>
          <w:rFonts w:hint="eastAsia"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t>8</w:t>
      </w:r>
      <w:r>
        <w:rPr>
          <w:rFonts w:hint="eastAsia" w:ascii="仿宋_GB2312" w:hAnsi="仿宋_GB2312" w:eastAsia="仿宋_GB2312" w:cs="仿宋_GB2312"/>
          <w:b w:val="0"/>
          <w:bCs w:val="0"/>
          <w:i w:val="0"/>
          <w:iCs w:val="0"/>
          <w:color w:val="000000" w:themeColor="text1"/>
          <w:sz w:val="32"/>
          <w:szCs w:val="32"/>
          <w:u w:val="none"/>
          <w14:textFill>
            <w14:solidFill>
              <w14:schemeClr w14:val="tx1"/>
            </w14:solidFill>
          </w14:textFill>
        </w:rPr>
        <w:t>人；法律援助中心年末实有在职人员</w:t>
      </w:r>
      <w:r>
        <w:rPr>
          <w:rFonts w:hint="eastAsia"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t>12</w:t>
      </w:r>
      <w:r>
        <w:rPr>
          <w:rFonts w:hint="eastAsia" w:ascii="仿宋_GB2312" w:hAnsi="仿宋_GB2312" w:eastAsia="仿宋_GB2312" w:cs="仿宋_GB2312"/>
          <w:b w:val="0"/>
          <w:bCs w:val="0"/>
          <w:i w:val="0"/>
          <w:iCs w:val="0"/>
          <w:color w:val="000000" w:themeColor="text1"/>
          <w:sz w:val="32"/>
          <w:szCs w:val="32"/>
          <w:u w:val="none"/>
          <w14:textFill>
            <w14:solidFill>
              <w14:schemeClr w14:val="tx1"/>
            </w14:solidFill>
          </w14:textFill>
        </w:rPr>
        <w:t>人；</w:t>
      </w:r>
      <w:r>
        <w:rPr>
          <w:rFonts w:hint="eastAsia" w:ascii="仿宋_GB2312" w:hAnsi="仿宋_GB2312" w:eastAsia="仿宋_GB2312" w:cs="仿宋_GB2312"/>
          <w:b w:val="0"/>
          <w:bCs w:val="0"/>
          <w:i w:val="0"/>
          <w:iCs w:val="0"/>
          <w:color w:val="000000" w:themeColor="text1"/>
          <w:sz w:val="32"/>
          <w:szCs w:val="32"/>
          <w:u w:val="none"/>
          <w:lang w:eastAsia="zh-CN"/>
          <w14:textFill>
            <w14:solidFill>
              <w14:schemeClr w14:val="tx1"/>
            </w14:solidFill>
          </w14:textFill>
        </w:rPr>
        <w:t>机关</w:t>
      </w:r>
      <w:r>
        <w:rPr>
          <w:rFonts w:hint="eastAsia" w:ascii="仿宋_GB2312" w:hAnsi="仿宋_GB2312" w:eastAsia="仿宋_GB2312" w:cs="仿宋_GB2312"/>
          <w:b w:val="0"/>
          <w:bCs w:val="0"/>
          <w:i w:val="0"/>
          <w:iCs w:val="0"/>
          <w:color w:val="000000" w:themeColor="text1"/>
          <w:sz w:val="32"/>
          <w:szCs w:val="32"/>
          <w:u w:val="none"/>
          <w14:textFill>
            <w14:solidFill>
              <w14:schemeClr w14:val="tx1"/>
            </w14:solidFill>
          </w14:textFill>
        </w:rPr>
        <w:t>服务中心年末实有在职人员</w:t>
      </w:r>
      <w:r>
        <w:rPr>
          <w:rFonts w:hint="eastAsia"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t>10</w:t>
      </w:r>
      <w:r>
        <w:rPr>
          <w:rFonts w:hint="eastAsia" w:ascii="仿宋_GB2312" w:hAnsi="仿宋_GB2312" w:eastAsia="仿宋_GB2312" w:cs="仿宋_GB2312"/>
          <w:b w:val="0"/>
          <w:bCs w:val="0"/>
          <w:i w:val="0"/>
          <w:iCs w:val="0"/>
          <w:color w:val="000000" w:themeColor="text1"/>
          <w:sz w:val="32"/>
          <w:szCs w:val="32"/>
          <w:u w:val="none"/>
          <w14:textFill>
            <w14:solidFill>
              <w14:schemeClr w14:val="tx1"/>
            </w14:solidFill>
          </w14:textFill>
        </w:rPr>
        <w:t>人；四川司法警官职业学院实有在职人员</w:t>
      </w:r>
      <w:r>
        <w:rPr>
          <w:rFonts w:hint="eastAsia"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t>206</w:t>
      </w:r>
      <w:r>
        <w:rPr>
          <w:rFonts w:hint="eastAsia" w:ascii="仿宋_GB2312" w:hAnsi="仿宋_GB2312" w:eastAsia="仿宋_GB2312" w:cs="仿宋_GB2312"/>
          <w:b w:val="0"/>
          <w:bCs w:val="0"/>
          <w:i w:val="0"/>
          <w:iCs w:val="0"/>
          <w:color w:val="000000" w:themeColor="text1"/>
          <w:sz w:val="32"/>
          <w:szCs w:val="32"/>
          <w:u w:val="none"/>
          <w14:textFill>
            <w14:solidFill>
              <w14:schemeClr w14:val="tx1"/>
            </w14:solidFill>
          </w14:textFill>
        </w:rPr>
        <w:t>人，离休人员实有人数3人。</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contextualSpacing/>
        <w:jc w:val="both"/>
        <w:textAlignment w:val="auto"/>
        <w:rPr>
          <w:rFonts w:hint="eastAsia" w:ascii="黑体" w:hAnsi="黑体" w:eastAsia="黑体" w:cs="黑体"/>
          <w:b w:val="0"/>
          <w:bCs w:val="0"/>
          <w:i w:val="0"/>
          <w:iCs w:val="0"/>
          <w:color w:val="000000" w:themeColor="text1"/>
          <w:kern w:val="0"/>
          <w:sz w:val="32"/>
          <w:szCs w:val="32"/>
          <w:highlight w:val="none"/>
          <w:u w:val="none"/>
          <w:shd w:val="clear" w:color="auto" w:fill="FFFFFF"/>
          <w14:textFill>
            <w14:solidFill>
              <w14:schemeClr w14:val="tx1"/>
            </w14:solidFill>
          </w14:textFill>
        </w:rPr>
      </w:pPr>
      <w:r>
        <w:rPr>
          <w:rFonts w:hint="eastAsia" w:ascii="黑体" w:hAnsi="黑体" w:eastAsia="黑体" w:cs="黑体"/>
          <w:b w:val="0"/>
          <w:bCs w:val="0"/>
          <w:i w:val="0"/>
          <w:iCs w:val="0"/>
          <w:color w:val="000000" w:themeColor="text1"/>
          <w:kern w:val="0"/>
          <w:sz w:val="32"/>
          <w:szCs w:val="32"/>
          <w:highlight w:val="none"/>
          <w:u w:val="none"/>
          <w:shd w:val="clear" w:color="auto" w:fill="FFFFFF"/>
          <w14:textFill>
            <w14:solidFill>
              <w14:schemeClr w14:val="tx1"/>
            </w14:solidFill>
          </w14:textFill>
        </w:rPr>
        <w:t>二、部门财政资金收支情况</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contextualSpacing/>
        <w:jc w:val="both"/>
        <w:textAlignment w:val="auto"/>
        <w:rPr>
          <w:rFonts w:hint="eastAsia"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b w:val="0"/>
          <w:bCs w:val="0"/>
          <w:i w:val="0"/>
          <w:iCs w:val="0"/>
          <w:color w:val="000000" w:themeColor="text1"/>
          <w:sz w:val="32"/>
          <w:szCs w:val="32"/>
          <w:u w:val="none"/>
          <w14:textFill>
            <w14:solidFill>
              <w14:schemeClr w14:val="tx1"/>
            </w14:solidFill>
          </w14:textFill>
        </w:rPr>
        <w:t>按照综合预算的原则，省司法厅所有收入和支出均纳入部门预算管理。省司法厅</w:t>
      </w:r>
      <w:r>
        <w:rPr>
          <w:rFonts w:hint="eastAsia"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t>2021</w:t>
      </w:r>
      <w:r>
        <w:rPr>
          <w:rFonts w:hint="eastAsia" w:ascii="仿宋_GB2312" w:hAnsi="仿宋_GB2312" w:eastAsia="仿宋_GB2312" w:cs="仿宋_GB2312"/>
          <w:b w:val="0"/>
          <w:bCs w:val="0"/>
          <w:i w:val="0"/>
          <w:iCs w:val="0"/>
          <w:color w:val="000000" w:themeColor="text1"/>
          <w:sz w:val="32"/>
          <w:szCs w:val="32"/>
          <w:u w:val="none"/>
          <w14:textFill>
            <w14:solidFill>
              <w14:schemeClr w14:val="tx1"/>
            </w14:solidFill>
          </w14:textFill>
        </w:rPr>
        <w:t>年收支总预算</w:t>
      </w:r>
      <w:r>
        <w:rPr>
          <w:rFonts w:hint="eastAsia"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t>27328.74</w:t>
      </w:r>
      <w:r>
        <w:rPr>
          <w:rFonts w:hint="eastAsia" w:ascii="仿宋_GB2312" w:hAnsi="仿宋_GB2312" w:eastAsia="仿宋_GB2312" w:cs="仿宋_GB2312"/>
          <w:b w:val="0"/>
          <w:bCs w:val="0"/>
          <w:i w:val="0"/>
          <w:iCs w:val="0"/>
          <w:color w:val="000000" w:themeColor="text1"/>
          <w:sz w:val="32"/>
          <w:szCs w:val="32"/>
          <w:u w:val="none"/>
          <w14:textFill>
            <w14:solidFill>
              <w14:schemeClr w14:val="tx1"/>
            </w14:solidFill>
          </w14:textFill>
        </w:rPr>
        <w:t>万元,比</w:t>
      </w:r>
      <w:r>
        <w:rPr>
          <w:rFonts w:hint="eastAsia"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t>2020</w:t>
      </w:r>
      <w:r>
        <w:rPr>
          <w:rFonts w:hint="eastAsia" w:ascii="仿宋_GB2312" w:hAnsi="仿宋_GB2312" w:eastAsia="仿宋_GB2312" w:cs="仿宋_GB2312"/>
          <w:b w:val="0"/>
          <w:bCs w:val="0"/>
          <w:i w:val="0"/>
          <w:iCs w:val="0"/>
          <w:color w:val="000000" w:themeColor="text1"/>
          <w:sz w:val="32"/>
          <w:szCs w:val="32"/>
          <w:u w:val="none"/>
          <w14:textFill>
            <w14:solidFill>
              <w14:schemeClr w14:val="tx1"/>
            </w14:solidFill>
          </w14:textFill>
        </w:rPr>
        <w:t>年收支预算总数</w:t>
      </w:r>
      <w:r>
        <w:rPr>
          <w:rFonts w:hint="eastAsia"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t>28321.25万元</w:t>
      </w:r>
      <w:r>
        <w:rPr>
          <w:rFonts w:hint="eastAsia" w:ascii="仿宋_GB2312" w:hAnsi="仿宋_GB2312" w:eastAsia="仿宋_GB2312" w:cs="仿宋_GB2312"/>
          <w:b w:val="0"/>
          <w:bCs w:val="0"/>
          <w:i w:val="0"/>
          <w:iCs w:val="0"/>
          <w:color w:val="000000" w:themeColor="text1"/>
          <w:sz w:val="32"/>
          <w:szCs w:val="32"/>
          <w:u w:val="none"/>
          <w:lang w:eastAsia="zh-CN"/>
          <w14:textFill>
            <w14:solidFill>
              <w14:schemeClr w14:val="tx1"/>
            </w14:solidFill>
          </w14:textFill>
        </w:rPr>
        <w:t>减少</w:t>
      </w:r>
      <w:r>
        <w:rPr>
          <w:rFonts w:hint="eastAsia"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t>992.51</w:t>
      </w:r>
      <w:r>
        <w:rPr>
          <w:rFonts w:hint="eastAsia" w:ascii="仿宋_GB2312" w:hAnsi="仿宋_GB2312" w:eastAsia="仿宋_GB2312" w:cs="仿宋_GB2312"/>
          <w:b w:val="0"/>
          <w:bCs w:val="0"/>
          <w:i w:val="0"/>
          <w:iCs w:val="0"/>
          <w:color w:val="000000" w:themeColor="text1"/>
          <w:sz w:val="32"/>
          <w:szCs w:val="32"/>
          <w:u w:val="none"/>
          <w14:textFill>
            <w14:solidFill>
              <w14:schemeClr w14:val="tx1"/>
            </w14:solidFill>
          </w14:textFill>
        </w:rPr>
        <w:t>万元，</w:t>
      </w:r>
      <w:r>
        <w:rPr>
          <w:rFonts w:hint="eastAsia"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t>主要原因是信息化项目较上年减少。</w:t>
      </w:r>
      <w:r>
        <w:rPr>
          <w:rFonts w:hint="eastAsia" w:ascii="仿宋_GB2312" w:hAnsi="仿宋_GB2312" w:eastAsia="仿宋_GB2312" w:cs="仿宋_GB2312"/>
          <w:b w:val="0"/>
          <w:bCs w:val="0"/>
          <w:i w:val="0"/>
          <w:iCs w:val="0"/>
          <w:color w:val="000000" w:themeColor="text1"/>
          <w:sz w:val="32"/>
          <w:szCs w:val="32"/>
          <w:u w:val="none"/>
          <w:lang w:eastAsia="zh-CN"/>
          <w14:textFill>
            <w14:solidFill>
              <w14:schemeClr w14:val="tx1"/>
            </w14:solidFill>
          </w14:textFill>
        </w:rPr>
        <w:t>其中</w:t>
      </w:r>
      <w:r>
        <w:rPr>
          <w:rFonts w:hint="eastAsia" w:ascii="仿宋_GB2312" w:hAnsi="仿宋_GB2312" w:eastAsia="仿宋_GB2312" w:cs="仿宋_GB2312"/>
          <w:b w:val="0"/>
          <w:bCs w:val="0"/>
          <w:i w:val="0"/>
          <w:iCs w:val="0"/>
          <w:color w:val="000000" w:themeColor="text1"/>
          <w:sz w:val="32"/>
          <w:szCs w:val="32"/>
          <w:u w:val="none"/>
          <w14:textFill>
            <w14:solidFill>
              <w14:schemeClr w14:val="tx1"/>
            </w14:solidFill>
          </w14:textFill>
        </w:rPr>
        <w:t>收入包括：一般公共预算拨款收入</w:t>
      </w:r>
      <w:r>
        <w:rPr>
          <w:rFonts w:hint="eastAsia"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t>24240.10</w:t>
      </w:r>
      <w:r>
        <w:rPr>
          <w:rFonts w:hint="eastAsia" w:ascii="仿宋_GB2312" w:hAnsi="仿宋_GB2312" w:eastAsia="仿宋_GB2312" w:cs="仿宋_GB2312"/>
          <w:b w:val="0"/>
          <w:bCs w:val="0"/>
          <w:i w:val="0"/>
          <w:iCs w:val="0"/>
          <w:color w:val="000000" w:themeColor="text1"/>
          <w:sz w:val="32"/>
          <w:szCs w:val="32"/>
          <w:u w:val="none"/>
          <w14:textFill>
            <w14:solidFill>
              <w14:schemeClr w14:val="tx1"/>
            </w14:solidFill>
          </w14:textFill>
        </w:rPr>
        <w:t>万元、其他收入</w:t>
      </w:r>
      <w:r>
        <w:rPr>
          <w:rFonts w:hint="eastAsia"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t>3088.64</w:t>
      </w:r>
      <w:r>
        <w:rPr>
          <w:rFonts w:hint="eastAsia" w:ascii="仿宋_GB2312" w:hAnsi="仿宋_GB2312" w:eastAsia="仿宋_GB2312" w:cs="仿宋_GB2312"/>
          <w:b w:val="0"/>
          <w:bCs w:val="0"/>
          <w:i w:val="0"/>
          <w:iCs w:val="0"/>
          <w:color w:val="000000" w:themeColor="text1"/>
          <w:sz w:val="32"/>
          <w:szCs w:val="32"/>
          <w:u w:val="none"/>
          <w14:textFill>
            <w14:solidFill>
              <w14:schemeClr w14:val="tx1"/>
            </w14:solidFill>
          </w14:textFill>
        </w:rPr>
        <w:t>万元；支出包括：</w:t>
      </w:r>
      <w:r>
        <w:rPr>
          <w:rFonts w:hint="eastAsia" w:ascii="仿宋_GB2312" w:hAnsi="仿宋_GB2312" w:eastAsia="仿宋_GB2312" w:cs="仿宋_GB2312"/>
          <w:b w:val="0"/>
          <w:bCs w:val="0"/>
          <w:i w:val="0"/>
          <w:iCs w:val="0"/>
          <w:color w:val="000000" w:themeColor="text1"/>
          <w:sz w:val="32"/>
          <w:szCs w:val="32"/>
          <w:u w:val="none"/>
          <w:lang w:eastAsia="zh-CN"/>
          <w14:textFill>
            <w14:solidFill>
              <w14:schemeClr w14:val="tx1"/>
            </w14:solidFill>
          </w14:textFill>
        </w:rPr>
        <w:t>一般公共服务支出</w:t>
      </w:r>
      <w:r>
        <w:rPr>
          <w:rFonts w:hint="eastAsia"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t>526.57万元、</w:t>
      </w:r>
      <w:r>
        <w:rPr>
          <w:rFonts w:hint="eastAsia" w:ascii="仿宋_GB2312" w:hAnsi="仿宋_GB2312" w:eastAsia="仿宋_GB2312" w:cs="仿宋_GB2312"/>
          <w:b w:val="0"/>
          <w:bCs w:val="0"/>
          <w:i w:val="0"/>
          <w:iCs w:val="0"/>
          <w:color w:val="000000" w:themeColor="text1"/>
          <w:sz w:val="32"/>
          <w:szCs w:val="32"/>
          <w:u w:val="none"/>
          <w14:textFill>
            <w14:solidFill>
              <w14:schemeClr w14:val="tx1"/>
            </w14:solidFill>
          </w14:textFill>
        </w:rPr>
        <w:t>公共安全支出</w:t>
      </w:r>
      <w:r>
        <w:rPr>
          <w:rFonts w:hint="eastAsia"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t>13121.56</w:t>
      </w:r>
      <w:r>
        <w:rPr>
          <w:rFonts w:hint="eastAsia" w:ascii="仿宋_GB2312" w:hAnsi="仿宋_GB2312" w:eastAsia="仿宋_GB2312" w:cs="仿宋_GB2312"/>
          <w:b w:val="0"/>
          <w:bCs w:val="0"/>
          <w:i w:val="0"/>
          <w:iCs w:val="0"/>
          <w:color w:val="000000" w:themeColor="text1"/>
          <w:sz w:val="32"/>
          <w:szCs w:val="32"/>
          <w:u w:val="none"/>
          <w14:textFill>
            <w14:solidFill>
              <w14:schemeClr w14:val="tx1"/>
            </w14:solidFill>
          </w14:textFill>
        </w:rPr>
        <w:t>万元、教育支出</w:t>
      </w:r>
      <w:r>
        <w:rPr>
          <w:rFonts w:hint="eastAsia"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t>10530.95</w:t>
      </w:r>
      <w:r>
        <w:rPr>
          <w:rFonts w:hint="eastAsia" w:ascii="仿宋_GB2312" w:hAnsi="仿宋_GB2312" w:eastAsia="仿宋_GB2312" w:cs="仿宋_GB2312"/>
          <w:b w:val="0"/>
          <w:bCs w:val="0"/>
          <w:i w:val="0"/>
          <w:iCs w:val="0"/>
          <w:color w:val="000000" w:themeColor="text1"/>
          <w:sz w:val="32"/>
          <w:szCs w:val="32"/>
          <w:u w:val="none"/>
          <w14:textFill>
            <w14:solidFill>
              <w14:schemeClr w14:val="tx1"/>
            </w14:solidFill>
          </w14:textFill>
        </w:rPr>
        <w:t>万元、社会保障和就业支出</w:t>
      </w:r>
      <w:r>
        <w:rPr>
          <w:rFonts w:hint="eastAsia"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t>1443.08</w:t>
      </w:r>
      <w:r>
        <w:rPr>
          <w:rFonts w:hint="eastAsia" w:ascii="仿宋_GB2312" w:hAnsi="仿宋_GB2312" w:eastAsia="仿宋_GB2312" w:cs="仿宋_GB2312"/>
          <w:b w:val="0"/>
          <w:bCs w:val="0"/>
          <w:i w:val="0"/>
          <w:iCs w:val="0"/>
          <w:color w:val="000000" w:themeColor="text1"/>
          <w:sz w:val="32"/>
          <w:szCs w:val="32"/>
          <w:u w:val="none"/>
          <w14:textFill>
            <w14:solidFill>
              <w14:schemeClr w14:val="tx1"/>
            </w14:solidFill>
          </w14:textFill>
        </w:rPr>
        <w:t>万元、医疗卫生与计划生育支出</w:t>
      </w:r>
      <w:r>
        <w:rPr>
          <w:rFonts w:hint="eastAsia"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t>403.99</w:t>
      </w:r>
      <w:r>
        <w:rPr>
          <w:rFonts w:hint="eastAsia" w:ascii="仿宋_GB2312" w:hAnsi="仿宋_GB2312" w:eastAsia="仿宋_GB2312" w:cs="仿宋_GB2312"/>
          <w:b w:val="0"/>
          <w:bCs w:val="0"/>
          <w:i w:val="0"/>
          <w:iCs w:val="0"/>
          <w:color w:val="000000" w:themeColor="text1"/>
          <w:sz w:val="32"/>
          <w:szCs w:val="32"/>
          <w:u w:val="none"/>
          <w14:textFill>
            <w14:solidFill>
              <w14:schemeClr w14:val="tx1"/>
            </w14:solidFill>
          </w14:textFill>
        </w:rPr>
        <w:t>万元、住房保障支出</w:t>
      </w:r>
      <w:r>
        <w:rPr>
          <w:rFonts w:hint="eastAsia"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t>1297.59</w:t>
      </w:r>
      <w:r>
        <w:rPr>
          <w:rFonts w:hint="eastAsia" w:ascii="仿宋_GB2312" w:hAnsi="仿宋_GB2312" w:eastAsia="仿宋_GB2312" w:cs="仿宋_GB2312"/>
          <w:b w:val="0"/>
          <w:bCs w:val="0"/>
          <w:i w:val="0"/>
          <w:iCs w:val="0"/>
          <w:color w:val="000000" w:themeColor="text1"/>
          <w:sz w:val="32"/>
          <w:szCs w:val="32"/>
          <w:u w:val="none"/>
          <w14:textFill>
            <w14:solidFill>
              <w14:schemeClr w14:val="tx1"/>
            </w14:solidFill>
          </w14:textFill>
        </w:rPr>
        <w:t>万元</w:t>
      </w:r>
      <w:r>
        <w:rPr>
          <w:rFonts w:hint="eastAsia" w:ascii="仿宋_GB2312" w:hAnsi="仿宋_GB2312" w:eastAsia="仿宋_GB2312" w:cs="仿宋_GB2312"/>
          <w:b w:val="0"/>
          <w:bCs w:val="0"/>
          <w:i w:val="0"/>
          <w:iCs w:val="0"/>
          <w:color w:val="000000" w:themeColor="text1"/>
          <w:sz w:val="32"/>
          <w:szCs w:val="32"/>
          <w:u w:val="none"/>
          <w:lang w:eastAsia="zh-CN"/>
          <w14:textFill>
            <w14:solidFill>
              <w14:schemeClr w14:val="tx1"/>
            </w14:solidFill>
          </w14:textFill>
        </w:rPr>
        <w:t>、灾害防治及应急管理支出</w:t>
      </w:r>
      <w:r>
        <w:rPr>
          <w:rFonts w:hint="eastAsia"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t>5万元</w:t>
      </w:r>
      <w:r>
        <w:rPr>
          <w:rFonts w:hint="eastAsia" w:ascii="仿宋_GB2312" w:hAnsi="仿宋_GB2312" w:eastAsia="仿宋_GB2312" w:cs="仿宋_GB2312"/>
          <w:b w:val="0"/>
          <w:bCs w:val="0"/>
          <w:i w:val="0"/>
          <w:iCs w:val="0"/>
          <w:color w:val="000000" w:themeColor="text1"/>
          <w:sz w:val="32"/>
          <w:szCs w:val="32"/>
          <w:u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contextualSpacing/>
        <w:jc w:val="both"/>
        <w:textAlignment w:val="auto"/>
        <w:rPr>
          <w:rFonts w:hint="eastAsia" w:ascii="楷体_GB2312" w:hAnsi="楷体_GB2312" w:eastAsia="楷体_GB2312" w:cs="楷体_GB2312"/>
          <w:b w:val="0"/>
          <w:bCs w:val="0"/>
          <w:i w:val="0"/>
          <w:iCs w:val="0"/>
          <w:color w:val="000000" w:themeColor="text1"/>
          <w:sz w:val="32"/>
          <w:szCs w:val="32"/>
          <w:u w:val="none"/>
          <w:lang w:val="zh-CN"/>
          <w14:textFill>
            <w14:solidFill>
              <w14:schemeClr w14:val="tx1"/>
            </w14:solidFill>
          </w14:textFill>
        </w:rPr>
      </w:pPr>
      <w:r>
        <w:rPr>
          <w:rFonts w:hint="eastAsia" w:ascii="楷体_GB2312" w:hAnsi="楷体_GB2312" w:eastAsia="楷体_GB2312" w:cs="楷体_GB2312"/>
          <w:b w:val="0"/>
          <w:bCs w:val="0"/>
          <w:i w:val="0"/>
          <w:iCs w:val="0"/>
          <w:color w:val="000000" w:themeColor="text1"/>
          <w:kern w:val="0"/>
          <w:sz w:val="32"/>
          <w:szCs w:val="32"/>
          <w:highlight w:val="none"/>
          <w:u w:val="none"/>
          <w:shd w:val="clear" w:color="auto" w:fill="FFFFFF"/>
          <w:lang w:val="zh-CN"/>
          <w14:textFill>
            <w14:solidFill>
              <w14:schemeClr w14:val="tx1"/>
            </w14:solidFill>
          </w14:textFill>
        </w:rPr>
        <w:t>（一）部门财政资金收入情况。</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contextualSpacing/>
        <w:jc w:val="both"/>
        <w:textAlignment w:val="auto"/>
        <w:rPr>
          <w:rFonts w:hint="eastAsia" w:ascii="仿宋_GB2312" w:hAnsi="仿宋_GB2312" w:eastAsia="仿宋_GB2312" w:cs="仿宋_GB2312"/>
          <w:b w:val="0"/>
          <w:bCs w:val="0"/>
          <w:i w:val="0"/>
          <w:i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i w:val="0"/>
          <w:iCs w:val="0"/>
          <w:color w:val="000000" w:themeColor="text1"/>
          <w:sz w:val="32"/>
          <w:szCs w:val="32"/>
          <w:u w:val="none"/>
          <w14:textFill>
            <w14:solidFill>
              <w14:schemeClr w14:val="tx1"/>
            </w14:solidFill>
          </w14:textFill>
        </w:rPr>
        <w:t>省司法厅</w:t>
      </w:r>
      <w:r>
        <w:rPr>
          <w:rFonts w:hint="eastAsia"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t>2021</w:t>
      </w:r>
      <w:r>
        <w:rPr>
          <w:rFonts w:hint="eastAsia" w:ascii="仿宋_GB2312" w:hAnsi="仿宋_GB2312" w:eastAsia="仿宋_GB2312" w:cs="仿宋_GB2312"/>
          <w:b w:val="0"/>
          <w:bCs w:val="0"/>
          <w:i w:val="0"/>
          <w:iCs w:val="0"/>
          <w:color w:val="000000" w:themeColor="text1"/>
          <w:sz w:val="32"/>
          <w:szCs w:val="32"/>
          <w:u w:val="none"/>
          <w14:textFill>
            <w14:solidFill>
              <w14:schemeClr w14:val="tx1"/>
            </w14:solidFill>
          </w14:textFill>
        </w:rPr>
        <w:t>年收入预算</w:t>
      </w:r>
      <w:r>
        <w:rPr>
          <w:rFonts w:hint="eastAsia"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t>27328.74</w:t>
      </w:r>
      <w:r>
        <w:rPr>
          <w:rFonts w:hint="eastAsia" w:ascii="仿宋_GB2312" w:hAnsi="仿宋_GB2312" w:eastAsia="仿宋_GB2312" w:cs="仿宋_GB2312"/>
          <w:b w:val="0"/>
          <w:bCs w:val="0"/>
          <w:i w:val="0"/>
          <w:iCs w:val="0"/>
          <w:color w:val="000000" w:themeColor="text1"/>
          <w:sz w:val="32"/>
          <w:szCs w:val="32"/>
          <w:u w:val="none"/>
          <w14:textFill>
            <w14:solidFill>
              <w14:schemeClr w14:val="tx1"/>
            </w14:solidFill>
          </w14:textFill>
        </w:rPr>
        <w:t>万元，其中：一般公共预算拨款收入</w:t>
      </w:r>
      <w:r>
        <w:rPr>
          <w:rFonts w:hint="eastAsia"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t>24240.10</w:t>
      </w:r>
      <w:r>
        <w:rPr>
          <w:rFonts w:hint="eastAsia" w:ascii="仿宋_GB2312" w:hAnsi="仿宋_GB2312" w:eastAsia="仿宋_GB2312" w:cs="仿宋_GB2312"/>
          <w:b w:val="0"/>
          <w:bCs w:val="0"/>
          <w:i w:val="0"/>
          <w:iCs w:val="0"/>
          <w:color w:val="000000" w:themeColor="text1"/>
          <w:sz w:val="32"/>
          <w:szCs w:val="32"/>
          <w:u w:val="none"/>
          <w14:textFill>
            <w14:solidFill>
              <w14:schemeClr w14:val="tx1"/>
            </w14:solidFill>
          </w14:textFill>
        </w:rPr>
        <w:t>万元</w:t>
      </w:r>
      <w:r>
        <w:rPr>
          <w:rFonts w:hint="eastAsia" w:ascii="仿宋_GB2312" w:hAnsi="仿宋_GB2312" w:eastAsia="仿宋_GB2312" w:cs="仿宋_GB2312"/>
          <w:b w:val="0"/>
          <w:bCs w:val="0"/>
          <w:i w:val="0"/>
          <w:iCs w:val="0"/>
          <w:color w:val="000000" w:themeColor="text1"/>
          <w:sz w:val="32"/>
          <w:szCs w:val="32"/>
          <w:u w:val="none"/>
          <w:lang w:eastAsia="zh-CN"/>
          <w14:textFill>
            <w14:solidFill>
              <w14:schemeClr w14:val="tx1"/>
            </w14:solidFill>
          </w14:textFill>
        </w:rPr>
        <w:t>，占</w:t>
      </w:r>
      <w:r>
        <w:rPr>
          <w:rFonts w:hint="eastAsia"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t>88.70%</w:t>
      </w:r>
      <w:r>
        <w:rPr>
          <w:rFonts w:hint="eastAsia" w:ascii="仿宋_GB2312" w:hAnsi="仿宋_GB2312" w:eastAsia="仿宋_GB2312" w:cs="仿宋_GB2312"/>
          <w:b w:val="0"/>
          <w:bCs w:val="0"/>
          <w:i w:val="0"/>
          <w:iCs w:val="0"/>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b w:val="0"/>
          <w:bCs w:val="0"/>
          <w:i w:val="0"/>
          <w:iCs w:val="0"/>
          <w:color w:val="000000" w:themeColor="text1"/>
          <w:sz w:val="32"/>
          <w:szCs w:val="32"/>
          <w:u w:val="none"/>
          <w14:textFill>
            <w14:solidFill>
              <w14:schemeClr w14:val="tx1"/>
            </w14:solidFill>
          </w14:textFill>
        </w:rPr>
        <w:t>其他收入</w:t>
      </w:r>
      <w:r>
        <w:rPr>
          <w:rFonts w:hint="eastAsia"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t>3088.64</w:t>
      </w:r>
      <w:r>
        <w:rPr>
          <w:rFonts w:hint="eastAsia" w:ascii="仿宋_GB2312" w:hAnsi="仿宋_GB2312" w:eastAsia="仿宋_GB2312" w:cs="仿宋_GB2312"/>
          <w:b w:val="0"/>
          <w:bCs w:val="0"/>
          <w:i w:val="0"/>
          <w:iCs w:val="0"/>
          <w:color w:val="000000" w:themeColor="text1"/>
          <w:sz w:val="32"/>
          <w:szCs w:val="32"/>
          <w:u w:val="none"/>
          <w14:textFill>
            <w14:solidFill>
              <w14:schemeClr w14:val="tx1"/>
            </w14:solidFill>
          </w14:textFill>
        </w:rPr>
        <w:t>万元</w:t>
      </w:r>
      <w:r>
        <w:rPr>
          <w:rFonts w:hint="eastAsia" w:ascii="仿宋_GB2312" w:hAnsi="仿宋_GB2312" w:eastAsia="仿宋_GB2312" w:cs="仿宋_GB2312"/>
          <w:b w:val="0"/>
          <w:bCs w:val="0"/>
          <w:i w:val="0"/>
          <w:iCs w:val="0"/>
          <w:color w:val="000000" w:themeColor="text1"/>
          <w:sz w:val="32"/>
          <w:szCs w:val="32"/>
          <w:u w:val="none"/>
          <w:lang w:eastAsia="zh-CN"/>
          <w14:textFill>
            <w14:solidFill>
              <w14:schemeClr w14:val="tx1"/>
            </w14:solidFill>
          </w14:textFill>
        </w:rPr>
        <w:t>，占</w:t>
      </w:r>
      <w:r>
        <w:rPr>
          <w:rFonts w:hint="eastAsia"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t>11.30%</w:t>
      </w:r>
      <w:r>
        <w:rPr>
          <w:rFonts w:hint="eastAsia" w:ascii="仿宋_GB2312" w:hAnsi="仿宋_GB2312" w:eastAsia="仿宋_GB2312" w:cs="仿宋_GB2312"/>
          <w:b w:val="0"/>
          <w:bCs w:val="0"/>
          <w:i w:val="0"/>
          <w:iCs w:val="0"/>
          <w:color w:val="000000" w:themeColor="text1"/>
          <w:sz w:val="32"/>
          <w:szCs w:val="32"/>
          <w:u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contextualSpacing/>
        <w:jc w:val="both"/>
        <w:textAlignment w:val="auto"/>
        <w:rPr>
          <w:rFonts w:hint="eastAsia" w:ascii="楷体_GB2312" w:hAnsi="楷体_GB2312" w:eastAsia="楷体_GB2312" w:cs="楷体_GB2312"/>
          <w:b w:val="0"/>
          <w:bCs w:val="0"/>
          <w:i w:val="0"/>
          <w:iCs w:val="0"/>
          <w:color w:val="000000" w:themeColor="text1"/>
          <w:kern w:val="0"/>
          <w:sz w:val="32"/>
          <w:szCs w:val="32"/>
          <w:highlight w:val="none"/>
          <w:u w:val="none"/>
          <w:shd w:val="clear" w:color="auto" w:fill="FFFFFF"/>
          <w:lang w:val="zh-CN"/>
          <w14:textFill>
            <w14:solidFill>
              <w14:schemeClr w14:val="tx1"/>
            </w14:solidFill>
          </w14:textFill>
        </w:rPr>
      </w:pPr>
      <w:r>
        <w:rPr>
          <w:rFonts w:hint="eastAsia" w:ascii="楷体_GB2312" w:hAnsi="楷体_GB2312" w:eastAsia="楷体_GB2312" w:cs="楷体_GB2312"/>
          <w:b w:val="0"/>
          <w:bCs w:val="0"/>
          <w:i w:val="0"/>
          <w:iCs w:val="0"/>
          <w:color w:val="000000" w:themeColor="text1"/>
          <w:kern w:val="0"/>
          <w:sz w:val="32"/>
          <w:szCs w:val="32"/>
          <w:highlight w:val="none"/>
          <w:u w:val="none"/>
          <w:shd w:val="clear" w:color="auto" w:fill="FFFFFF"/>
          <w:lang w:val="zh-CN"/>
          <w14:textFill>
            <w14:solidFill>
              <w14:schemeClr w14:val="tx1"/>
            </w14:solidFill>
          </w14:textFill>
        </w:rPr>
        <w:t>（二）部门财政资金支出情况。</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contextualSpacing/>
        <w:jc w:val="both"/>
        <w:textAlignment w:val="auto"/>
        <w:rPr>
          <w:rFonts w:hint="eastAsia"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b w:val="0"/>
          <w:bCs w:val="0"/>
          <w:i w:val="0"/>
          <w:iCs w:val="0"/>
          <w:color w:val="000000" w:themeColor="text1"/>
          <w:sz w:val="32"/>
          <w:szCs w:val="32"/>
          <w:u w:val="none"/>
          <w14:textFill>
            <w14:solidFill>
              <w14:schemeClr w14:val="tx1"/>
            </w14:solidFill>
          </w14:textFill>
        </w:rPr>
        <w:t>省司法厅</w:t>
      </w:r>
      <w:r>
        <w:rPr>
          <w:rFonts w:hint="eastAsia"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t>2021</w:t>
      </w:r>
      <w:r>
        <w:rPr>
          <w:rFonts w:hint="eastAsia" w:ascii="仿宋_GB2312" w:hAnsi="仿宋_GB2312" w:eastAsia="仿宋_GB2312" w:cs="仿宋_GB2312"/>
          <w:b w:val="0"/>
          <w:bCs w:val="0"/>
          <w:i w:val="0"/>
          <w:iCs w:val="0"/>
          <w:color w:val="000000" w:themeColor="text1"/>
          <w:sz w:val="32"/>
          <w:szCs w:val="32"/>
          <w:u w:val="none"/>
          <w14:textFill>
            <w14:solidFill>
              <w14:schemeClr w14:val="tx1"/>
            </w14:solidFill>
          </w14:textFill>
        </w:rPr>
        <w:t>年支出预算</w:t>
      </w:r>
      <w:r>
        <w:rPr>
          <w:rFonts w:hint="eastAsia"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t>27328.74</w:t>
      </w:r>
      <w:r>
        <w:rPr>
          <w:rFonts w:hint="eastAsia" w:ascii="仿宋_GB2312" w:hAnsi="仿宋_GB2312" w:eastAsia="仿宋_GB2312" w:cs="仿宋_GB2312"/>
          <w:b w:val="0"/>
          <w:bCs w:val="0"/>
          <w:i w:val="0"/>
          <w:iCs w:val="0"/>
          <w:color w:val="000000" w:themeColor="text1"/>
          <w:sz w:val="32"/>
          <w:szCs w:val="32"/>
          <w:u w:val="none"/>
          <w14:textFill>
            <w14:solidFill>
              <w14:schemeClr w14:val="tx1"/>
            </w14:solidFill>
          </w14:textFill>
        </w:rPr>
        <w:t>万元，其中基本支出</w:t>
      </w:r>
      <w:r>
        <w:rPr>
          <w:rFonts w:hint="eastAsia"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t>15382.24</w:t>
      </w:r>
      <w:r>
        <w:rPr>
          <w:rFonts w:hint="eastAsia" w:ascii="仿宋_GB2312" w:hAnsi="仿宋_GB2312" w:eastAsia="仿宋_GB2312" w:cs="仿宋_GB2312"/>
          <w:b w:val="0"/>
          <w:bCs w:val="0"/>
          <w:i w:val="0"/>
          <w:iCs w:val="0"/>
          <w:color w:val="000000" w:themeColor="text1"/>
          <w:sz w:val="32"/>
          <w:szCs w:val="32"/>
          <w:u w:val="none"/>
          <w14:textFill>
            <w14:solidFill>
              <w14:schemeClr w14:val="tx1"/>
            </w14:solidFill>
          </w14:textFill>
        </w:rPr>
        <w:t>万元，</w:t>
      </w:r>
      <w:r>
        <w:rPr>
          <w:rFonts w:hint="eastAsia" w:ascii="仿宋_GB2312" w:hAnsi="仿宋_GB2312" w:eastAsia="仿宋_GB2312" w:cs="仿宋_GB2312"/>
          <w:b w:val="0"/>
          <w:bCs w:val="0"/>
          <w:i w:val="0"/>
          <w:iCs w:val="0"/>
          <w:color w:val="000000" w:themeColor="text1"/>
          <w:sz w:val="32"/>
          <w:szCs w:val="32"/>
          <w:u w:val="none"/>
          <w:lang w:eastAsia="zh-CN"/>
          <w14:textFill>
            <w14:solidFill>
              <w14:schemeClr w14:val="tx1"/>
            </w14:solidFill>
          </w14:textFill>
        </w:rPr>
        <w:t>占</w:t>
      </w:r>
      <w:r>
        <w:rPr>
          <w:rFonts w:hint="eastAsia"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t>56.29%；</w:t>
      </w:r>
      <w:r>
        <w:rPr>
          <w:rFonts w:hint="eastAsia" w:ascii="仿宋_GB2312" w:hAnsi="仿宋_GB2312" w:eastAsia="仿宋_GB2312" w:cs="仿宋_GB2312"/>
          <w:b w:val="0"/>
          <w:bCs w:val="0"/>
          <w:i w:val="0"/>
          <w:iCs w:val="0"/>
          <w:color w:val="000000" w:themeColor="text1"/>
          <w:sz w:val="32"/>
          <w:szCs w:val="32"/>
          <w:u w:val="none"/>
          <w14:textFill>
            <w14:solidFill>
              <w14:schemeClr w14:val="tx1"/>
            </w14:solidFill>
          </w14:textFill>
        </w:rPr>
        <w:t>项目支出</w:t>
      </w:r>
      <w:r>
        <w:rPr>
          <w:rFonts w:hint="eastAsia"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t>11946.50</w:t>
      </w:r>
      <w:r>
        <w:rPr>
          <w:rFonts w:hint="eastAsia" w:ascii="仿宋_GB2312" w:hAnsi="仿宋_GB2312" w:eastAsia="仿宋_GB2312" w:cs="仿宋_GB2312"/>
          <w:b w:val="0"/>
          <w:bCs w:val="0"/>
          <w:i w:val="0"/>
          <w:iCs w:val="0"/>
          <w:color w:val="000000" w:themeColor="text1"/>
          <w:sz w:val="32"/>
          <w:szCs w:val="32"/>
          <w:u w:val="none"/>
          <w14:textFill>
            <w14:solidFill>
              <w14:schemeClr w14:val="tx1"/>
            </w14:solidFill>
          </w14:textFill>
        </w:rPr>
        <w:t>万元</w:t>
      </w:r>
      <w:r>
        <w:rPr>
          <w:rFonts w:hint="eastAsia" w:ascii="仿宋_GB2312" w:hAnsi="仿宋_GB2312" w:eastAsia="仿宋_GB2312" w:cs="仿宋_GB2312"/>
          <w:b w:val="0"/>
          <w:bCs w:val="0"/>
          <w:i w:val="0"/>
          <w:iCs w:val="0"/>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b w:val="0"/>
          <w:bCs w:val="0"/>
          <w:i w:val="0"/>
          <w:iCs w:val="0"/>
          <w:color w:val="000000" w:themeColor="text1"/>
          <w:sz w:val="32"/>
          <w:szCs w:val="32"/>
          <w:u w:val="none"/>
          <w14:textFill>
            <w14:solidFill>
              <w14:schemeClr w14:val="tx1"/>
            </w14:solidFill>
          </w14:textFill>
        </w:rPr>
        <w:t>占</w:t>
      </w:r>
      <w:r>
        <w:rPr>
          <w:rFonts w:hint="eastAsia"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t>43.71</w:t>
      </w:r>
      <w:r>
        <w:rPr>
          <w:rFonts w:hint="eastAsia" w:ascii="仿宋_GB2312" w:hAnsi="仿宋_GB2312" w:eastAsia="仿宋_GB2312" w:cs="仿宋_GB2312"/>
          <w:b w:val="0"/>
          <w:bCs w:val="0"/>
          <w:i w:val="0"/>
          <w:iCs w:val="0"/>
          <w:color w:val="000000" w:themeColor="text1"/>
          <w:sz w:val="32"/>
          <w:szCs w:val="32"/>
          <w:u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contextualSpacing/>
        <w:jc w:val="both"/>
        <w:textAlignment w:val="auto"/>
        <w:rPr>
          <w:rFonts w:hint="eastAsia" w:ascii="黑体" w:hAnsi="黑体" w:eastAsia="黑体" w:cs="黑体"/>
          <w:b w:val="0"/>
          <w:bCs w:val="0"/>
          <w:i w:val="0"/>
          <w:iCs w:val="0"/>
          <w:color w:val="000000" w:themeColor="text1"/>
          <w:kern w:val="0"/>
          <w:sz w:val="32"/>
          <w:szCs w:val="32"/>
          <w:highlight w:val="none"/>
          <w:u w:val="none"/>
          <w:shd w:val="clear" w:color="auto" w:fill="FFFFFF"/>
          <w14:textFill>
            <w14:solidFill>
              <w14:schemeClr w14:val="tx1"/>
            </w14:solidFill>
          </w14:textFill>
        </w:rPr>
      </w:pPr>
      <w:r>
        <w:rPr>
          <w:rFonts w:hint="eastAsia" w:ascii="黑体" w:hAnsi="黑体" w:eastAsia="黑体" w:cs="黑体"/>
          <w:b w:val="0"/>
          <w:bCs w:val="0"/>
          <w:i w:val="0"/>
          <w:iCs w:val="0"/>
          <w:color w:val="000000" w:themeColor="text1"/>
          <w:kern w:val="0"/>
          <w:sz w:val="32"/>
          <w:szCs w:val="32"/>
          <w:highlight w:val="none"/>
          <w:u w:val="none"/>
          <w:shd w:val="clear" w:color="auto" w:fill="FFFFFF"/>
          <w14:textFill>
            <w14:solidFill>
              <w14:schemeClr w14:val="tx1"/>
            </w14:solidFill>
          </w14:textFill>
        </w:rPr>
        <w:t>三、部门整体预算绩效管理情况</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contextualSpacing/>
        <w:jc w:val="both"/>
        <w:textAlignment w:val="auto"/>
        <w:rPr>
          <w:rFonts w:hint="eastAsia" w:ascii="楷体_GB2312" w:hAnsi="楷体_GB2312" w:eastAsia="楷体_GB2312" w:cs="楷体_GB2312"/>
          <w:b w:val="0"/>
          <w:bCs w:val="0"/>
          <w:i w:val="0"/>
          <w:iCs w:val="0"/>
          <w:color w:val="000000" w:themeColor="text1"/>
          <w:kern w:val="0"/>
          <w:sz w:val="32"/>
          <w:szCs w:val="32"/>
          <w:highlight w:val="none"/>
          <w:u w:val="none"/>
          <w:shd w:val="clear" w:color="auto" w:fill="FFFFFF"/>
          <w:lang w:val="zh-CN"/>
          <w14:textFill>
            <w14:solidFill>
              <w14:schemeClr w14:val="tx1"/>
            </w14:solidFill>
          </w14:textFill>
        </w:rPr>
      </w:pPr>
      <w:r>
        <w:rPr>
          <w:rFonts w:hint="eastAsia" w:ascii="楷体_GB2312" w:hAnsi="楷体_GB2312" w:eastAsia="楷体_GB2312" w:cs="楷体_GB2312"/>
          <w:b w:val="0"/>
          <w:bCs w:val="0"/>
          <w:i w:val="0"/>
          <w:iCs w:val="0"/>
          <w:color w:val="000000" w:themeColor="text1"/>
          <w:kern w:val="0"/>
          <w:sz w:val="32"/>
          <w:szCs w:val="32"/>
          <w:highlight w:val="none"/>
          <w:u w:val="none"/>
          <w:shd w:val="clear" w:color="auto" w:fill="FFFFFF"/>
          <w:lang w:val="zh-CN"/>
          <w14:textFill>
            <w14:solidFill>
              <w14:schemeClr w14:val="tx1"/>
            </w14:solidFill>
          </w14:textFill>
        </w:rPr>
        <w:t>（一）部门预算项目绩效管理。</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contextualSpacing/>
        <w:jc w:val="both"/>
        <w:textAlignment w:val="auto"/>
        <w:rPr>
          <w:rFonts w:hint="eastAsia" w:ascii="仿宋_GB2312" w:hAnsi="仿宋_GB2312" w:eastAsia="仿宋_GB2312" w:cs="仿宋_GB2312"/>
          <w:b w:val="0"/>
          <w:bCs w:val="0"/>
          <w:i w:val="0"/>
          <w:i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i w:val="0"/>
          <w:iCs w:val="0"/>
          <w:color w:val="000000" w:themeColor="text1"/>
          <w:sz w:val="32"/>
          <w:szCs w:val="32"/>
          <w:u w:val="none"/>
          <w14:textFill>
            <w14:solidFill>
              <w14:schemeClr w14:val="tx1"/>
            </w14:solidFill>
          </w14:textFill>
        </w:rPr>
        <w:t>我厅现由专人负责预算绩效管理，并在《四川省司法厅机关经费</w:t>
      </w:r>
      <w:r>
        <w:rPr>
          <w:rFonts w:hint="eastAsia" w:ascii="仿宋_GB2312" w:hAnsi="仿宋_GB2312" w:eastAsia="仿宋_GB2312" w:cs="仿宋_GB2312"/>
          <w:b w:val="0"/>
          <w:bCs w:val="0"/>
          <w:i w:val="0"/>
          <w:iCs w:val="0"/>
          <w:color w:val="000000" w:themeColor="text1"/>
          <w:sz w:val="32"/>
          <w:szCs w:val="32"/>
          <w:u w:val="none"/>
          <w:lang w:eastAsia="zh-CN"/>
          <w14:textFill>
            <w14:solidFill>
              <w14:schemeClr w14:val="tx1"/>
            </w14:solidFill>
          </w14:textFill>
        </w:rPr>
        <w:t>支出</w:t>
      </w:r>
      <w:r>
        <w:rPr>
          <w:rFonts w:hint="eastAsia" w:ascii="仿宋_GB2312" w:hAnsi="仿宋_GB2312" w:eastAsia="仿宋_GB2312" w:cs="仿宋_GB2312"/>
          <w:b w:val="0"/>
          <w:bCs w:val="0"/>
          <w:i w:val="0"/>
          <w:iCs w:val="0"/>
          <w:color w:val="000000" w:themeColor="text1"/>
          <w:sz w:val="32"/>
          <w:szCs w:val="32"/>
          <w:u w:val="none"/>
          <w14:textFill>
            <w14:solidFill>
              <w14:schemeClr w14:val="tx1"/>
            </w14:solidFill>
          </w14:textFill>
        </w:rPr>
        <w:t>管理办法》中提出预算绩效管理要求，建立“预算编制有目标、预算执行有监控、预算完成有评价、评价结果有反馈、反馈结果有应用”的全过程预算绩效管理机制。</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contextualSpacing/>
        <w:jc w:val="both"/>
        <w:textAlignment w:val="auto"/>
        <w:rPr>
          <w:rFonts w:hint="eastAsia" w:ascii="仿宋_GB2312" w:hAnsi="仿宋_GB2312" w:eastAsia="仿宋_GB2312" w:cs="仿宋_GB2312"/>
          <w:b w:val="0"/>
          <w:bCs w:val="0"/>
          <w:i w:val="0"/>
          <w:i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t>1.绩效目标制定。</w:t>
      </w:r>
      <w:r>
        <w:rPr>
          <w:rFonts w:hint="eastAsia" w:ascii="仿宋_GB2312" w:hAnsi="仿宋_GB2312" w:eastAsia="仿宋_GB2312" w:cs="仿宋_GB2312"/>
          <w:b w:val="0"/>
          <w:bCs w:val="0"/>
          <w:i w:val="0"/>
          <w:iCs w:val="0"/>
          <w:color w:val="000000" w:themeColor="text1"/>
          <w:sz w:val="32"/>
          <w:szCs w:val="32"/>
          <w:u w:val="none"/>
          <w:lang w:eastAsia="zh-CN"/>
          <w14:textFill>
            <w14:solidFill>
              <w14:schemeClr w14:val="tx1"/>
            </w14:solidFill>
          </w14:textFill>
        </w:rPr>
        <w:t>在</w:t>
      </w:r>
      <w:r>
        <w:rPr>
          <w:rFonts w:hint="eastAsia"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t>2021年</w:t>
      </w:r>
      <w:r>
        <w:rPr>
          <w:rFonts w:hint="eastAsia" w:ascii="仿宋_GB2312" w:hAnsi="仿宋_GB2312" w:eastAsia="仿宋_GB2312" w:cs="仿宋_GB2312"/>
          <w:b w:val="0"/>
          <w:bCs w:val="0"/>
          <w:i w:val="0"/>
          <w:iCs w:val="0"/>
          <w:color w:val="000000" w:themeColor="text1"/>
          <w:sz w:val="32"/>
          <w:szCs w:val="32"/>
          <w:u w:val="none"/>
          <w14:textFill>
            <w14:solidFill>
              <w14:schemeClr w14:val="tx1"/>
            </w14:solidFill>
          </w14:textFill>
        </w:rPr>
        <w:t>部门预算</w:t>
      </w:r>
      <w:r>
        <w:rPr>
          <w:rFonts w:hint="eastAsia" w:ascii="仿宋_GB2312" w:hAnsi="仿宋_GB2312" w:eastAsia="仿宋_GB2312" w:cs="仿宋_GB2312"/>
          <w:b w:val="0"/>
          <w:bCs w:val="0"/>
          <w:i w:val="0"/>
          <w:iCs w:val="0"/>
          <w:color w:val="000000" w:themeColor="text1"/>
          <w:sz w:val="32"/>
          <w:szCs w:val="32"/>
          <w:u w:val="none"/>
          <w:lang w:eastAsia="zh-CN"/>
          <w14:textFill>
            <w14:solidFill>
              <w14:schemeClr w14:val="tx1"/>
            </w14:solidFill>
          </w14:textFill>
        </w:rPr>
        <w:t>绩效目标</w:t>
      </w:r>
      <w:r>
        <w:rPr>
          <w:rFonts w:hint="eastAsia" w:ascii="仿宋_GB2312" w:hAnsi="仿宋_GB2312" w:eastAsia="仿宋_GB2312" w:cs="仿宋_GB2312"/>
          <w:b w:val="0"/>
          <w:bCs w:val="0"/>
          <w:i w:val="0"/>
          <w:iCs w:val="0"/>
          <w:color w:val="000000" w:themeColor="text1"/>
          <w:sz w:val="32"/>
          <w:szCs w:val="32"/>
          <w:u w:val="none"/>
          <w14:textFill>
            <w14:solidFill>
              <w14:schemeClr w14:val="tx1"/>
            </w14:solidFill>
          </w14:textFill>
        </w:rPr>
        <w:t>编制工作</w:t>
      </w:r>
      <w:r>
        <w:rPr>
          <w:rFonts w:hint="eastAsia" w:ascii="仿宋_GB2312" w:hAnsi="仿宋_GB2312" w:eastAsia="仿宋_GB2312" w:cs="仿宋_GB2312"/>
          <w:b w:val="0"/>
          <w:bCs w:val="0"/>
          <w:i w:val="0"/>
          <w:iCs w:val="0"/>
          <w:color w:val="000000" w:themeColor="text1"/>
          <w:sz w:val="32"/>
          <w:szCs w:val="32"/>
          <w:u w:val="none"/>
          <w:lang w:eastAsia="zh-CN"/>
          <w14:textFill>
            <w14:solidFill>
              <w14:schemeClr w14:val="tx1"/>
            </w14:solidFill>
          </w14:textFill>
        </w:rPr>
        <w:t>中，</w:t>
      </w:r>
      <w:r>
        <w:rPr>
          <w:rFonts w:hint="eastAsia" w:ascii="仿宋_GB2312" w:hAnsi="仿宋_GB2312" w:eastAsia="仿宋_GB2312" w:cs="仿宋_GB2312"/>
          <w:b w:val="0"/>
          <w:bCs w:val="0"/>
          <w:i w:val="0"/>
          <w:iCs w:val="0"/>
          <w:color w:val="000000" w:themeColor="text1"/>
          <w:sz w:val="32"/>
          <w:szCs w:val="32"/>
          <w:u w:val="none"/>
          <w14:textFill>
            <w14:solidFill>
              <w14:schemeClr w14:val="tx1"/>
            </w14:solidFill>
          </w14:textFill>
        </w:rPr>
        <w:t>对100万元以上项目</w:t>
      </w:r>
      <w:r>
        <w:rPr>
          <w:rFonts w:hint="eastAsia" w:ascii="仿宋_GB2312" w:hAnsi="仿宋_GB2312" w:eastAsia="仿宋_GB2312" w:cs="仿宋_GB2312"/>
          <w:b w:val="0"/>
          <w:bCs w:val="0"/>
          <w:i w:val="0"/>
          <w:iCs w:val="0"/>
          <w:color w:val="000000" w:themeColor="text1"/>
          <w:sz w:val="32"/>
          <w:szCs w:val="32"/>
          <w:u w:val="none"/>
          <w:lang w:eastAsia="zh-CN"/>
          <w14:textFill>
            <w14:solidFill>
              <w14:schemeClr w14:val="tx1"/>
            </w14:solidFill>
          </w14:textFill>
        </w:rPr>
        <w:t>编报</w:t>
      </w:r>
      <w:r>
        <w:rPr>
          <w:rFonts w:hint="eastAsia" w:ascii="仿宋_GB2312" w:hAnsi="仿宋_GB2312" w:eastAsia="仿宋_GB2312" w:cs="仿宋_GB2312"/>
          <w:b w:val="0"/>
          <w:bCs w:val="0"/>
          <w:i w:val="0"/>
          <w:iCs w:val="0"/>
          <w:color w:val="000000" w:themeColor="text1"/>
          <w:sz w:val="32"/>
          <w:szCs w:val="32"/>
          <w:u w:val="none"/>
          <w14:textFill>
            <w14:solidFill>
              <w14:schemeClr w14:val="tx1"/>
            </w14:solidFill>
          </w14:textFill>
        </w:rPr>
        <w:t>绩效目标，逐一进行细化每个项目绩效目标填报不少于</w:t>
      </w:r>
      <w:r>
        <w:rPr>
          <w:rFonts w:hint="eastAsia"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t>5</w:t>
      </w:r>
      <w:r>
        <w:rPr>
          <w:rFonts w:hint="eastAsia" w:ascii="仿宋_GB2312" w:hAnsi="仿宋_GB2312" w:eastAsia="仿宋_GB2312" w:cs="仿宋_GB2312"/>
          <w:b w:val="0"/>
          <w:bCs w:val="0"/>
          <w:i w:val="0"/>
          <w:iCs w:val="0"/>
          <w:color w:val="000000" w:themeColor="text1"/>
          <w:sz w:val="32"/>
          <w:szCs w:val="32"/>
          <w:u w:val="none"/>
          <w14:textFill>
            <w14:solidFill>
              <w14:schemeClr w14:val="tx1"/>
            </w14:solidFill>
          </w14:textFill>
        </w:rPr>
        <w:t>个指标。绩效目标指向明确，符合国民经济和社会发展规划、结合部门职能及事业发展规划等,特别在数量、质量、成本、时效、效益等方面进行了具体量化。</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contextualSpacing/>
        <w:jc w:val="both"/>
        <w:textAlignment w:val="auto"/>
        <w:rPr>
          <w:rFonts w:hint="eastAsia"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t>2.绩效目标实现。2021纳入预算绩效管理项目共计29个，均为特定目标类项目，项目实际完成情况与逾期绩效目标未出现偏离。</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contextualSpacing/>
        <w:jc w:val="both"/>
        <w:textAlignment w:val="auto"/>
        <w:rPr>
          <w:rFonts w:hint="eastAsia"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t>3.支出控制。司法厅公用经费及非定额公用项目年初预算数与决算数偏差程度均在10%以内。</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contextualSpacing/>
        <w:jc w:val="both"/>
        <w:textAlignment w:val="auto"/>
        <w:rPr>
          <w:rFonts w:hint="eastAsia"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t>4.及时处置。按照财政厅开展预算绩效管理结果与预算安排挂钩定期清理评估要求，对预算项目实施进行监控，及时发现项目目标偏离情况，提出相关处置意见。在8月自行监控工作中，发现存在个别项目和预算需要调整，经财政厅有关部门审批同意调减预算1117万元。2021年结余资金2439.81万元，其中结转预算496.79万元，最终结余注销金额为1943.02万元。</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contextualSpacing/>
        <w:jc w:val="both"/>
        <w:textAlignment w:val="auto"/>
        <w:rPr>
          <w:rFonts w:hint="eastAsia"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t>5.执行进度。司法厅2021年预算执行进度与序时进度基本持平，具体包括：6月执行进度为37.5%，9月执行进度为56%，11月执行进度为77.1%。</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contextualSpacing/>
        <w:jc w:val="both"/>
        <w:textAlignment w:val="auto"/>
        <w:rPr>
          <w:rFonts w:hint="eastAsia"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t>6.预算完成情况。根据财政厅提供数据查询，司法厅2021年12月执行进度为93%。</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contextualSpacing/>
        <w:jc w:val="both"/>
        <w:textAlignment w:val="auto"/>
        <w:rPr>
          <w:rFonts w:hint="eastAsia"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t>7.资金结余率。2021年纳入绩效管理共29各项目，资金结余率小于0.1的项目数为21个。</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contextualSpacing/>
        <w:jc w:val="both"/>
        <w:textAlignment w:val="auto"/>
        <w:rPr>
          <w:rFonts w:hint="eastAsia"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t>8.违规记录。2021年度司法厅无预算绩效管理违规记录。</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contextualSpacing/>
        <w:jc w:val="both"/>
        <w:textAlignment w:val="auto"/>
        <w:rPr>
          <w:rFonts w:hint="eastAsia" w:ascii="楷体_GB2312" w:hAnsi="楷体_GB2312" w:eastAsia="楷体_GB2312" w:cs="楷体_GB2312"/>
          <w:b w:val="0"/>
          <w:bCs w:val="0"/>
          <w:i w:val="0"/>
          <w:iCs w:val="0"/>
          <w:color w:val="000000" w:themeColor="text1"/>
          <w:sz w:val="32"/>
          <w:szCs w:val="32"/>
          <w:u w:val="none"/>
          <w:lang w:val="zh-CN"/>
          <w14:textFill>
            <w14:solidFill>
              <w14:schemeClr w14:val="tx1"/>
            </w14:solidFill>
          </w14:textFill>
        </w:rPr>
      </w:pPr>
      <w:r>
        <w:rPr>
          <w:rFonts w:hint="eastAsia" w:ascii="楷体_GB2312" w:hAnsi="楷体_GB2312" w:eastAsia="楷体_GB2312" w:cs="楷体_GB2312"/>
          <w:b w:val="0"/>
          <w:bCs w:val="0"/>
          <w:i w:val="0"/>
          <w:iCs w:val="0"/>
          <w:color w:val="000000" w:themeColor="text1"/>
          <w:kern w:val="0"/>
          <w:sz w:val="32"/>
          <w:szCs w:val="32"/>
          <w:highlight w:val="none"/>
          <w:u w:val="none"/>
          <w:shd w:val="clear" w:color="auto" w:fill="FFFFFF"/>
          <w:lang w:val="zh-CN"/>
          <w14:textFill>
            <w14:solidFill>
              <w14:schemeClr w14:val="tx1"/>
            </w14:solidFill>
          </w14:textFill>
        </w:rPr>
        <w:t>（二）结果应用情况。</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contextualSpacing/>
        <w:jc w:val="both"/>
        <w:textAlignment w:val="auto"/>
        <w:rPr>
          <w:rFonts w:hint="eastAsia"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t>根据绩效管理相关规定，2021年我厅按要求开展预算执行动态监控、中期评估、绩效跟踪监控管理工作。建设三年滚动规划项目库，重点细化项目绩效指标值。</w:t>
      </w:r>
      <w:r>
        <w:rPr>
          <w:rFonts w:hint="eastAsia" w:ascii="仿宋_GB2312" w:hAnsi="仿宋_GB2312" w:eastAsia="仿宋_GB2312" w:cs="仿宋_GB2312"/>
          <w:b w:val="0"/>
          <w:bCs w:val="0"/>
          <w:i w:val="0"/>
          <w:iCs w:val="0"/>
          <w:color w:val="000000" w:themeColor="text1"/>
          <w:sz w:val="32"/>
          <w:szCs w:val="32"/>
          <w:u w:val="none"/>
          <w14:textFill>
            <w14:solidFill>
              <w14:schemeClr w14:val="tx1"/>
            </w14:solidFill>
          </w14:textFill>
        </w:rPr>
        <w:t>督促</w:t>
      </w:r>
      <w:r>
        <w:rPr>
          <w:rFonts w:hint="eastAsia" w:ascii="仿宋_GB2312" w:hAnsi="仿宋_GB2312" w:eastAsia="仿宋_GB2312" w:cs="仿宋_GB2312"/>
          <w:b w:val="0"/>
          <w:bCs w:val="0"/>
          <w:i w:val="0"/>
          <w:iCs w:val="0"/>
          <w:color w:val="000000" w:themeColor="text1"/>
          <w:sz w:val="32"/>
          <w:szCs w:val="32"/>
          <w:u w:val="none"/>
          <w:lang w:eastAsia="zh-CN"/>
          <w14:textFill>
            <w14:solidFill>
              <w14:schemeClr w14:val="tx1"/>
            </w14:solidFill>
          </w14:textFill>
        </w:rPr>
        <w:t>各</w:t>
      </w:r>
      <w:r>
        <w:rPr>
          <w:rFonts w:hint="eastAsia" w:ascii="仿宋_GB2312" w:hAnsi="仿宋_GB2312" w:eastAsia="仿宋_GB2312" w:cs="仿宋_GB2312"/>
          <w:b w:val="0"/>
          <w:bCs w:val="0"/>
          <w:i w:val="0"/>
          <w:iCs w:val="0"/>
          <w:color w:val="000000" w:themeColor="text1"/>
          <w:sz w:val="32"/>
          <w:szCs w:val="32"/>
          <w:u w:val="none"/>
          <w14:textFill>
            <w14:solidFill>
              <w14:schemeClr w14:val="tx1"/>
            </w14:solidFill>
          </w14:textFill>
        </w:rPr>
        <w:t>部门按进度及时推进项目实施，加强预算执行管理，对多部门共用的业务经费进行分解到厅机关各业务处（室）</w:t>
      </w:r>
      <w:r>
        <w:rPr>
          <w:rFonts w:hint="eastAsia"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t>，</w:t>
      </w:r>
      <w:r>
        <w:rPr>
          <w:rFonts w:hint="eastAsia" w:ascii="仿宋_GB2312" w:hAnsi="仿宋_GB2312" w:eastAsia="仿宋_GB2312" w:cs="仿宋_GB2312"/>
          <w:b w:val="0"/>
          <w:bCs w:val="0"/>
          <w:i w:val="0"/>
          <w:iCs w:val="0"/>
          <w:color w:val="000000" w:themeColor="text1"/>
          <w:sz w:val="32"/>
          <w:szCs w:val="32"/>
          <w:u w:val="none"/>
          <w14:textFill>
            <w14:solidFill>
              <w14:schemeClr w14:val="tx1"/>
            </w14:solidFill>
          </w14:textFill>
        </w:rPr>
        <w:t>根据经费额度细化具体项目，对经费使用实行项目化管理，严格按计划实施项目并执行预算，按月通报各处室预算执行进度</w:t>
      </w:r>
      <w:r>
        <w:rPr>
          <w:rFonts w:hint="eastAsia" w:ascii="仿宋_GB2312" w:hAnsi="仿宋_GB2312" w:eastAsia="仿宋_GB2312" w:cs="仿宋_GB2312"/>
          <w:b w:val="0"/>
          <w:bCs w:val="0"/>
          <w:i w:val="0"/>
          <w:iCs w:val="0"/>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t>对处室项目执行情况与绩效完成情况进行考评，把绩效评价结果作为对各业务处室下年度安排预算的重要依据。对绩效低的项目资金，采取取消或调整的方式，调整支出结构，使预算安排使用更合理有效。绩效评价结果在一定范围内公布，以增强资金使用的透明度，发挥绩效评价对财政资金的跟踪问效用和决策信息反馈作用。</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contextualSpacing/>
        <w:jc w:val="both"/>
        <w:textAlignment w:val="auto"/>
        <w:rPr>
          <w:rFonts w:hint="eastAsia" w:ascii="楷体_GB2312" w:hAnsi="楷体_GB2312" w:eastAsia="楷体_GB2312" w:cs="楷体_GB2312"/>
          <w:b w:val="0"/>
          <w:bCs w:val="0"/>
          <w:i w:val="0"/>
          <w:iCs w:val="0"/>
          <w:color w:val="000000" w:themeColor="text1"/>
          <w:kern w:val="0"/>
          <w:sz w:val="32"/>
          <w:szCs w:val="32"/>
          <w:highlight w:val="none"/>
          <w:u w:val="none"/>
          <w:shd w:val="clear" w:color="auto" w:fill="FFFFFF"/>
          <w:lang w:val="zh-CN"/>
          <w14:textFill>
            <w14:solidFill>
              <w14:schemeClr w14:val="tx1"/>
            </w14:solidFill>
          </w14:textFill>
        </w:rPr>
      </w:pPr>
      <w:r>
        <w:rPr>
          <w:rFonts w:hint="eastAsia" w:ascii="楷体_GB2312" w:hAnsi="楷体_GB2312" w:eastAsia="楷体_GB2312" w:cs="楷体_GB2312"/>
          <w:b w:val="0"/>
          <w:bCs w:val="0"/>
          <w:i w:val="0"/>
          <w:iCs w:val="0"/>
          <w:color w:val="000000" w:themeColor="text1"/>
          <w:kern w:val="0"/>
          <w:sz w:val="32"/>
          <w:szCs w:val="32"/>
          <w:highlight w:val="none"/>
          <w:u w:val="none"/>
          <w:shd w:val="clear" w:color="auto" w:fill="FFFFFF"/>
          <w:lang w:val="zh-CN"/>
          <w14:textFill>
            <w14:solidFill>
              <w14:schemeClr w14:val="tx1"/>
            </w14:solidFill>
          </w14:textFill>
        </w:rPr>
        <w:t>（三）自评质量</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contextualSpacing/>
        <w:jc w:val="both"/>
        <w:textAlignment w:val="auto"/>
        <w:rPr>
          <w:rFonts w:hint="eastAsia"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t>本次部门整体支出绩效自评客观公正，自评考核数据来源为财政厅有关部门提供、财政大平台指标查询以及部门决算报表相关数据等，自评质量较好。</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contextualSpacing/>
        <w:jc w:val="both"/>
        <w:textAlignment w:val="auto"/>
        <w:rPr>
          <w:rFonts w:hint="eastAsia" w:ascii="黑体" w:hAnsi="黑体" w:eastAsia="黑体" w:cs="黑体"/>
          <w:b w:val="0"/>
          <w:bCs w:val="0"/>
          <w:i w:val="0"/>
          <w:iCs w:val="0"/>
          <w:color w:val="000000" w:themeColor="text1"/>
          <w:kern w:val="0"/>
          <w:sz w:val="32"/>
          <w:szCs w:val="32"/>
          <w:highlight w:val="none"/>
          <w:u w:val="none"/>
          <w:shd w:val="clear" w:color="auto" w:fill="FFFFFF"/>
          <w14:textFill>
            <w14:solidFill>
              <w14:schemeClr w14:val="tx1"/>
            </w14:solidFill>
          </w14:textFill>
        </w:rPr>
      </w:pPr>
      <w:r>
        <w:rPr>
          <w:rFonts w:hint="eastAsia" w:ascii="黑体" w:hAnsi="黑体" w:eastAsia="黑体" w:cs="黑体"/>
          <w:b w:val="0"/>
          <w:bCs w:val="0"/>
          <w:i w:val="0"/>
          <w:iCs w:val="0"/>
          <w:color w:val="000000" w:themeColor="text1"/>
          <w:kern w:val="0"/>
          <w:sz w:val="32"/>
          <w:szCs w:val="32"/>
          <w:highlight w:val="none"/>
          <w:u w:val="none"/>
          <w:shd w:val="clear" w:color="auto" w:fill="FFFFFF"/>
          <w14:textFill>
            <w14:solidFill>
              <w14:schemeClr w14:val="tx1"/>
            </w14:solidFill>
          </w14:textFill>
        </w:rPr>
        <w:t>四、评价结论及建议</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contextualSpacing/>
        <w:jc w:val="both"/>
        <w:textAlignment w:val="auto"/>
        <w:rPr>
          <w:rFonts w:hint="eastAsia" w:ascii="楷体_GB2312" w:hAnsi="楷体_GB2312" w:eastAsia="楷体_GB2312" w:cs="楷体_GB2312"/>
          <w:b w:val="0"/>
          <w:bCs w:val="0"/>
          <w:i w:val="0"/>
          <w:iCs w:val="0"/>
          <w:color w:val="000000" w:themeColor="text1"/>
          <w:kern w:val="0"/>
          <w:sz w:val="32"/>
          <w:szCs w:val="32"/>
          <w:highlight w:val="none"/>
          <w:u w:val="none"/>
          <w:shd w:val="clear" w:color="auto" w:fill="FFFFFF"/>
          <w:lang w:val="zh-CN"/>
          <w14:textFill>
            <w14:solidFill>
              <w14:schemeClr w14:val="tx1"/>
            </w14:solidFill>
          </w14:textFill>
        </w:rPr>
      </w:pPr>
      <w:r>
        <w:rPr>
          <w:rFonts w:hint="eastAsia" w:ascii="楷体_GB2312" w:hAnsi="楷体_GB2312" w:eastAsia="楷体_GB2312" w:cs="楷体_GB2312"/>
          <w:b w:val="0"/>
          <w:bCs w:val="0"/>
          <w:i w:val="0"/>
          <w:iCs w:val="0"/>
          <w:color w:val="000000" w:themeColor="text1"/>
          <w:kern w:val="0"/>
          <w:sz w:val="32"/>
          <w:szCs w:val="32"/>
          <w:highlight w:val="none"/>
          <w:u w:val="none"/>
          <w:shd w:val="clear" w:color="auto" w:fill="FFFFFF"/>
          <w:lang w:val="zh-CN"/>
          <w14:textFill>
            <w14:solidFill>
              <w14:schemeClr w14:val="tx1"/>
            </w14:solidFill>
          </w14:textFill>
        </w:rPr>
        <w:t>（一）评价结论。</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contextualSpacing/>
        <w:jc w:val="both"/>
        <w:textAlignment w:val="auto"/>
        <w:rPr>
          <w:rFonts w:hint="eastAsia"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t>2022年部门整体支出绩效自评总分100分，我厅得分91.04分，主要扣分原因：一是“部门预算项目绩效管理—动态调整—及时处置”扣分6.35分，原因是我厅2021年预算结余注销额1943.02万元；二是“部门预算项目绩效管理—动态调整—执行进度”扣分0.53分，原因是我厅6、9、11月预算执行进度落后序时进度；三是“部门预算项目绩效管理—完成结果—预算完成”扣分0.7分，原因是我厅2021年12月执行进度为93%；四是“部门预算项目绩效管理—完成结果—资金结余率”扣分1.38分，原因是司法厅2021年资金结余率大于0.1的项目有8个。</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contextualSpacing/>
        <w:jc w:val="both"/>
        <w:textAlignment w:val="auto"/>
        <w:rPr>
          <w:rFonts w:hint="eastAsia" w:ascii="楷体_GB2312" w:hAnsi="楷体_GB2312" w:eastAsia="楷体_GB2312" w:cs="楷体_GB2312"/>
          <w:b w:val="0"/>
          <w:bCs w:val="0"/>
          <w:i w:val="0"/>
          <w:iCs w:val="0"/>
          <w:color w:val="000000" w:themeColor="text1"/>
          <w:kern w:val="0"/>
          <w:sz w:val="32"/>
          <w:szCs w:val="32"/>
          <w:highlight w:val="none"/>
          <w:u w:val="none"/>
          <w:shd w:val="clear" w:color="auto" w:fill="FFFFFF"/>
          <w:lang w:val="zh-CN"/>
          <w14:textFill>
            <w14:solidFill>
              <w14:schemeClr w14:val="tx1"/>
            </w14:solidFill>
          </w14:textFill>
        </w:rPr>
      </w:pPr>
      <w:r>
        <w:rPr>
          <w:rFonts w:hint="eastAsia" w:ascii="楷体_GB2312" w:hAnsi="楷体_GB2312" w:eastAsia="楷体_GB2312" w:cs="楷体_GB2312"/>
          <w:b w:val="0"/>
          <w:bCs w:val="0"/>
          <w:i w:val="0"/>
          <w:iCs w:val="0"/>
          <w:color w:val="000000" w:themeColor="text1"/>
          <w:kern w:val="0"/>
          <w:sz w:val="32"/>
          <w:szCs w:val="32"/>
          <w:highlight w:val="none"/>
          <w:u w:val="none"/>
          <w:shd w:val="clear" w:color="auto" w:fill="FFFFFF"/>
          <w:lang w:val="zh-CN"/>
          <w14:textFill>
            <w14:solidFill>
              <w14:schemeClr w14:val="tx1"/>
            </w14:solidFill>
          </w14:textFill>
        </w:rPr>
        <w:t>（二）存在问题。</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contextualSpacing/>
        <w:jc w:val="both"/>
        <w:textAlignment w:val="auto"/>
        <w:rPr>
          <w:rFonts w:hint="eastAsia" w:ascii="仿宋_GB2312" w:hAnsi="仿宋_GB2312" w:eastAsia="仿宋_GB2312" w:cs="仿宋_GB2312"/>
          <w:b w:val="0"/>
          <w:bCs w:val="0"/>
          <w:i w:val="0"/>
          <w:iCs w:val="0"/>
          <w:color w:val="000000" w:themeColor="text1"/>
          <w:sz w:val="32"/>
          <w:szCs w:val="32"/>
          <w:u w:val="none"/>
          <w:lang w:val="zh-CN"/>
          <w14:textFill>
            <w14:solidFill>
              <w14:schemeClr w14:val="tx1"/>
            </w14:solidFill>
          </w14:textFill>
        </w:rPr>
      </w:pPr>
      <w:r>
        <w:rPr>
          <w:rFonts w:hint="eastAsia"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t>2021年司法厅</w:t>
      </w:r>
      <w:r>
        <w:rPr>
          <w:rFonts w:hint="eastAsia" w:ascii="仿宋_GB2312" w:hAnsi="仿宋_GB2312" w:eastAsia="仿宋_GB2312" w:cs="仿宋_GB2312"/>
          <w:b w:val="0"/>
          <w:bCs w:val="0"/>
          <w:i w:val="0"/>
          <w:iCs w:val="0"/>
          <w:color w:val="000000" w:themeColor="text1"/>
          <w:sz w:val="32"/>
          <w:szCs w:val="32"/>
          <w:u w:val="none"/>
          <w14:textFill>
            <w14:solidFill>
              <w14:schemeClr w14:val="tx1"/>
            </w14:solidFill>
          </w14:textFill>
        </w:rPr>
        <w:t>基本完成预算，</w:t>
      </w:r>
      <w:r>
        <w:rPr>
          <w:rFonts w:hint="eastAsia" w:ascii="仿宋_GB2312" w:hAnsi="仿宋_GB2312" w:eastAsia="仿宋_GB2312" w:cs="仿宋_GB2312"/>
          <w:b w:val="0"/>
          <w:bCs w:val="0"/>
          <w:i w:val="0"/>
          <w:iCs w:val="0"/>
          <w:color w:val="000000" w:themeColor="text1"/>
          <w:sz w:val="32"/>
          <w:szCs w:val="32"/>
          <w:u w:val="none"/>
          <w:lang w:eastAsia="zh-CN"/>
          <w14:textFill>
            <w14:solidFill>
              <w14:schemeClr w14:val="tx1"/>
            </w14:solidFill>
          </w14:textFill>
        </w:rPr>
        <w:t>但还</w:t>
      </w:r>
      <w:r>
        <w:rPr>
          <w:rFonts w:hint="eastAsia" w:ascii="仿宋_GB2312" w:hAnsi="仿宋_GB2312" w:eastAsia="仿宋_GB2312" w:cs="仿宋_GB2312"/>
          <w:b w:val="0"/>
          <w:bCs w:val="0"/>
          <w:i w:val="0"/>
          <w:iCs w:val="0"/>
          <w:color w:val="000000" w:themeColor="text1"/>
          <w:sz w:val="32"/>
          <w:szCs w:val="32"/>
          <w:u w:val="none"/>
          <w14:textFill>
            <w14:solidFill>
              <w14:schemeClr w14:val="tx1"/>
            </w14:solidFill>
          </w14:textFill>
        </w:rPr>
        <w:t>存在</w:t>
      </w:r>
      <w:r>
        <w:rPr>
          <w:rFonts w:hint="eastAsia" w:ascii="仿宋_GB2312" w:hAnsi="仿宋_GB2312" w:eastAsia="仿宋_GB2312" w:cs="仿宋_GB2312"/>
          <w:b w:val="0"/>
          <w:bCs w:val="0"/>
          <w:i w:val="0"/>
          <w:iCs w:val="0"/>
          <w:color w:val="000000" w:themeColor="text1"/>
          <w:sz w:val="32"/>
          <w:szCs w:val="32"/>
          <w:u w:val="none"/>
          <w:lang w:eastAsia="zh-CN"/>
          <w14:textFill>
            <w14:solidFill>
              <w14:schemeClr w14:val="tx1"/>
            </w14:solidFill>
          </w14:textFill>
        </w:rPr>
        <w:t>预算绩效监控不全面，处置问题不及时，预算资金结余注销率较大的问题。</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contextualSpacing/>
        <w:jc w:val="both"/>
        <w:textAlignment w:val="auto"/>
        <w:rPr>
          <w:rFonts w:hint="eastAsia" w:ascii="楷体_GB2312" w:hAnsi="楷体_GB2312" w:eastAsia="楷体_GB2312" w:cs="楷体_GB2312"/>
          <w:b w:val="0"/>
          <w:bCs w:val="0"/>
          <w:i w:val="0"/>
          <w:iCs w:val="0"/>
          <w:color w:val="000000" w:themeColor="text1"/>
          <w:kern w:val="0"/>
          <w:sz w:val="32"/>
          <w:szCs w:val="32"/>
          <w:highlight w:val="none"/>
          <w:u w:val="none"/>
          <w:shd w:val="clear" w:color="auto" w:fill="FFFFFF"/>
          <w:lang w:val="zh-CN"/>
          <w14:textFill>
            <w14:solidFill>
              <w14:schemeClr w14:val="tx1"/>
            </w14:solidFill>
          </w14:textFill>
        </w:rPr>
      </w:pPr>
      <w:r>
        <w:rPr>
          <w:rFonts w:hint="eastAsia" w:ascii="楷体_GB2312" w:hAnsi="楷体_GB2312" w:eastAsia="楷体_GB2312" w:cs="楷体_GB2312"/>
          <w:b w:val="0"/>
          <w:bCs w:val="0"/>
          <w:i w:val="0"/>
          <w:iCs w:val="0"/>
          <w:color w:val="000000" w:themeColor="text1"/>
          <w:kern w:val="0"/>
          <w:sz w:val="32"/>
          <w:szCs w:val="32"/>
          <w:highlight w:val="none"/>
          <w:u w:val="none"/>
          <w:shd w:val="clear" w:color="auto" w:fill="FFFFFF"/>
          <w:lang w:val="zh-CN"/>
          <w14:textFill>
            <w14:solidFill>
              <w14:schemeClr w14:val="tx1"/>
            </w14:solidFill>
          </w14:textFill>
        </w:rPr>
        <w:t>（三）改进建议。</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contextualSpacing/>
        <w:jc w:val="both"/>
        <w:textAlignment w:val="auto"/>
        <w:rPr>
          <w:rFonts w:hint="eastAsia" w:ascii="仿宋_GB2312" w:hAnsi="仿宋_GB2312" w:eastAsia="仿宋_GB2312" w:cs="仿宋_GB2312"/>
          <w:b w:val="0"/>
          <w:bCs w:val="0"/>
          <w:i w:val="0"/>
          <w:iCs w:val="0"/>
          <w:color w:val="000000" w:themeColor="text1"/>
          <w:sz w:val="32"/>
          <w:szCs w:val="32"/>
          <w:u w:val="none"/>
          <w:lang w:val="zh-CN"/>
          <w14:textFill>
            <w14:solidFill>
              <w14:schemeClr w14:val="tx1"/>
            </w14:solidFill>
          </w14:textFill>
        </w:rPr>
      </w:pPr>
      <w:r>
        <w:rPr>
          <w:rFonts w:hint="eastAsia" w:ascii="仿宋_GB2312" w:hAnsi="仿宋_GB2312" w:eastAsia="仿宋_GB2312" w:cs="仿宋_GB2312"/>
          <w:b w:val="0"/>
          <w:bCs w:val="0"/>
          <w:i w:val="0"/>
          <w:iCs w:val="0"/>
          <w:color w:val="000000" w:themeColor="text1"/>
          <w:sz w:val="32"/>
          <w:szCs w:val="32"/>
          <w:u w:val="none"/>
          <w14:textFill>
            <w14:solidFill>
              <w14:schemeClr w14:val="tx1"/>
            </w14:solidFill>
          </w14:textFill>
        </w:rPr>
        <w:t>针对以上存在的问题，在</w:t>
      </w:r>
      <w:r>
        <w:rPr>
          <w:rFonts w:hint="eastAsia"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t>2022</w:t>
      </w:r>
      <w:r>
        <w:rPr>
          <w:rFonts w:hint="eastAsia" w:ascii="仿宋_GB2312" w:hAnsi="仿宋_GB2312" w:eastAsia="仿宋_GB2312" w:cs="仿宋_GB2312"/>
          <w:b w:val="0"/>
          <w:bCs w:val="0"/>
          <w:i w:val="0"/>
          <w:iCs w:val="0"/>
          <w:color w:val="000000" w:themeColor="text1"/>
          <w:sz w:val="32"/>
          <w:szCs w:val="32"/>
          <w:u w:val="none"/>
          <w14:textFill>
            <w14:solidFill>
              <w14:schemeClr w14:val="tx1"/>
            </w14:solidFill>
          </w14:textFill>
        </w:rPr>
        <w:t>年预算执行中，</w:t>
      </w:r>
      <w:r>
        <w:rPr>
          <w:rFonts w:hint="eastAsia" w:ascii="仿宋_GB2312" w:hAnsi="仿宋_GB2312" w:eastAsia="仿宋_GB2312" w:cs="仿宋_GB2312"/>
          <w:b w:val="0"/>
          <w:bCs w:val="0"/>
          <w:i w:val="0"/>
          <w:iCs w:val="0"/>
          <w:color w:val="000000" w:themeColor="text1"/>
          <w:sz w:val="32"/>
          <w:szCs w:val="32"/>
          <w:u w:val="none"/>
          <w:lang w:eastAsia="zh-CN"/>
          <w14:textFill>
            <w14:solidFill>
              <w14:schemeClr w14:val="tx1"/>
            </w14:solidFill>
          </w14:textFill>
        </w:rPr>
        <w:t>将</w:t>
      </w:r>
      <w:r>
        <w:rPr>
          <w:rFonts w:hint="eastAsia" w:ascii="仿宋_GB2312" w:hAnsi="仿宋_GB2312" w:eastAsia="仿宋_GB2312" w:cs="仿宋_GB2312"/>
          <w:b w:val="0"/>
          <w:bCs w:val="0"/>
          <w:i w:val="0"/>
          <w:iCs w:val="0"/>
          <w:color w:val="000000" w:themeColor="text1"/>
          <w:sz w:val="32"/>
          <w:szCs w:val="32"/>
          <w:u w:val="none"/>
          <w14:textFill>
            <w14:solidFill>
              <w14:schemeClr w14:val="tx1"/>
            </w14:solidFill>
          </w14:textFill>
        </w:rPr>
        <w:t>进一步</w:t>
      </w:r>
      <w:r>
        <w:rPr>
          <w:rFonts w:hint="eastAsia" w:ascii="仿宋_GB2312" w:hAnsi="仿宋_GB2312" w:eastAsia="仿宋_GB2312" w:cs="仿宋_GB2312"/>
          <w:b w:val="0"/>
          <w:bCs w:val="0"/>
          <w:i w:val="0"/>
          <w:iCs w:val="0"/>
          <w:color w:val="000000" w:themeColor="text1"/>
          <w:sz w:val="32"/>
          <w:szCs w:val="32"/>
          <w:u w:val="none"/>
          <w:lang w:eastAsia="zh-CN"/>
          <w14:textFill>
            <w14:solidFill>
              <w14:schemeClr w14:val="tx1"/>
            </w14:solidFill>
          </w14:textFill>
        </w:rPr>
        <w:t>提高部门预算绩效管理水平：一是建立健全预算绩效管理制度，完善管理机制；二是利用信息化技术手段，全面开展预算项目绩效管理；三是加强预算监控力度，对执行较差、目标偏离的项目，及时按程序提出处置意见，避免造成财政资金浪费；四是加强预算编制的科学、合理和准确性，并将</w:t>
      </w:r>
      <w:r>
        <w:rPr>
          <w:rFonts w:hint="eastAsia" w:ascii="仿宋_GB2312" w:hAnsi="仿宋_GB2312" w:eastAsia="仿宋_GB2312" w:cs="仿宋_GB2312"/>
          <w:b w:val="0"/>
          <w:bCs w:val="0"/>
          <w:i w:val="0"/>
          <w:iCs w:val="0"/>
          <w:color w:val="000000" w:themeColor="text1"/>
          <w:sz w:val="32"/>
          <w:szCs w:val="32"/>
          <w:u w:val="none"/>
          <w14:textFill>
            <w14:solidFill>
              <w14:schemeClr w14:val="tx1"/>
            </w14:solidFill>
          </w14:textFill>
        </w:rPr>
        <w:t>把预算绩效结果与预算经费安排挂钩</w:t>
      </w:r>
      <w:r>
        <w:rPr>
          <w:rFonts w:hint="eastAsia" w:ascii="仿宋_GB2312" w:hAnsi="仿宋_GB2312" w:eastAsia="仿宋_GB2312" w:cs="仿宋_GB2312"/>
          <w:b w:val="0"/>
          <w:bCs w:val="0"/>
          <w:i w:val="0"/>
          <w:iCs w:val="0"/>
          <w:color w:val="000000" w:themeColor="text1"/>
          <w:sz w:val="32"/>
          <w:szCs w:val="32"/>
          <w:u w:val="none"/>
          <w:lang w:eastAsia="zh-CN"/>
          <w14:textFill>
            <w14:solidFill>
              <w14:schemeClr w14:val="tx1"/>
            </w14:solidFill>
          </w14:textFill>
        </w:rPr>
        <w:t>；五是</w:t>
      </w:r>
      <w:r>
        <w:rPr>
          <w:rFonts w:hint="eastAsia"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t>积极与财政部门沟通协调，按要求完成各项工作任务。六是加强财务人员和部门财务联络员绩效管理理论知识的培训学习。</w:t>
      </w:r>
    </w:p>
    <w:p>
      <w:pPr>
        <w:widowControl w:val="0"/>
        <w:spacing w:beforeLines="30"/>
        <w:jc w:val="both"/>
        <w:rPr>
          <w:rFonts w:hint="eastAsia" w:ascii="仿宋_GB2312" w:hAnsi="Times New Roman" w:eastAsia="仿宋_GB2312" w:cs="Times New Roman"/>
          <w:color w:val="000000" w:themeColor="text1"/>
          <w:kern w:val="0"/>
          <w:sz w:val="30"/>
          <w:szCs w:val="24"/>
          <w:highlight w:val="none"/>
          <w:lang w:val="zh-CN" w:eastAsia="zh-CN" w:bidi="ar-SA"/>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afterAutospacing="0" w:line="560" w:lineRule="exact"/>
        <w:contextualSpacing/>
        <w:jc w:val="left"/>
        <w:textAlignment w:val="auto"/>
        <w:rPr>
          <w:rFonts w:hint="eastAsia" w:ascii="仿宋_GB2312" w:hAnsi="宋体" w:eastAsia="仿宋_GB2312" w:cs="宋体"/>
          <w:b w:val="0"/>
          <w:bCs w:val="0"/>
          <w:color w:val="000000" w:themeColor="text1"/>
          <w:kern w:val="0"/>
          <w:sz w:val="32"/>
          <w:szCs w:val="32"/>
          <w:highlight w:val="none"/>
          <w:shd w:val="clear" w:color="auto" w:fill="FFFFFF"/>
          <w:lang w:val="zh-CN"/>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afterAutospacing="0" w:line="560" w:lineRule="exact"/>
        <w:contextualSpacing/>
        <w:jc w:val="left"/>
        <w:textAlignment w:val="auto"/>
        <w:rPr>
          <w:rFonts w:hint="eastAsia" w:ascii="仿宋_GB2312" w:hAnsi="宋体" w:eastAsia="仿宋_GB2312" w:cs="宋体"/>
          <w:b w:val="0"/>
          <w:bCs w:val="0"/>
          <w:color w:val="000000" w:themeColor="text1"/>
          <w:kern w:val="0"/>
          <w:sz w:val="32"/>
          <w:szCs w:val="32"/>
          <w:highlight w:val="none"/>
          <w:shd w:val="clear" w:color="auto" w:fill="FFFFFF"/>
          <w:lang w:val="zh-CN"/>
          <w14:textFill>
            <w14:solidFill>
              <w14:schemeClr w14:val="tx1"/>
            </w14:solidFill>
          </w14:textFill>
        </w:rPr>
      </w:pPr>
      <w:r>
        <w:rPr>
          <w:rFonts w:hint="eastAsia" w:ascii="仿宋_GB2312" w:hAnsi="宋体" w:eastAsia="仿宋_GB2312" w:cs="宋体"/>
          <w:b w:val="0"/>
          <w:bCs w:val="0"/>
          <w:color w:val="000000" w:themeColor="text1"/>
          <w:kern w:val="0"/>
          <w:sz w:val="32"/>
          <w:szCs w:val="32"/>
          <w:highlight w:val="none"/>
          <w:shd w:val="clear" w:color="auto" w:fill="FFFFFF"/>
          <w:lang w:val="zh-CN"/>
          <w14:textFill>
            <w14:solidFill>
              <w14:schemeClr w14:val="tx1"/>
            </w14:solidFill>
          </w14:textFill>
        </w:rPr>
        <w:t>附表：</w:t>
      </w:r>
    </w:p>
    <w:p>
      <w:pPr>
        <w:keepNext w:val="0"/>
        <w:keepLines w:val="0"/>
        <w:pageBreakBefore w:val="0"/>
        <w:widowControl w:val="0"/>
        <w:kinsoku/>
        <w:wordWrap/>
        <w:overflowPunct/>
        <w:topLinePunct w:val="0"/>
        <w:autoSpaceDE/>
        <w:autoSpaceDN/>
        <w:bidi w:val="0"/>
        <w:spacing w:beforeLines="0" w:line="560" w:lineRule="exact"/>
        <w:jc w:val="center"/>
        <w:textAlignment w:val="auto"/>
        <w:rPr>
          <w:rFonts w:hint="eastAsia" w:ascii="宋体" w:hAnsi="宋体" w:eastAsia="宋体" w:cs="宋体"/>
          <w:b w:val="0"/>
          <w:bCs/>
          <w:i w:val="0"/>
          <w:color w:val="000000" w:themeColor="text1"/>
          <w:kern w:val="0"/>
          <w:sz w:val="32"/>
          <w:szCs w:val="32"/>
          <w:highlight w:val="none"/>
          <w:u w:val="none"/>
          <w:lang w:val="en-US" w:eastAsia="zh-CN" w:bidi="ar-SA"/>
          <w14:textFill>
            <w14:solidFill>
              <w14:schemeClr w14:val="tx1"/>
            </w14:solidFill>
          </w14:textFill>
        </w:rPr>
      </w:pPr>
      <w:r>
        <w:rPr>
          <w:rFonts w:hint="eastAsia" w:ascii="宋体" w:hAnsi="宋体" w:eastAsia="宋体" w:cs="宋体"/>
          <w:b/>
          <w:i w:val="0"/>
          <w:color w:val="000000" w:themeColor="text1"/>
          <w:spacing w:val="-11"/>
          <w:kern w:val="0"/>
          <w:sz w:val="32"/>
          <w:szCs w:val="32"/>
          <w:highlight w:val="none"/>
          <w:u w:val="none"/>
          <w:lang w:val="en-US" w:eastAsia="zh-CN" w:bidi="ar-SA"/>
          <w14:textFill>
            <w14:solidFill>
              <w14:schemeClr w14:val="tx1"/>
            </w14:solidFill>
          </w14:textFill>
        </w:rPr>
        <w:t>2021年100万元以上（含）特定目标类部门预算项目绩效目标自评</w:t>
      </w:r>
      <w:r>
        <w:rPr>
          <w:rFonts w:hint="eastAsia" w:ascii="宋体" w:hAnsi="宋体" w:eastAsia="宋体" w:cs="宋体"/>
          <w:b w:val="0"/>
          <w:bCs/>
          <w:i w:val="0"/>
          <w:color w:val="000000" w:themeColor="text1"/>
          <w:kern w:val="0"/>
          <w:sz w:val="32"/>
          <w:szCs w:val="32"/>
          <w:highlight w:val="none"/>
          <w:u w:val="none"/>
          <w:lang w:val="en-US" w:eastAsia="zh-CN" w:bidi="ar-SA"/>
          <w14:textFill>
            <w14:solidFill>
              <w14:schemeClr w14:val="tx1"/>
            </w14:solidFill>
          </w14:textFill>
        </w:rPr>
        <w:t>（法制报社未划转人员经费）</w:t>
      </w:r>
    </w:p>
    <w:p>
      <w:pPr>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eastAsia" w:ascii="宋体" w:hAnsi="宋体" w:eastAsia="仿宋_GB2312" w:cs="宋体"/>
          <w:b w:val="0"/>
          <w:bCs/>
          <w:i w:val="0"/>
          <w:color w:val="000000" w:themeColor="text1"/>
          <w:kern w:val="0"/>
          <w:sz w:val="32"/>
          <w:szCs w:val="32"/>
          <w:highlight w:val="none"/>
          <w:u w:val="none"/>
          <w:lang w:val="zh-CN" w:eastAsia="zh-CN" w:bidi="ar-SA"/>
          <w14:textFill>
            <w14:solidFill>
              <w14:schemeClr w14:val="tx1"/>
            </w14:solidFill>
          </w14:textFill>
        </w:rPr>
      </w:pPr>
    </w:p>
    <w:tbl>
      <w:tblPr>
        <w:tblStyle w:val="14"/>
        <w:tblW w:w="9571"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334"/>
        <w:gridCol w:w="1339"/>
        <w:gridCol w:w="1924"/>
        <w:gridCol w:w="1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4" w:hRule="atLeast"/>
          <w:jc w:val="center"/>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主管部门及代码</w:t>
            </w:r>
          </w:p>
        </w:tc>
        <w:tc>
          <w:tcPr>
            <w:tcW w:w="26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四川省司法厅-207</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实施单位</w:t>
            </w:r>
          </w:p>
        </w:tc>
        <w:tc>
          <w:tcPr>
            <w:tcW w:w="1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sz w:val="16"/>
                <w:szCs w:val="16"/>
                <w:highlight w:val="none"/>
                <w:u w:val="none"/>
                <w14:textFill>
                  <w14:solidFill>
                    <w14:schemeClr w14:val="tx1"/>
                  </w14:solidFill>
                </w14:textFill>
              </w:rPr>
              <w:t>四川省司法厅机关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1" w:hRule="atLeast"/>
          <w:jc w:val="center"/>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项目预算</w:t>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执行情况</w:t>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（万元）</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 xml:space="preserve"> 预算数：</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129.00</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 xml:space="preserve"> 执行数：</w:t>
            </w:r>
          </w:p>
        </w:tc>
        <w:tc>
          <w:tcPr>
            <w:tcW w:w="1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115.65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5" w:hRule="atLeast"/>
          <w:jc w:val="center"/>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财政拨款</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129.00</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财政拨款</w:t>
            </w:r>
          </w:p>
        </w:tc>
        <w:tc>
          <w:tcPr>
            <w:tcW w:w="1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115.65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1" w:hRule="atLeast"/>
          <w:jc w:val="center"/>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其他资金</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其他资金</w:t>
            </w:r>
          </w:p>
        </w:tc>
        <w:tc>
          <w:tcPr>
            <w:tcW w:w="1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 w:hRule="atLeast"/>
          <w:jc w:val="center"/>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完成情况</w:t>
            </w:r>
          </w:p>
        </w:tc>
        <w:tc>
          <w:tcPr>
            <w:tcW w:w="38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预期目标</w:t>
            </w:r>
          </w:p>
        </w:tc>
        <w:tc>
          <w:tcPr>
            <w:tcW w:w="37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7" w:hRule="atLeast"/>
          <w:jc w:val="center"/>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38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top"/>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sz w:val="16"/>
                <w:szCs w:val="16"/>
                <w:highlight w:val="none"/>
                <w:u w:val="none"/>
                <w14:textFill>
                  <w14:solidFill>
                    <w14:schemeClr w14:val="tx1"/>
                  </w14:solidFill>
                </w14:textFill>
              </w:rPr>
              <w:t>我厅现有法制报社代管人员13人，现已全部退休，根据省人社厅印发的《四川省驻蓉省直其他事业单位退休人员补贴标准表》，需保障其全年退休补助。</w:t>
            </w:r>
          </w:p>
        </w:tc>
        <w:tc>
          <w:tcPr>
            <w:tcW w:w="37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top"/>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sz w:val="16"/>
                <w:szCs w:val="16"/>
                <w:highlight w:val="none"/>
                <w:u w:val="none"/>
                <w14:textFill>
                  <w14:solidFill>
                    <w14:schemeClr w14:val="tx1"/>
                  </w14:solidFill>
                </w14:textFill>
              </w:rPr>
              <w:t>我厅现有法制报社代管人员13人，现已全部退休，根据省人社厅印发的《四川省驻蓉省直其他事业单位退休人员补贴标准表》，已保障其2021年退休补助。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3" w:hRule="atLeast"/>
          <w:jc w:val="center"/>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指标</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指标</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预期指标值</w:t>
            </w:r>
          </w:p>
        </w:tc>
        <w:tc>
          <w:tcPr>
            <w:tcW w:w="1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93" w:hRule="atLeast"/>
          <w:jc w:val="center"/>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数量指标</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法治报社代管人员数量</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保障13名法制报社代管人员的退休补助。</w:t>
            </w:r>
          </w:p>
        </w:tc>
        <w:tc>
          <w:tcPr>
            <w:tcW w:w="1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保障13名法制报社代管人员的退休补助。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59" w:hRule="atLeast"/>
          <w:jc w:val="center"/>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质量指标</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生活费发放标准及标准调整</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每年按照人社厅印发的相关文件，及时足额发放每月生活费，按照相关规定对生活补助标准进行调整并足额兑现。</w:t>
            </w:r>
          </w:p>
        </w:tc>
        <w:tc>
          <w:tcPr>
            <w:tcW w:w="1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spacing w:val="-6"/>
                <w:kern w:val="0"/>
                <w:sz w:val="16"/>
                <w:szCs w:val="16"/>
                <w:highlight w:val="none"/>
                <w:u w:val="none"/>
                <w:lang w:val="en-US" w:eastAsia="zh-CN" w:bidi="ar"/>
                <w14:textFill>
                  <w14:solidFill>
                    <w14:schemeClr w14:val="tx1"/>
                  </w14:solidFill>
                </w14:textFill>
              </w:rPr>
              <w:t>每年按照人社厅印发的相关文件，及时足额发放每月生活费，按照相关规定对生活补助标准进行调整并足额兑现。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5" w:hRule="atLeast"/>
          <w:jc w:val="center"/>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时效指标</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生活费发放完成时间</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2021年12月31日以前完成全年生活费发放</w:t>
            </w:r>
          </w:p>
        </w:tc>
        <w:tc>
          <w:tcPr>
            <w:tcW w:w="1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2021年12月31日以前完成全年生活费发放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社会效益指标</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对社会的促进作用</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及时足额发放生活补助、避免发生上访事件、促进社会和谐稳定。</w:t>
            </w:r>
          </w:p>
        </w:tc>
        <w:tc>
          <w:tcPr>
            <w:tcW w:w="1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及时足额发放生活补助、避免发生上访事件、促进社会和谐稳定。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0" w:hRule="atLeast"/>
          <w:jc w:val="center"/>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满意</w:t>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度指标</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指标</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法制报社代管人员满意度</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法制报社代管人员满意度达到100%</w:t>
            </w:r>
          </w:p>
        </w:tc>
        <w:tc>
          <w:tcPr>
            <w:tcW w:w="1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法制报社代管人员满意度达到100%</w:t>
            </w:r>
          </w:p>
        </w:tc>
      </w:tr>
    </w:tbl>
    <w:p>
      <w:pPr>
        <w:rPr>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color w:val="000000" w:themeColor="text1"/>
          <w:spacing w:val="-1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color w:val="000000" w:themeColor="text1"/>
          <w:spacing w:val="-1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color w:val="000000" w:themeColor="text1"/>
          <w:spacing w:val="-11"/>
          <w:sz w:val="32"/>
          <w:szCs w:val="32"/>
          <w:lang w:val="en-US" w:eastAsia="zh-CN"/>
          <w14:textFill>
            <w14:solidFill>
              <w14:schemeClr w14:val="tx1"/>
            </w14:solidFill>
          </w14:textFill>
        </w:rPr>
      </w:pPr>
      <w:r>
        <w:rPr>
          <w:rFonts w:hint="eastAsia" w:ascii="宋体" w:hAnsi="宋体" w:eastAsia="宋体" w:cs="宋体"/>
          <w:b/>
          <w:bCs/>
          <w:color w:val="000000" w:themeColor="text1"/>
          <w:spacing w:val="-11"/>
          <w:sz w:val="32"/>
          <w:szCs w:val="32"/>
          <w:lang w:val="en-US" w:eastAsia="zh-CN"/>
          <w14:textFill>
            <w14:solidFill>
              <w14:schemeClr w14:val="tx1"/>
            </w14:solidFill>
          </w14:textFill>
        </w:rPr>
        <w:t>2021年100万元以上（含）特定目标类部门预算项目绩效目标自评</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（纪检办案经费）</w:t>
      </w:r>
    </w:p>
    <w:p>
      <w:pPr>
        <w:rPr>
          <w:rFonts w:hint="eastAsia"/>
          <w:color w:val="000000" w:themeColor="text1"/>
          <w14:textFill>
            <w14:solidFill>
              <w14:schemeClr w14:val="tx1"/>
            </w14:solidFill>
          </w14:textFill>
        </w:rPr>
      </w:pPr>
    </w:p>
    <w:tbl>
      <w:tblPr>
        <w:tblStyle w:val="14"/>
        <w:tblW w:w="9788" w:type="dxa"/>
        <w:jc w:val="center"/>
        <w:tblInd w:w="37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31"/>
        <w:gridCol w:w="1048"/>
        <w:gridCol w:w="1635"/>
        <w:gridCol w:w="1362"/>
        <w:gridCol w:w="1387"/>
        <w:gridCol w:w="24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4" w:hRule="atLeast"/>
          <w:jc w:val="center"/>
        </w:trPr>
        <w:tc>
          <w:tcPr>
            <w:tcW w:w="29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主管部门及代码</w:t>
            </w:r>
          </w:p>
        </w:tc>
        <w:tc>
          <w:tcPr>
            <w:tcW w:w="29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四川省司法厅-207</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实施单位</w:t>
            </w:r>
          </w:p>
        </w:tc>
        <w:tc>
          <w:tcPr>
            <w:tcW w:w="2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sz w:val="16"/>
                <w:szCs w:val="16"/>
                <w:highlight w:val="none"/>
                <w:u w:val="none"/>
                <w14:textFill>
                  <w14:solidFill>
                    <w14:schemeClr w14:val="tx1"/>
                  </w14:solidFill>
                </w14:textFill>
              </w:rPr>
              <w:t>四川省司法厅机关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1" w:hRule="atLeast"/>
          <w:jc w:val="center"/>
        </w:trPr>
        <w:tc>
          <w:tcPr>
            <w:tcW w:w="297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项目预算</w:t>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执行情况</w:t>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 xml:space="preserve"> 预算数：</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140.00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 xml:space="preserve"> 执行数：</w:t>
            </w:r>
          </w:p>
        </w:tc>
        <w:tc>
          <w:tcPr>
            <w:tcW w:w="2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140.00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5" w:hRule="atLeast"/>
          <w:jc w:val="center"/>
        </w:trPr>
        <w:tc>
          <w:tcPr>
            <w:tcW w:w="29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财政拨款</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140.00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财政拨款</w:t>
            </w:r>
          </w:p>
        </w:tc>
        <w:tc>
          <w:tcPr>
            <w:tcW w:w="2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140.00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41" w:hRule="atLeast"/>
          <w:jc w:val="center"/>
        </w:trPr>
        <w:tc>
          <w:tcPr>
            <w:tcW w:w="29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其他资金</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其他资金</w:t>
            </w:r>
          </w:p>
        </w:tc>
        <w:tc>
          <w:tcPr>
            <w:tcW w:w="2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 w:hRule="atLeast"/>
          <w:jc w:val="center"/>
        </w:trPr>
        <w:tc>
          <w:tcPr>
            <w:tcW w:w="19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完成情况</w:t>
            </w:r>
          </w:p>
        </w:tc>
        <w:tc>
          <w:tcPr>
            <w:tcW w:w="40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预期目标</w:t>
            </w:r>
          </w:p>
        </w:tc>
        <w:tc>
          <w:tcPr>
            <w:tcW w:w="38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7" w:hRule="atLeast"/>
          <w:jc w:val="center"/>
        </w:trPr>
        <w:tc>
          <w:tcPr>
            <w:tcW w:w="19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4045"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保障省纪委驻司法厅纪检组办案业务工作开展。以监督、执纪、问责为主线，查处系统内违规、违纪、违法行为。教育广大民警职工，巩固已经形成的“反腐败压倒性态势”，夺取反腐败斗争压倒性胜利。</w:t>
            </w:r>
          </w:p>
        </w:tc>
        <w:tc>
          <w:tcPr>
            <w:tcW w:w="3812"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保障省纪委驻司法厅纪检组办案业务工作开展。以监督、执纪、问责为主线，查处系统内违规、违纪、违法行为。教育广大民警职工，巩固已经形成的“反腐败压倒性态势”，夺取反腐败斗争压倒性胜利。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3" w:hRule="atLeast"/>
          <w:jc w:val="center"/>
        </w:trPr>
        <w:tc>
          <w:tcPr>
            <w:tcW w:w="193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年度绩效指标完成情况</w:t>
            </w:r>
          </w:p>
        </w:tc>
        <w:tc>
          <w:tcPr>
            <w:tcW w:w="104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指标</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指标</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预期指标值</w:t>
            </w:r>
          </w:p>
        </w:tc>
        <w:tc>
          <w:tcPr>
            <w:tcW w:w="2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5" w:hRule="atLeast"/>
          <w:jc w:val="center"/>
        </w:trPr>
        <w:tc>
          <w:tcPr>
            <w:tcW w:w="1931"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0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2021年全年办理信访案件</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办理信访案件不少于50件</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办理信访案件不少于50件</w:t>
            </w:r>
          </w:p>
        </w:tc>
        <w:tc>
          <w:tcPr>
            <w:tcW w:w="2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2021年全年办理信访案件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5" w:hRule="atLeast"/>
          <w:jc w:val="center"/>
        </w:trPr>
        <w:tc>
          <w:tcPr>
            <w:tcW w:w="1931"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案件完成情况</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不出现冤假错案</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不出现冤假错案</w:t>
            </w:r>
          </w:p>
        </w:tc>
        <w:tc>
          <w:tcPr>
            <w:tcW w:w="2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案件完成情况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5" w:hRule="atLeast"/>
          <w:jc w:val="center"/>
        </w:trPr>
        <w:tc>
          <w:tcPr>
            <w:tcW w:w="1931"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完成时间</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2021年12月31日前完成纪检监察工作目标</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2021年12月31日前完成纪检监察工作目标</w:t>
            </w:r>
          </w:p>
        </w:tc>
        <w:tc>
          <w:tcPr>
            <w:tcW w:w="2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完成时间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1931"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社会效益</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指标</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对社会促进作用</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促进党风廉政建设进一步好转</w:t>
            </w:r>
          </w:p>
        </w:tc>
        <w:tc>
          <w:tcPr>
            <w:tcW w:w="2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促进党风廉政建设进一步好转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0" w:hRule="atLeast"/>
          <w:jc w:val="center"/>
        </w:trPr>
        <w:tc>
          <w:tcPr>
            <w:tcW w:w="193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满意</w:t>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指标</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服务对象满意度</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办理信访案件，信访对象满意度达到80%以上</w:t>
            </w:r>
          </w:p>
        </w:tc>
        <w:tc>
          <w:tcPr>
            <w:tcW w:w="2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办理信访案件，信访对象满意度达到80%以上</w:t>
            </w:r>
          </w:p>
        </w:tc>
      </w:tr>
    </w:tbl>
    <w:p>
      <w:pPr>
        <w:keepNext w:val="0"/>
        <w:keepLines w:val="0"/>
        <w:pageBreakBefore w:val="0"/>
        <w:widowControl/>
        <w:suppressLineNumbers w:val="0"/>
        <w:kinsoku/>
        <w:wordWrap/>
        <w:overflowPunct/>
        <w:topLinePunct w:val="0"/>
        <w:autoSpaceDE/>
        <w:autoSpaceDN/>
        <w:bidi w:val="0"/>
        <w:adjustRightInd/>
        <w:snapToGrid/>
        <w:spacing w:beforeAutospacing="0" w:line="560" w:lineRule="exact"/>
        <w:ind w:left="0" w:firstLine="0" w:firstLineChars="0"/>
        <w:jc w:val="center"/>
        <w:textAlignment w:val="center"/>
        <w:rPr>
          <w:rFonts w:hint="eastAsia" w:ascii="宋体" w:hAnsi="宋体" w:eastAsia="宋体" w:cs="宋体"/>
          <w:b/>
          <w:i w:val="0"/>
          <w:color w:val="000000" w:themeColor="text1"/>
          <w:sz w:val="32"/>
          <w:szCs w:val="32"/>
          <w:highlight w:val="none"/>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line="560" w:lineRule="exact"/>
        <w:ind w:left="0" w:firstLine="0" w:firstLineChars="0"/>
        <w:jc w:val="center"/>
        <w:textAlignment w:val="center"/>
        <w:rPr>
          <w:rFonts w:hint="eastAsia" w:ascii="宋体" w:hAnsi="宋体" w:eastAsia="宋体" w:cs="宋体"/>
          <w:b/>
          <w:i w:val="0"/>
          <w:color w:val="000000" w:themeColor="text1"/>
          <w:sz w:val="32"/>
          <w:szCs w:val="32"/>
          <w:highlight w:val="none"/>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line="560" w:lineRule="exact"/>
        <w:ind w:left="0" w:firstLine="0" w:firstLineChars="0"/>
        <w:jc w:val="center"/>
        <w:textAlignment w:val="center"/>
        <w:rPr>
          <w:rFonts w:hint="eastAsia" w:ascii="宋体" w:hAnsi="宋体" w:eastAsia="宋体" w:cs="宋体"/>
          <w:b/>
          <w:i w:val="0"/>
          <w:color w:val="000000" w:themeColor="text1"/>
          <w:sz w:val="32"/>
          <w:szCs w:val="32"/>
          <w:highlight w:val="none"/>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line="560" w:lineRule="exact"/>
        <w:ind w:left="0" w:firstLine="0" w:firstLineChars="0"/>
        <w:jc w:val="center"/>
        <w:textAlignment w:val="center"/>
        <w:rPr>
          <w:rFonts w:hint="eastAsia" w:ascii="宋体" w:hAnsi="宋体" w:eastAsia="宋体" w:cs="宋体"/>
          <w:b/>
          <w:i w:val="0"/>
          <w:color w:val="000000" w:themeColor="text1"/>
          <w:sz w:val="32"/>
          <w:szCs w:val="32"/>
          <w:highlight w:val="none"/>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line="560" w:lineRule="exact"/>
        <w:ind w:left="0" w:firstLine="0" w:firstLineChars="0"/>
        <w:jc w:val="center"/>
        <w:textAlignment w:val="center"/>
        <w:rPr>
          <w:rFonts w:hint="eastAsia" w:ascii="宋体" w:hAnsi="宋体" w:eastAsia="宋体" w:cs="宋体"/>
          <w:b/>
          <w:i w:val="0"/>
          <w:color w:val="000000" w:themeColor="text1"/>
          <w:sz w:val="32"/>
          <w:szCs w:val="32"/>
          <w:highlight w:val="none"/>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line="560" w:lineRule="exact"/>
        <w:ind w:left="0" w:firstLine="0" w:firstLineChars="0"/>
        <w:jc w:val="center"/>
        <w:textAlignment w:val="center"/>
        <w:rPr>
          <w:rFonts w:hint="eastAsia" w:ascii="宋体" w:hAnsi="宋体" w:eastAsia="宋体" w:cs="宋体"/>
          <w:b/>
          <w:i w:val="0"/>
          <w:color w:val="000000" w:themeColor="text1"/>
          <w:sz w:val="32"/>
          <w:szCs w:val="32"/>
          <w:highlight w:val="none"/>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line="560" w:lineRule="exact"/>
        <w:ind w:left="0" w:firstLine="0" w:firstLineChars="0"/>
        <w:jc w:val="center"/>
        <w:textAlignment w:val="center"/>
        <w:rPr>
          <w:rFonts w:hint="eastAsia" w:ascii="宋体" w:hAnsi="宋体" w:eastAsia="宋体" w:cs="宋体"/>
          <w:b/>
          <w:i w:val="0"/>
          <w:color w:val="000000" w:themeColor="text1"/>
          <w:spacing w:val="-11"/>
          <w:sz w:val="32"/>
          <w:szCs w:val="32"/>
          <w:highlight w:val="none"/>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line="560" w:lineRule="exact"/>
        <w:ind w:left="0" w:firstLine="0" w:firstLineChars="0"/>
        <w:jc w:val="center"/>
        <w:textAlignment w:val="center"/>
        <w:rPr>
          <w:rFonts w:hint="eastAsia" w:ascii="宋体" w:hAnsi="宋体" w:eastAsia="宋体" w:cs="宋体"/>
          <w:b/>
          <w:i w:val="0"/>
          <w:color w:val="000000" w:themeColor="text1"/>
          <w:spacing w:val="-11"/>
          <w:sz w:val="32"/>
          <w:szCs w:val="32"/>
          <w:highlight w:val="none"/>
          <w:u w:val="none"/>
          <w:lang w:val="en-US" w:eastAsia="zh-CN"/>
          <w14:textFill>
            <w14:solidFill>
              <w14:schemeClr w14:val="tx1"/>
            </w14:solidFill>
          </w14:textFill>
        </w:rPr>
      </w:pPr>
      <w:r>
        <w:rPr>
          <w:rFonts w:hint="eastAsia" w:ascii="宋体" w:hAnsi="宋体" w:eastAsia="宋体" w:cs="宋体"/>
          <w:b/>
          <w:i w:val="0"/>
          <w:color w:val="000000" w:themeColor="text1"/>
          <w:spacing w:val="-11"/>
          <w:sz w:val="32"/>
          <w:szCs w:val="32"/>
          <w:highlight w:val="none"/>
          <w:u w:val="none"/>
          <w:lang w:val="en-US" w:eastAsia="zh-CN"/>
          <w14:textFill>
            <w14:solidFill>
              <w14:schemeClr w14:val="tx1"/>
            </w14:solidFill>
          </w14:textFill>
        </w:rPr>
        <w:t>2021年100万元以上（含）特定目标类部门预算项目绩效目标自评</w:t>
      </w:r>
    </w:p>
    <w:p>
      <w:pPr>
        <w:jc w:val="center"/>
        <w:rPr>
          <w:rFonts w:hint="eastAsia" w:ascii="宋体" w:hAnsi="宋体" w:eastAsia="宋体" w:cs="宋体"/>
          <w:b w:val="0"/>
          <w:bCs/>
          <w:i w:val="0"/>
          <w:color w:val="000000" w:themeColor="text1"/>
          <w:sz w:val="32"/>
          <w:szCs w:val="32"/>
          <w:highlight w:val="none"/>
          <w:u w:val="none"/>
          <w:lang w:val="en-US" w:eastAsia="zh-CN"/>
          <w14:textFill>
            <w14:solidFill>
              <w14:schemeClr w14:val="tx1"/>
            </w14:solidFill>
          </w14:textFill>
        </w:rPr>
      </w:pPr>
      <w:r>
        <w:rPr>
          <w:rFonts w:hint="eastAsia" w:ascii="宋体" w:hAnsi="宋体" w:eastAsia="宋体" w:cs="宋体"/>
          <w:b w:val="0"/>
          <w:bCs/>
          <w:i w:val="0"/>
          <w:color w:val="000000" w:themeColor="text1"/>
          <w:sz w:val="32"/>
          <w:szCs w:val="32"/>
          <w:highlight w:val="none"/>
          <w:u w:val="none"/>
          <w:lang w:val="en-US" w:eastAsia="zh-CN"/>
          <w14:textFill>
            <w14:solidFill>
              <w14:schemeClr w14:val="tx1"/>
            </w14:solidFill>
          </w14:textFill>
        </w:rPr>
        <w:t>（普法宣传经费）</w:t>
      </w:r>
    </w:p>
    <w:p>
      <w:pPr>
        <w:bidi w:val="0"/>
        <w:rPr>
          <w:color w:val="000000" w:themeColor="text1"/>
          <w14:textFill>
            <w14:solidFill>
              <w14:schemeClr w14:val="tx1"/>
            </w14:solidFill>
          </w14:textFill>
        </w:rPr>
      </w:pPr>
    </w:p>
    <w:tbl>
      <w:tblPr>
        <w:tblStyle w:val="14"/>
        <w:tblW w:w="9997" w:type="dxa"/>
        <w:jc w:val="center"/>
        <w:tblInd w:w="37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31"/>
        <w:gridCol w:w="1048"/>
        <w:gridCol w:w="1635"/>
        <w:gridCol w:w="1362"/>
        <w:gridCol w:w="1993"/>
        <w:gridCol w:w="20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4" w:hRule="atLeast"/>
          <w:jc w:val="center"/>
        </w:trPr>
        <w:tc>
          <w:tcPr>
            <w:tcW w:w="29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主管部门及代码</w:t>
            </w:r>
          </w:p>
        </w:tc>
        <w:tc>
          <w:tcPr>
            <w:tcW w:w="29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四川省司法厅-207</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实施单位</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sz w:val="16"/>
                <w:szCs w:val="16"/>
                <w:highlight w:val="none"/>
                <w:u w:val="none"/>
                <w14:textFill>
                  <w14:solidFill>
                    <w14:schemeClr w14:val="tx1"/>
                  </w14:solidFill>
                </w14:textFill>
              </w:rPr>
              <w:t>四川省司法厅机关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1" w:hRule="atLeast"/>
          <w:jc w:val="center"/>
        </w:trPr>
        <w:tc>
          <w:tcPr>
            <w:tcW w:w="297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项目预算</w:t>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执行情况</w:t>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 xml:space="preserve"> 预算数：</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470.00</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 xml:space="preserve"> 执行数：</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470.00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5" w:hRule="atLeast"/>
          <w:jc w:val="center"/>
        </w:trPr>
        <w:tc>
          <w:tcPr>
            <w:tcW w:w="29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财政拨款</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470.00</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财政拨款</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470.00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1" w:hRule="atLeast"/>
          <w:jc w:val="center"/>
        </w:trPr>
        <w:tc>
          <w:tcPr>
            <w:tcW w:w="29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其他资金</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其他资金</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 w:hRule="atLeast"/>
          <w:jc w:val="center"/>
        </w:trPr>
        <w:tc>
          <w:tcPr>
            <w:tcW w:w="19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完成情况</w:t>
            </w:r>
          </w:p>
        </w:tc>
        <w:tc>
          <w:tcPr>
            <w:tcW w:w="40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预期目标</w:t>
            </w:r>
          </w:p>
        </w:tc>
        <w:tc>
          <w:tcPr>
            <w:tcW w:w="40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7" w:hRule="atLeast"/>
          <w:jc w:val="center"/>
        </w:trPr>
        <w:tc>
          <w:tcPr>
            <w:tcW w:w="19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4045"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tabs>
                <w:tab w:val="left" w:pos="694"/>
              </w:tabs>
              <w:bidi w:val="0"/>
              <w:jc w:val="both"/>
              <w:rPr>
                <w:rFonts w:hint="eastAsia" w:ascii="宋体" w:hAnsi="宋体" w:eastAsia="宋体" w:cs="宋体"/>
                <w:color w:val="000000" w:themeColor="text1"/>
                <w:kern w:val="2"/>
                <w:sz w:val="16"/>
                <w:szCs w:val="16"/>
                <w:lang w:val="en-US" w:eastAsia="zh-CN" w:bidi="ar-SA"/>
                <w14:textFill>
                  <w14:solidFill>
                    <w14:schemeClr w14:val="tx1"/>
                  </w14:solidFill>
                </w14:textFill>
              </w:rPr>
            </w:pPr>
            <w:r>
              <w:rPr>
                <w:rFonts w:hint="eastAsia" w:ascii="宋体" w:hAnsi="宋体" w:eastAsia="宋体" w:cs="宋体"/>
                <w:color w:val="000000" w:themeColor="text1"/>
                <w:kern w:val="2"/>
                <w:sz w:val="16"/>
                <w:szCs w:val="16"/>
                <w:lang w:val="en-US" w:eastAsia="zh-CN" w:bidi="ar-SA"/>
                <w14:textFill>
                  <w14:solidFill>
                    <w14:schemeClr w14:val="tx1"/>
                  </w14:solidFill>
                </w14:textFill>
              </w:rPr>
              <w:t>结合经济高质量发展、打赢三大攻坚战、城乡基层治理、市域社会治理和宪法法律宣传教育等重点工作，利用全年重要时间节点，会同有关省直部门，组织开展法治宣传主题活动，推动落实“谁执法谁普法”责任制，为治蜀兴川再上新台阶营造浓厚法治氛围。</w:t>
            </w:r>
          </w:p>
        </w:tc>
        <w:tc>
          <w:tcPr>
            <w:tcW w:w="4021"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sz w:val="16"/>
                <w:szCs w:val="16"/>
                <w:highlight w:val="none"/>
                <w:u w:val="none"/>
                <w14:textFill>
                  <w14:solidFill>
                    <w14:schemeClr w14:val="tx1"/>
                  </w14:solidFill>
                </w14:textFill>
              </w:rPr>
              <w:t>结合经济高质量发展、打赢三大攻坚战、城乡基层治理、市域社会治理和宪法法律宣传教育等重点工作，利用全年重要时间节点，会同有关省直部门，组织开展法治宣传主题活动，推动落实“谁执法谁普法”责任制，为治蜀兴川再上新台阶营造浓厚法治氛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3" w:hRule="atLeast"/>
          <w:jc w:val="center"/>
        </w:trPr>
        <w:tc>
          <w:tcPr>
            <w:tcW w:w="193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年度绩效指标完成情况</w:t>
            </w:r>
          </w:p>
        </w:tc>
        <w:tc>
          <w:tcPr>
            <w:tcW w:w="104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指标</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指标</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预期指标值</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5" w:hRule="atLeast"/>
          <w:jc w:val="center"/>
        </w:trPr>
        <w:tc>
          <w:tcPr>
            <w:tcW w:w="1931"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0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指标</w:t>
            </w:r>
          </w:p>
        </w:tc>
        <w:tc>
          <w:tcPr>
            <w:tcW w:w="16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数量指标</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法治宣传主题活动开展场次</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法治宣传主题活动开展</w:t>
            </w:r>
            <w:r>
              <w:rPr>
                <w:rFonts w:hint="eastAsia" w:ascii="宋体" w:hAnsi="宋体" w:eastAsia="宋体" w:cs="宋体"/>
                <w:color w:val="000000" w:themeColor="text1"/>
                <w:sz w:val="16"/>
                <w:szCs w:val="16"/>
                <w:u w:val="none"/>
                <w:lang w:val="en-US" w:eastAsia="zh-CN" w:bidi="ar"/>
                <w14:textFill>
                  <w14:solidFill>
                    <w14:schemeClr w14:val="tx1"/>
                  </w14:solidFill>
                </w14:textFill>
              </w:rPr>
              <w:t>8场以上</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法治宣传主题活动开展</w:t>
            </w:r>
            <w:r>
              <w:rPr>
                <w:rFonts w:hint="eastAsia" w:ascii="宋体" w:hAnsi="宋体" w:eastAsia="宋体" w:cs="宋体"/>
                <w:color w:val="000000" w:themeColor="text1"/>
                <w:sz w:val="16"/>
                <w:szCs w:val="16"/>
                <w:u w:val="none"/>
                <w:lang w:val="en-US" w:eastAsia="zh-CN" w:bidi="ar"/>
                <w14:textFill>
                  <w14:solidFill>
                    <w14:schemeClr w14:val="tx1"/>
                  </w14:solidFill>
                </w14:textFill>
              </w:rPr>
              <w:t>8场以上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5" w:hRule="atLeast"/>
          <w:jc w:val="center"/>
        </w:trPr>
        <w:tc>
          <w:tcPr>
            <w:tcW w:w="1931"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《法治明镜》每期收视人数</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《法治明镜》每期收视人数</w:t>
            </w:r>
            <w:r>
              <w:rPr>
                <w:rFonts w:hint="eastAsia" w:ascii="宋体" w:hAnsi="宋体" w:eastAsia="宋体" w:cs="宋体"/>
                <w:color w:val="000000" w:themeColor="text1"/>
                <w:sz w:val="16"/>
                <w:szCs w:val="16"/>
                <w:u w:val="none"/>
                <w:lang w:val="en-US" w:eastAsia="zh-CN" w:bidi="ar"/>
                <w14:textFill>
                  <w14:solidFill>
                    <w14:schemeClr w14:val="tx1"/>
                  </w14:solidFill>
                </w14:textFill>
              </w:rPr>
              <w:t>50万人以上</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《法治明镜》每期收视人数</w:t>
            </w:r>
            <w:r>
              <w:rPr>
                <w:rFonts w:hint="eastAsia" w:ascii="宋体" w:hAnsi="宋体" w:eastAsia="宋体" w:cs="宋体"/>
                <w:color w:val="000000" w:themeColor="text1"/>
                <w:sz w:val="16"/>
                <w:szCs w:val="16"/>
                <w:u w:val="none"/>
                <w:lang w:val="en-US" w:eastAsia="zh-CN" w:bidi="ar"/>
                <w14:textFill>
                  <w14:solidFill>
                    <w14:schemeClr w14:val="tx1"/>
                  </w14:solidFill>
                </w14:textFill>
              </w:rPr>
              <w:t>50万人以上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5" w:hRule="atLeast"/>
          <w:jc w:val="center"/>
        </w:trPr>
        <w:tc>
          <w:tcPr>
            <w:tcW w:w="1931"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节目播出数量</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采制播出节目</w:t>
            </w:r>
            <w:r>
              <w:rPr>
                <w:rFonts w:hint="eastAsia" w:ascii="宋体" w:hAnsi="宋体" w:eastAsia="宋体" w:cs="宋体"/>
                <w:color w:val="000000" w:themeColor="text1"/>
                <w:sz w:val="16"/>
                <w:szCs w:val="16"/>
                <w:u w:val="none"/>
                <w:lang w:val="en-US" w:eastAsia="zh-CN" w:bidi="ar"/>
                <w14:textFill>
                  <w14:solidFill>
                    <w14:schemeClr w14:val="tx1"/>
                  </w14:solidFill>
                </w14:textFill>
              </w:rPr>
              <w:t>52期，重播节目104期</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color w:val="000000" w:themeColor="text1"/>
                <w:sz w:val="16"/>
                <w:szCs w:val="16"/>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采制播出节目</w:t>
            </w:r>
            <w:r>
              <w:rPr>
                <w:rFonts w:hint="eastAsia" w:ascii="宋体" w:hAnsi="宋体" w:eastAsia="宋体" w:cs="宋体"/>
                <w:color w:val="000000" w:themeColor="text1"/>
                <w:sz w:val="16"/>
                <w:szCs w:val="16"/>
                <w:u w:val="none"/>
                <w:lang w:val="en-US" w:eastAsia="zh-CN" w:bidi="ar"/>
                <w14:textFill>
                  <w14:solidFill>
                    <w14:schemeClr w14:val="tx1"/>
                  </w14:solidFill>
                </w14:textFill>
              </w:rPr>
              <w:t>52期，</w:t>
            </w:r>
          </w:p>
          <w:p>
            <w:pPr>
              <w:keepNext w:val="0"/>
              <w:keepLines w:val="0"/>
              <w:widowControl/>
              <w:suppressLineNumbers w:val="0"/>
              <w:jc w:val="both"/>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color w:val="000000" w:themeColor="text1"/>
                <w:sz w:val="16"/>
                <w:szCs w:val="16"/>
                <w:u w:val="none"/>
                <w:lang w:val="en-US" w:eastAsia="zh-CN" w:bidi="ar"/>
                <w14:textFill>
                  <w14:solidFill>
                    <w14:schemeClr w14:val="tx1"/>
                  </w14:solidFill>
                </w14:textFill>
              </w:rPr>
              <w:t>重播节目104期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1931"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时效指标</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完成</w:t>
            </w:r>
            <w:r>
              <w:rPr>
                <w:rFonts w:hint="eastAsia" w:ascii="宋体" w:hAnsi="宋体" w:eastAsia="宋体" w:cs="宋体"/>
                <w:color w:val="000000" w:themeColor="text1"/>
                <w:sz w:val="16"/>
                <w:szCs w:val="16"/>
                <w:u w:val="none"/>
                <w:lang w:val="en-US" w:eastAsia="zh-CN" w:bidi="ar"/>
                <w14:textFill>
                  <w14:solidFill>
                    <w14:schemeClr w14:val="tx1"/>
                  </w14:solidFill>
                </w14:textFill>
              </w:rPr>
              <w:t>12.4宪法宣传周启动仪式工作时间</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2021</w:t>
            </w:r>
            <w:r>
              <w:rPr>
                <w:rFonts w:hint="eastAsia" w:ascii="宋体" w:hAnsi="宋体" w:eastAsia="宋体" w:cs="宋体"/>
                <w:color w:val="000000" w:themeColor="text1"/>
                <w:sz w:val="16"/>
                <w:szCs w:val="16"/>
                <w:u w:val="none"/>
                <w:lang w:val="en-US" w:eastAsia="zh-CN" w:bidi="ar"/>
                <w14:textFill>
                  <w14:solidFill>
                    <w14:schemeClr w14:val="tx1"/>
                  </w14:solidFill>
                </w14:textFill>
              </w:rPr>
              <w:t>年12月31日前完成</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2021</w:t>
            </w:r>
            <w:r>
              <w:rPr>
                <w:rFonts w:hint="eastAsia" w:ascii="宋体" w:hAnsi="宋体" w:eastAsia="宋体" w:cs="宋体"/>
                <w:color w:val="000000" w:themeColor="text1"/>
                <w:sz w:val="16"/>
                <w:szCs w:val="16"/>
                <w:u w:val="none"/>
                <w:lang w:val="en-US" w:eastAsia="zh-CN" w:bidi="ar"/>
                <w14:textFill>
                  <w14:solidFill>
                    <w14:schemeClr w14:val="tx1"/>
                  </w14:solidFill>
                </w14:textFill>
              </w:rPr>
              <w:t>年12月31日前完成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1931"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0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效益</w:t>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社会效益指标</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落实普法责任</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有效推动省直有关部门落实“谁执法谁普法”普法责任</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有效推动省直有关部门落实“谁执法谁普法”</w:t>
            </w:r>
          </w:p>
          <w:p>
            <w:pPr>
              <w:keepNext w:val="0"/>
              <w:keepLines w:val="0"/>
              <w:widowControl/>
              <w:suppressLineNumbers w:val="0"/>
              <w:jc w:val="both"/>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普法责任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1931"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可持续影响指标</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法治教育</w:t>
            </w:r>
          </w:p>
          <w:p>
            <w:pPr>
              <w:keepNext w:val="0"/>
              <w:keepLines w:val="0"/>
              <w:widowControl/>
              <w:suppressLineNumbers w:val="0"/>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覆盖面</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全省21个市州</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全省21个市州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0" w:hRule="atLeast"/>
          <w:jc w:val="center"/>
        </w:trPr>
        <w:tc>
          <w:tcPr>
            <w:tcW w:w="193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满意</w:t>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满意度指标</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普法宣传受众人群满意度</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普法宣传受众人群满意度达到90%</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普法宣传受众人群满意度达到90%</w:t>
            </w:r>
          </w:p>
        </w:tc>
      </w:tr>
    </w:tbl>
    <w:p>
      <w:pPr>
        <w:rPr>
          <w:color w:val="000000" w:themeColor="text1"/>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line="560" w:lineRule="exact"/>
        <w:ind w:left="0" w:hanging="3890" w:hangingChars="1300"/>
        <w:jc w:val="center"/>
        <w:textAlignment w:val="center"/>
        <w:rPr>
          <w:rFonts w:hint="eastAsia" w:ascii="宋体" w:hAnsi="宋体" w:eastAsia="宋体" w:cs="宋体"/>
          <w:b/>
          <w:i w:val="0"/>
          <w:color w:val="000000" w:themeColor="text1"/>
          <w:spacing w:val="-11"/>
          <w:sz w:val="32"/>
          <w:szCs w:val="32"/>
          <w:highlight w:val="none"/>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line="560" w:lineRule="exact"/>
        <w:ind w:left="0" w:hanging="3890" w:hangingChars="1300"/>
        <w:jc w:val="center"/>
        <w:textAlignment w:val="center"/>
        <w:rPr>
          <w:rFonts w:hint="eastAsia" w:ascii="宋体" w:hAnsi="宋体" w:eastAsia="宋体" w:cs="宋体"/>
          <w:b/>
          <w:i w:val="0"/>
          <w:color w:val="000000" w:themeColor="text1"/>
          <w:spacing w:val="-11"/>
          <w:sz w:val="32"/>
          <w:szCs w:val="32"/>
          <w:highlight w:val="none"/>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line="560" w:lineRule="exact"/>
        <w:ind w:left="0" w:hanging="3890" w:hangingChars="1300"/>
        <w:jc w:val="center"/>
        <w:textAlignment w:val="center"/>
        <w:rPr>
          <w:rFonts w:hint="eastAsia" w:ascii="宋体" w:hAnsi="宋体" w:eastAsia="宋体" w:cs="宋体"/>
          <w:b/>
          <w:i w:val="0"/>
          <w:color w:val="000000" w:themeColor="text1"/>
          <w:spacing w:val="-11"/>
          <w:sz w:val="32"/>
          <w:szCs w:val="32"/>
          <w:highlight w:val="none"/>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line="560" w:lineRule="exact"/>
        <w:ind w:left="0" w:hanging="3890" w:hangingChars="1300"/>
        <w:jc w:val="center"/>
        <w:textAlignment w:val="center"/>
        <w:rPr>
          <w:rFonts w:hint="eastAsia" w:ascii="宋体" w:hAnsi="宋体" w:eastAsia="宋体" w:cs="宋体"/>
          <w:b/>
          <w:i w:val="0"/>
          <w:color w:val="000000" w:themeColor="text1"/>
          <w:spacing w:val="-11"/>
          <w:sz w:val="32"/>
          <w:szCs w:val="32"/>
          <w:highlight w:val="none"/>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line="560" w:lineRule="exact"/>
        <w:ind w:left="0" w:hanging="3890" w:hangingChars="1300"/>
        <w:jc w:val="center"/>
        <w:textAlignment w:val="center"/>
        <w:rPr>
          <w:rFonts w:hint="eastAsia" w:ascii="宋体" w:hAnsi="宋体" w:cs="宋体"/>
          <w:b/>
          <w:i w:val="0"/>
          <w:color w:val="000000" w:themeColor="text1"/>
          <w:spacing w:val="-11"/>
          <w:sz w:val="32"/>
          <w:szCs w:val="32"/>
          <w:highlight w:val="none"/>
          <w:u w:val="none"/>
          <w:lang w:val="en-US" w:eastAsia="zh-CN"/>
          <w14:textFill>
            <w14:solidFill>
              <w14:schemeClr w14:val="tx1"/>
            </w14:solidFill>
          </w14:textFill>
        </w:rPr>
      </w:pPr>
      <w:r>
        <w:rPr>
          <w:rFonts w:hint="eastAsia" w:ascii="宋体" w:hAnsi="宋体" w:eastAsia="宋体" w:cs="宋体"/>
          <w:b/>
          <w:i w:val="0"/>
          <w:color w:val="000000" w:themeColor="text1"/>
          <w:spacing w:val="-11"/>
          <w:sz w:val="32"/>
          <w:szCs w:val="32"/>
          <w:highlight w:val="none"/>
          <w:u w:val="none"/>
          <w:lang w:val="en-US" w:eastAsia="zh-CN"/>
          <w14:textFill>
            <w14:solidFill>
              <w14:schemeClr w14:val="tx1"/>
            </w14:solidFill>
          </w14:textFill>
        </w:rPr>
        <w:t>2021年100万元以上（含）特定目标类部门预算项目绩效目标自评</w:t>
      </w:r>
    </w:p>
    <w:p>
      <w:pPr>
        <w:keepNext w:val="0"/>
        <w:keepLines w:val="0"/>
        <w:pageBreakBefore w:val="0"/>
        <w:kinsoku/>
        <w:wordWrap/>
        <w:overflowPunct/>
        <w:topLinePunct w:val="0"/>
        <w:autoSpaceDE/>
        <w:autoSpaceDN/>
        <w:bidi w:val="0"/>
        <w:adjustRightInd/>
        <w:snapToGrid/>
        <w:spacing w:line="560" w:lineRule="exact"/>
        <w:jc w:val="center"/>
        <w:rPr>
          <w:rFonts w:hint="eastAsia" w:ascii="宋体" w:hAnsi="宋体" w:cs="宋体"/>
          <w:b w:val="0"/>
          <w:bCs/>
          <w:i w:val="0"/>
          <w:color w:val="000000" w:themeColor="text1"/>
          <w:sz w:val="32"/>
          <w:szCs w:val="32"/>
          <w:highlight w:val="none"/>
          <w:u w:val="none"/>
          <w:lang w:val="en-US" w:eastAsia="zh-CN"/>
          <w14:textFill>
            <w14:solidFill>
              <w14:schemeClr w14:val="tx1"/>
            </w14:solidFill>
          </w14:textFill>
        </w:rPr>
      </w:pPr>
      <w:r>
        <w:rPr>
          <w:rFonts w:hint="eastAsia" w:ascii="宋体" w:hAnsi="宋体" w:cs="宋体"/>
          <w:b w:val="0"/>
          <w:bCs/>
          <w:i w:val="0"/>
          <w:color w:val="000000" w:themeColor="text1"/>
          <w:sz w:val="32"/>
          <w:szCs w:val="32"/>
          <w:highlight w:val="none"/>
          <w:u w:val="none"/>
          <w:lang w:val="en-US" w:eastAsia="zh-CN"/>
          <w14:textFill>
            <w14:solidFill>
              <w14:schemeClr w14:val="tx1"/>
            </w14:solidFill>
          </w14:textFill>
        </w:rPr>
        <w:t>（法律援助经费）</w:t>
      </w:r>
    </w:p>
    <w:p>
      <w:pPr>
        <w:bidi w:val="0"/>
        <w:rPr>
          <w:color w:val="000000" w:themeColor="text1"/>
          <w14:textFill>
            <w14:solidFill>
              <w14:schemeClr w14:val="tx1"/>
            </w14:solidFill>
          </w14:textFill>
        </w:rPr>
      </w:pPr>
    </w:p>
    <w:tbl>
      <w:tblPr>
        <w:tblStyle w:val="14"/>
        <w:tblW w:w="10019"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213"/>
        <w:gridCol w:w="1142"/>
        <w:gridCol w:w="1340"/>
        <w:gridCol w:w="1669"/>
        <w:gridCol w:w="1580"/>
        <w:gridCol w:w="20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4" w:hRule="atLeast"/>
          <w:jc w:val="center"/>
        </w:trPr>
        <w:tc>
          <w:tcPr>
            <w:tcW w:w="3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主管部门及代码</w:t>
            </w:r>
          </w:p>
        </w:tc>
        <w:tc>
          <w:tcPr>
            <w:tcW w:w="30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四川省司法厅-207</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实施单位</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sz w:val="16"/>
                <w:szCs w:val="16"/>
                <w:highlight w:val="none"/>
                <w:u w:val="none"/>
                <w14:textFill>
                  <w14:solidFill>
                    <w14:schemeClr w14:val="tx1"/>
                  </w14:solidFill>
                </w14:textFill>
              </w:rPr>
              <w:t>四川省司法厅机关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1" w:hRule="atLeast"/>
          <w:jc w:val="center"/>
        </w:trPr>
        <w:tc>
          <w:tcPr>
            <w:tcW w:w="335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项目预算</w:t>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执行情况</w:t>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（万元）</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 xml:space="preserve"> 预算数：</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650.00</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 xml:space="preserve"> 执行数：</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649.65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5" w:hRule="atLeast"/>
          <w:jc w:val="center"/>
        </w:trPr>
        <w:tc>
          <w:tcPr>
            <w:tcW w:w="33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财政拨款</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650.00</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财政拨款</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649.65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1" w:hRule="atLeast"/>
          <w:jc w:val="center"/>
        </w:trPr>
        <w:tc>
          <w:tcPr>
            <w:tcW w:w="33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其他资金</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其他资金</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 w:hRule="atLeast"/>
          <w:jc w:val="center"/>
        </w:trPr>
        <w:tc>
          <w:tcPr>
            <w:tcW w:w="22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完成情况</w:t>
            </w:r>
          </w:p>
        </w:tc>
        <w:tc>
          <w:tcPr>
            <w:tcW w:w="41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预期目标</w:t>
            </w:r>
          </w:p>
        </w:tc>
        <w:tc>
          <w:tcPr>
            <w:tcW w:w="36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7" w:hRule="atLeast"/>
          <w:jc w:val="center"/>
        </w:trPr>
        <w:tc>
          <w:tcPr>
            <w:tcW w:w="2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both"/>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4151"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tabs>
                <w:tab w:val="left" w:pos="694"/>
              </w:tabs>
              <w:bidi w:val="0"/>
              <w:jc w:val="both"/>
              <w:rPr>
                <w:rFonts w:hint="eastAsia" w:ascii="宋体" w:hAnsi="宋体" w:eastAsia="宋体" w:cs="宋体"/>
                <w:color w:val="000000" w:themeColor="text1"/>
                <w:kern w:val="2"/>
                <w:sz w:val="16"/>
                <w:szCs w:val="16"/>
                <w:lang w:val="en-US" w:eastAsia="zh-CN" w:bidi="ar-SA"/>
                <w14:textFill>
                  <w14:solidFill>
                    <w14:schemeClr w14:val="tx1"/>
                  </w14:solidFill>
                </w14:textFill>
              </w:rPr>
            </w:pPr>
            <w:r>
              <w:rPr>
                <w:rFonts w:hint="eastAsia" w:ascii="宋体" w:hAnsi="宋体" w:eastAsia="宋体" w:cs="宋体"/>
                <w:color w:val="000000" w:themeColor="text1"/>
                <w:kern w:val="2"/>
                <w:sz w:val="16"/>
                <w:szCs w:val="16"/>
                <w:lang w:val="en-US" w:eastAsia="zh-CN" w:bidi="ar-SA"/>
                <w14:textFill>
                  <w14:solidFill>
                    <w14:schemeClr w14:val="tx1"/>
                  </w14:solidFill>
                </w14:textFill>
              </w:rPr>
              <w:t>2021年12月31日之前，法律援助中心完成办理法律援助案件1500件以上；提供咨询服务51000人次以上。</w:t>
            </w:r>
          </w:p>
        </w:tc>
        <w:tc>
          <w:tcPr>
            <w:tcW w:w="365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sz w:val="16"/>
                <w:szCs w:val="16"/>
                <w:highlight w:val="none"/>
                <w:u w:val="none"/>
                <w14:textFill>
                  <w14:solidFill>
                    <w14:schemeClr w14:val="tx1"/>
                  </w14:solidFill>
                </w14:textFill>
              </w:rPr>
              <w:t>2021年12月31日之前，法律援助中心完成办理法律援助案件1500件以上；提供咨询服务51000人次以上。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3" w:hRule="atLeast"/>
          <w:jc w:val="center"/>
        </w:trPr>
        <w:tc>
          <w:tcPr>
            <w:tcW w:w="221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指标</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指标</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指标</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预期指标值</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5" w:hRule="atLeast"/>
          <w:jc w:val="center"/>
        </w:trPr>
        <w:tc>
          <w:tcPr>
            <w:tcW w:w="221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指标</w:t>
            </w:r>
          </w:p>
        </w:tc>
        <w:tc>
          <w:tcPr>
            <w:tcW w:w="13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数量指标</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法律援助案件案件受理数</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法律援助案件受理数1500件以上</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法律援助案件受理数1500件以上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5" w:hRule="atLeast"/>
          <w:jc w:val="center"/>
        </w:trPr>
        <w:tc>
          <w:tcPr>
            <w:tcW w:w="221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接待人次</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大厅接待咨询1000人次以上、四川法网解答咨询25000人次以上、中国法网解答咨询25000人次以上</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大厅接待咨询1000人次以上、四川法网解答咨询25000人次以上、中国法网解答咨询25000人次以上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221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质量指标</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保持较高的法律援助案件服务质量，受援群众投诉率</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投诉率不超过3%</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投诉率不超过3%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221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时效指标</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完成工作时间</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2021年12月31日以前完成年度目标</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2021年12月31日以前完成年度目标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221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效益</w:t>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指标</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社会效益指标</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对社会的促进作用</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让老百姓打的起官司，解决群众的法律援助疑惑</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让老百姓打的起官司，解决群众的法律援助疑惑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221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3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可持续影响指标</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维权意识增强</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养成依靠法律解决纠纷的习惯</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养成依靠法律解决纠纷的习惯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221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运用法治手段解决矛盾纠纷</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使法律成为老百姓的依靠</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使法律成为老百姓的依靠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0" w:hRule="atLeast"/>
          <w:jc w:val="center"/>
        </w:trPr>
        <w:tc>
          <w:tcPr>
            <w:tcW w:w="221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满意</w:t>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度指标</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满意度指标</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服务对象满意度指标</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受援群众满意度达到90%</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受援群众满意度达到90%</w:t>
            </w:r>
          </w:p>
        </w:tc>
      </w:tr>
    </w:tbl>
    <w:p>
      <w:pPr>
        <w:rPr>
          <w:color w:val="000000" w:themeColor="text1"/>
          <w14:textFill>
            <w14:solidFill>
              <w14:schemeClr w14:val="tx1"/>
            </w14:solidFill>
          </w14:textFill>
        </w:rPr>
      </w:pPr>
    </w:p>
    <w:p>
      <w:pPr>
        <w:rPr>
          <w:rFonts w:hint="eastAsia"/>
          <w:color w:val="000000" w:themeColor="text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color w:val="000000" w:themeColor="text1"/>
          <w:spacing w:val="-1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color w:val="000000" w:themeColor="text1"/>
          <w:spacing w:val="-11"/>
          <w:sz w:val="32"/>
          <w:szCs w:val="32"/>
          <w:lang w:val="en-US" w:eastAsia="zh-CN"/>
          <w14:textFill>
            <w14:solidFill>
              <w14:schemeClr w14:val="tx1"/>
            </w14:solidFill>
          </w14:textFill>
        </w:rPr>
      </w:pPr>
      <w:r>
        <w:rPr>
          <w:rFonts w:hint="eastAsia" w:ascii="宋体" w:hAnsi="宋体" w:eastAsia="宋体" w:cs="宋体"/>
          <w:b/>
          <w:bCs/>
          <w:color w:val="000000" w:themeColor="text1"/>
          <w:spacing w:val="-11"/>
          <w:sz w:val="32"/>
          <w:szCs w:val="32"/>
          <w:lang w:val="en-US" w:eastAsia="zh-CN"/>
          <w14:textFill>
            <w14:solidFill>
              <w14:schemeClr w14:val="tx1"/>
            </w14:solidFill>
          </w14:textFill>
        </w:rPr>
        <w:t>2021年100万元以上（含）特定目标类部门预算项目绩效目标自评</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val="0"/>
          <w:bCs w:val="0"/>
          <w:color w:val="000000" w:themeColor="text1"/>
          <w:sz w:val="32"/>
          <w:szCs w:val="32"/>
          <w:lang w:val="en-US" w:eastAsia="zh-CN"/>
          <w14:textFill>
            <w14:solidFill>
              <w14:schemeClr w14:val="tx1"/>
            </w14:solidFill>
          </w14:textFill>
        </w:rPr>
      </w:pPr>
      <w:r>
        <w:rPr>
          <w:rFonts w:hint="eastAsia" w:ascii="宋体" w:hAnsi="宋体" w:eastAsia="宋体" w:cs="宋体"/>
          <w:b w:val="0"/>
          <w:bCs w:val="0"/>
          <w:color w:val="000000" w:themeColor="text1"/>
          <w:sz w:val="32"/>
          <w:szCs w:val="32"/>
          <w:lang w:val="en-US" w:eastAsia="zh-CN"/>
          <w14:textFill>
            <w14:solidFill>
              <w14:schemeClr w14:val="tx1"/>
            </w14:solidFill>
          </w14:textFill>
        </w:rPr>
        <w:t>（基层司法业务经费）</w:t>
      </w:r>
    </w:p>
    <w:p>
      <w:pPr>
        <w:bidi w:val="0"/>
        <w:rPr>
          <w:rFonts w:hint="eastAsia"/>
          <w:color w:val="000000" w:themeColor="text1"/>
          <w14:textFill>
            <w14:solidFill>
              <w14:schemeClr w14:val="tx1"/>
            </w14:solidFill>
          </w14:textFill>
        </w:rPr>
      </w:pPr>
    </w:p>
    <w:tbl>
      <w:tblPr>
        <w:tblStyle w:val="14"/>
        <w:tblW w:w="9813"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213"/>
        <w:gridCol w:w="1142"/>
        <w:gridCol w:w="1340"/>
        <w:gridCol w:w="1669"/>
        <w:gridCol w:w="1406"/>
        <w:gridCol w:w="20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4" w:hRule="atLeast"/>
          <w:jc w:val="center"/>
        </w:trPr>
        <w:tc>
          <w:tcPr>
            <w:tcW w:w="3355"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主管部门及代码</w:t>
            </w:r>
          </w:p>
        </w:tc>
        <w:tc>
          <w:tcPr>
            <w:tcW w:w="3009"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四川省司法厅-207</w:t>
            </w:r>
          </w:p>
        </w:tc>
        <w:tc>
          <w:tcPr>
            <w:tcW w:w="140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实施单位</w:t>
            </w:r>
          </w:p>
        </w:tc>
        <w:tc>
          <w:tcPr>
            <w:tcW w:w="204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sz w:val="16"/>
                <w:szCs w:val="16"/>
                <w:highlight w:val="none"/>
                <w:u w:val="none"/>
                <w14:textFill>
                  <w14:solidFill>
                    <w14:schemeClr w14:val="tx1"/>
                  </w14:solidFill>
                </w14:textFill>
              </w:rPr>
              <w:t>四川省司法厅机关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1" w:hRule="atLeast"/>
          <w:jc w:val="center"/>
        </w:trPr>
        <w:tc>
          <w:tcPr>
            <w:tcW w:w="3355"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项目预算</w:t>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执行情况</w:t>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（万元）</w:t>
            </w:r>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 xml:space="preserve"> 预算数：</w:t>
            </w:r>
          </w:p>
        </w:tc>
        <w:tc>
          <w:tcPr>
            <w:tcW w:w="16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495.00</w:t>
            </w:r>
          </w:p>
        </w:tc>
        <w:tc>
          <w:tcPr>
            <w:tcW w:w="14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 xml:space="preserve"> 执行数：</w:t>
            </w:r>
          </w:p>
        </w:tc>
        <w:tc>
          <w:tcPr>
            <w:tcW w:w="20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487.40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5" w:hRule="atLeast"/>
          <w:jc w:val="center"/>
        </w:trPr>
        <w:tc>
          <w:tcPr>
            <w:tcW w:w="335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财政拨款</w:t>
            </w:r>
          </w:p>
        </w:tc>
        <w:tc>
          <w:tcPr>
            <w:tcW w:w="16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495.00</w:t>
            </w:r>
          </w:p>
        </w:tc>
        <w:tc>
          <w:tcPr>
            <w:tcW w:w="14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财政拨款</w:t>
            </w:r>
          </w:p>
        </w:tc>
        <w:tc>
          <w:tcPr>
            <w:tcW w:w="20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487.40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1" w:hRule="atLeast"/>
          <w:jc w:val="center"/>
        </w:trPr>
        <w:tc>
          <w:tcPr>
            <w:tcW w:w="335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其他资金</w:t>
            </w:r>
          </w:p>
        </w:tc>
        <w:tc>
          <w:tcPr>
            <w:tcW w:w="16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4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其他资金</w:t>
            </w:r>
          </w:p>
        </w:tc>
        <w:tc>
          <w:tcPr>
            <w:tcW w:w="20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 w:hRule="atLeast"/>
          <w:jc w:val="center"/>
        </w:trPr>
        <w:tc>
          <w:tcPr>
            <w:tcW w:w="22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完成情况</w:t>
            </w:r>
          </w:p>
        </w:tc>
        <w:tc>
          <w:tcPr>
            <w:tcW w:w="415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预期目标</w:t>
            </w:r>
          </w:p>
        </w:tc>
        <w:tc>
          <w:tcPr>
            <w:tcW w:w="344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7" w:hRule="atLeast"/>
          <w:jc w:val="center"/>
        </w:trPr>
        <w:tc>
          <w:tcPr>
            <w:tcW w:w="22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4151" w:type="dxa"/>
            <w:gridSpan w:val="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color w:val="000000" w:themeColor="text1"/>
                <w:kern w:val="2"/>
                <w:sz w:val="16"/>
                <w:szCs w:val="16"/>
                <w:lang w:val="en-US" w:eastAsia="zh-CN" w:bidi="ar-SA"/>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组织开展全省“我最满意司法所”评选活动，开展司法所规范化建设成果宣传月活动，公共法律服务标准化规范化体系初步形成。</w:t>
            </w:r>
          </w:p>
        </w:tc>
        <w:tc>
          <w:tcPr>
            <w:tcW w:w="3449"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组织开展全省“我最满意司法所”评选活动，开展司法所规范化建设成果宣传月活动，公共法律服务标准化规范化体系初步形成。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3" w:hRule="atLeast"/>
          <w:jc w:val="center"/>
        </w:trPr>
        <w:tc>
          <w:tcPr>
            <w:tcW w:w="22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年度绩效指标完成情况</w:t>
            </w:r>
          </w:p>
        </w:tc>
        <w:tc>
          <w:tcPr>
            <w:tcW w:w="11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指标</w:t>
            </w:r>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指标</w:t>
            </w:r>
          </w:p>
        </w:tc>
        <w:tc>
          <w:tcPr>
            <w:tcW w:w="16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指标</w:t>
            </w:r>
          </w:p>
        </w:tc>
        <w:tc>
          <w:tcPr>
            <w:tcW w:w="14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预期指标值</w:t>
            </w:r>
          </w:p>
        </w:tc>
        <w:tc>
          <w:tcPr>
            <w:tcW w:w="20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5" w:hRule="atLeast"/>
          <w:jc w:val="center"/>
        </w:trPr>
        <w:tc>
          <w:tcPr>
            <w:tcW w:w="22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4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指标</w:t>
            </w:r>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数量指标</w:t>
            </w:r>
          </w:p>
        </w:tc>
        <w:tc>
          <w:tcPr>
            <w:tcW w:w="16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“我最满意司法所”评选数量。</w:t>
            </w:r>
          </w:p>
        </w:tc>
        <w:tc>
          <w:tcPr>
            <w:tcW w:w="14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拟评选司法所总数10%的“我最满意司法所”。</w:t>
            </w:r>
          </w:p>
        </w:tc>
        <w:tc>
          <w:tcPr>
            <w:tcW w:w="20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拟评选司法所总数10%的“我最满意司法所”。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22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质量指标</w:t>
            </w:r>
          </w:p>
        </w:tc>
        <w:tc>
          <w:tcPr>
            <w:tcW w:w="16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严把基层法律服务工作者入门关</w:t>
            </w:r>
          </w:p>
        </w:tc>
        <w:tc>
          <w:tcPr>
            <w:tcW w:w="14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提升基层法律服务执业能力和服务水平</w:t>
            </w:r>
          </w:p>
        </w:tc>
        <w:tc>
          <w:tcPr>
            <w:tcW w:w="20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提升基层法律服务执业能力和服务水平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22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4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效益</w:t>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指标</w:t>
            </w:r>
          </w:p>
        </w:tc>
        <w:tc>
          <w:tcPr>
            <w:tcW w:w="13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社会效益指标</w:t>
            </w:r>
          </w:p>
        </w:tc>
        <w:tc>
          <w:tcPr>
            <w:tcW w:w="16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对社会的促进作用</w:t>
            </w:r>
          </w:p>
        </w:tc>
        <w:tc>
          <w:tcPr>
            <w:tcW w:w="14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依法据理为信访群众提供法律咨询，引导信访群众依法维护自身合法权益；创新律师参与民事案件纠纷调解，有效化解各类矛盾纠纷，维护当事人合法权益</w:t>
            </w:r>
          </w:p>
        </w:tc>
        <w:tc>
          <w:tcPr>
            <w:tcW w:w="20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依法据理为信访群众提供法律咨询，引导信访群众依法维护自身合法权益；创新律师参与民事案件纠纷调解，有效化解各类矛盾纠纷，维护当事人合法权益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22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3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16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推动基层法治建设</w:t>
            </w:r>
          </w:p>
        </w:tc>
        <w:tc>
          <w:tcPr>
            <w:tcW w:w="14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人民群众对司法所建设的满意率显著提升。</w:t>
            </w:r>
          </w:p>
        </w:tc>
        <w:tc>
          <w:tcPr>
            <w:tcW w:w="20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人民群众对司法所建设的满意率显著提升。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22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3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16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对社会促进作用</w:t>
            </w:r>
          </w:p>
        </w:tc>
        <w:tc>
          <w:tcPr>
            <w:tcW w:w="14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全面贯彻落实中办、国办《关于加快推进公共法律服务体系建设的意见》，推进形成公共法律服务规范高效开展的地方性法律依据，到2022年基本形成覆盖城乡、便捷高效、均等普惠的现代化公共法律服务体系。到2035年，基本形成与法治国家、法治政府、法治社会基本建成目标相适应的公共法律服务体系。全面提升人民群众的幸福高、获得感、安全感。</w:t>
            </w:r>
          </w:p>
        </w:tc>
        <w:tc>
          <w:tcPr>
            <w:tcW w:w="20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全面贯彻落实中办、国办《关于加快推进公共法律服务体系建设的意见》，推进形成公共法律服务规范高效开展的地方性法律依据，到2022年基本形成覆盖城乡、便捷高效、均等普惠的现代化公共法律服务体系。到2035年，基本形成与法治国家、法治政府、法治社会基本建成目标相适应的公共法律服务体系。全面提升人民群众的幸福高、获得感、</w:t>
            </w:r>
          </w:p>
          <w:p>
            <w:pPr>
              <w:keepNext w:val="0"/>
              <w:keepLines w:val="0"/>
              <w:widowControl/>
              <w:suppressLineNumbers w:val="0"/>
              <w:jc w:val="both"/>
              <w:textAlignment w:val="bottom"/>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安全感。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2213" w:type="dxa"/>
            <w:vMerge w:val="continue"/>
            <w:tcBorders>
              <w:top w:val="single" w:color="auto" w:sz="4" w:space="0"/>
              <w:left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42"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34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可持续影响指标</w:t>
            </w:r>
          </w:p>
        </w:tc>
        <w:tc>
          <w:tcPr>
            <w:tcW w:w="1669"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法治理念深入人心</w:t>
            </w:r>
          </w:p>
        </w:tc>
        <w:tc>
          <w:tcPr>
            <w:tcW w:w="140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促进人民群众依法依规解决法律问题，促进社会公平正义，维护社会和谐稳定</w:t>
            </w:r>
          </w:p>
        </w:tc>
        <w:tc>
          <w:tcPr>
            <w:tcW w:w="204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促进人民群众依法依规解决法律问题，促进社会公平正义，维护社会和</w:t>
            </w:r>
          </w:p>
          <w:p>
            <w:pPr>
              <w:keepNext w:val="0"/>
              <w:keepLines w:val="0"/>
              <w:widowControl/>
              <w:suppressLineNumbers w:val="0"/>
              <w:jc w:val="both"/>
              <w:textAlignment w:val="bottom"/>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谐稳定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0" w:hRule="atLeast"/>
          <w:jc w:val="center"/>
        </w:trPr>
        <w:tc>
          <w:tcPr>
            <w:tcW w:w="2213" w:type="dxa"/>
            <w:vMerge w:val="continue"/>
            <w:tcBorders>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满意</w:t>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度指标</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满意度指标</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服务对象满意度</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服务对象满意度达到90%以上</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服务对象满意度达到90%以上</w:t>
            </w:r>
          </w:p>
        </w:tc>
      </w:tr>
    </w:tbl>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rFonts w:hint="eastAsia"/>
          <w:color w:val="000000" w:themeColor="text1"/>
          <w:lang w:val="en-US" w:eastAsia="zh-CN"/>
          <w14:textFill>
            <w14:solidFill>
              <w14:schemeClr w14:val="tx1"/>
            </w14:solidFill>
          </w14:textFill>
        </w:rPr>
      </w:pPr>
    </w:p>
    <w:p>
      <w:pPr>
        <w:rPr>
          <w:rFonts w:hint="eastAsia"/>
          <w:color w:val="000000" w:themeColor="text1"/>
          <w:lang w:val="en-US" w:eastAsia="zh-CN"/>
          <w14:textFill>
            <w14:solidFill>
              <w14:schemeClr w14:val="tx1"/>
            </w14:solidFill>
          </w14:textFill>
        </w:rPr>
      </w:pPr>
    </w:p>
    <w:p>
      <w:pPr>
        <w:rPr>
          <w:rFonts w:hint="eastAsia"/>
          <w:color w:val="000000" w:themeColor="text1"/>
          <w:lang w:val="en-US" w:eastAsia="zh-CN"/>
          <w14:textFill>
            <w14:solidFill>
              <w14:schemeClr w14:val="tx1"/>
            </w14:solidFill>
          </w14:textFill>
        </w:rPr>
      </w:pPr>
    </w:p>
    <w:p>
      <w:pPr>
        <w:jc w:val="center"/>
        <w:rPr>
          <w:rFonts w:hint="eastAsia" w:ascii="宋体" w:hAnsi="宋体" w:eastAsia="宋体" w:cs="宋体"/>
          <w:b/>
          <w:bCs/>
          <w:color w:val="000000" w:themeColor="text1"/>
          <w:spacing w:val="-1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color w:val="000000" w:themeColor="text1"/>
          <w:spacing w:val="-11"/>
          <w:sz w:val="32"/>
          <w:szCs w:val="32"/>
          <w:lang w:val="en-US" w:eastAsia="zh-CN"/>
          <w14:textFill>
            <w14:solidFill>
              <w14:schemeClr w14:val="tx1"/>
            </w14:solidFill>
          </w14:textFill>
        </w:rPr>
      </w:pPr>
      <w:r>
        <w:rPr>
          <w:rFonts w:hint="eastAsia" w:ascii="宋体" w:hAnsi="宋体" w:eastAsia="宋体" w:cs="宋体"/>
          <w:b/>
          <w:bCs/>
          <w:color w:val="000000" w:themeColor="text1"/>
          <w:spacing w:val="-11"/>
          <w:sz w:val="32"/>
          <w:szCs w:val="32"/>
          <w:lang w:val="en-US" w:eastAsia="zh-CN"/>
          <w14:textFill>
            <w14:solidFill>
              <w14:schemeClr w14:val="tx1"/>
            </w14:solidFill>
          </w14:textFill>
        </w:rPr>
        <w:t>2021年100万元以上（含）特定目标类部门预算项目绩效目标自评</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val="0"/>
          <w:bCs w:val="0"/>
          <w:color w:val="000000" w:themeColor="text1"/>
          <w:sz w:val="32"/>
          <w:szCs w:val="32"/>
          <w:lang w:val="en-US" w:eastAsia="zh-CN"/>
          <w14:textFill>
            <w14:solidFill>
              <w14:schemeClr w14:val="tx1"/>
            </w14:solidFill>
          </w14:textFill>
        </w:rPr>
      </w:pPr>
      <w:r>
        <w:rPr>
          <w:rFonts w:hint="eastAsia" w:ascii="宋体" w:hAnsi="宋体" w:eastAsia="宋体" w:cs="宋体"/>
          <w:b w:val="0"/>
          <w:bCs w:val="0"/>
          <w:color w:val="000000" w:themeColor="text1"/>
          <w:sz w:val="32"/>
          <w:szCs w:val="32"/>
          <w:lang w:val="en-US" w:eastAsia="zh-CN"/>
          <w14:textFill>
            <w14:solidFill>
              <w14:schemeClr w14:val="tx1"/>
            </w14:solidFill>
          </w14:textFill>
        </w:rPr>
        <w:t>（法制建设）</w:t>
      </w:r>
    </w:p>
    <w:p>
      <w:pPr>
        <w:rPr>
          <w:rFonts w:hint="eastAsia"/>
          <w:color w:val="000000" w:themeColor="text1"/>
          <w14:textFill>
            <w14:solidFill>
              <w14:schemeClr w14:val="tx1"/>
            </w14:solidFill>
          </w14:textFill>
        </w:rPr>
      </w:pPr>
    </w:p>
    <w:tbl>
      <w:tblPr>
        <w:tblStyle w:val="14"/>
        <w:tblW w:w="9813"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213"/>
        <w:gridCol w:w="1142"/>
        <w:gridCol w:w="1385"/>
        <w:gridCol w:w="1335"/>
        <w:gridCol w:w="1925"/>
        <w:gridCol w:w="18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4" w:hRule="atLeast"/>
          <w:jc w:val="center"/>
        </w:trPr>
        <w:tc>
          <w:tcPr>
            <w:tcW w:w="3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主管部门及代码</w:t>
            </w:r>
          </w:p>
        </w:tc>
        <w:tc>
          <w:tcPr>
            <w:tcW w:w="2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四川省司法厅-207</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实施单位</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sz w:val="16"/>
                <w:szCs w:val="16"/>
                <w:highlight w:val="none"/>
                <w:u w:val="none"/>
                <w14:textFill>
                  <w14:solidFill>
                    <w14:schemeClr w14:val="tx1"/>
                  </w14:solidFill>
                </w14:textFill>
              </w:rPr>
              <w:t>四川省司法厅机关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1" w:hRule="atLeast"/>
          <w:jc w:val="center"/>
        </w:trPr>
        <w:tc>
          <w:tcPr>
            <w:tcW w:w="335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项目预算</w:t>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执行情况</w:t>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（万元）</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 xml:space="preserve"> 预算数：</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460.00</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 xml:space="preserve"> 执行数：</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369.66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5" w:hRule="atLeast"/>
          <w:jc w:val="center"/>
        </w:trPr>
        <w:tc>
          <w:tcPr>
            <w:tcW w:w="33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财政拨款</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460.00</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财政拨款</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369.66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1" w:hRule="atLeast"/>
          <w:jc w:val="center"/>
        </w:trPr>
        <w:tc>
          <w:tcPr>
            <w:tcW w:w="33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其他资金</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其他资金</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 w:hRule="atLeast"/>
          <w:jc w:val="center"/>
        </w:trPr>
        <w:tc>
          <w:tcPr>
            <w:tcW w:w="22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完成情况</w:t>
            </w:r>
          </w:p>
        </w:tc>
        <w:tc>
          <w:tcPr>
            <w:tcW w:w="38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预期目标</w:t>
            </w:r>
          </w:p>
        </w:tc>
        <w:tc>
          <w:tcPr>
            <w:tcW w:w="37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7" w:hRule="atLeast"/>
          <w:jc w:val="center"/>
        </w:trPr>
        <w:tc>
          <w:tcPr>
            <w:tcW w:w="2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38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color w:val="000000" w:themeColor="text1"/>
                <w:kern w:val="2"/>
                <w:sz w:val="16"/>
                <w:szCs w:val="16"/>
                <w:lang w:val="en-US" w:eastAsia="zh-CN" w:bidi="ar-SA"/>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开展法治领域课题研究，与中国社会科学院合作编辑发布年度《四川法治蓝皮书》，行政应诉购买服务，行政复议案件办理工作；通过依法治省法律顾问团，不断完善法律顾问制度，提升公共服务法治水平，借智借力做好依法治省工作。</w:t>
            </w:r>
          </w:p>
        </w:tc>
        <w:tc>
          <w:tcPr>
            <w:tcW w:w="37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开展法治领域课题研究，与中国社会科学院合作编辑发布年度《四川法治蓝皮书》，行政应诉购买服务，行政复议案件办理工作；通过依法治省法律顾问团，不断完善法律顾问制度，提升公共服务法治水平，借智借力做好依法治省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3" w:hRule="atLeast"/>
          <w:jc w:val="center"/>
        </w:trPr>
        <w:tc>
          <w:tcPr>
            <w:tcW w:w="221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指标</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指标</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指标</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预期指标值</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5" w:hRule="atLeast"/>
          <w:jc w:val="center"/>
        </w:trPr>
        <w:tc>
          <w:tcPr>
            <w:tcW w:w="221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指标</w:t>
            </w:r>
          </w:p>
        </w:tc>
        <w:tc>
          <w:tcPr>
            <w:tcW w:w="13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数量指标</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行政应诉案件数量</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行政应诉案件受理率达到100%</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行政应诉案件受理率达到100%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5" w:hRule="atLeast"/>
          <w:jc w:val="center"/>
        </w:trPr>
        <w:tc>
          <w:tcPr>
            <w:tcW w:w="221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《四川法治蓝皮书》印制成书的数量</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印制成书850本左右，分送有关领导及各地各</w:t>
            </w:r>
          </w:p>
          <w:p>
            <w:pPr>
              <w:keepNext w:val="0"/>
              <w:keepLines w:val="0"/>
              <w:widowControl/>
              <w:suppressLineNumbers w:val="0"/>
              <w:jc w:val="both"/>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部门</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印制成书850本左右，分送有关领导及各地各部门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221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省委省政府法律顾问团邀请法律专家参与法治建设</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按2019年、2020年邀请法律专家情况，每年预计进行100人/次的法律</w:t>
            </w:r>
          </w:p>
          <w:p>
            <w:pPr>
              <w:keepNext w:val="0"/>
              <w:keepLines w:val="0"/>
              <w:widowControl/>
              <w:suppressLineNumbers w:val="0"/>
              <w:jc w:val="both"/>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服务。</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按2019年、2020年邀请法律专家情况，每年预计进行100人/次的法律服务。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221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时效指标</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受理行政复议案件工作时间</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在法定时限内受理行政复议案件</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在法定时限内受理行政复议案件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221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效益</w:t>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指标</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社会效益指标</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法治理念深入人心</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社会公众对依法治省工作知悉度、参与度更高，党政各部门对法治固根本稳预期利长远的保障性作用理解更深入。</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社会公众对依法治省工作知悉度、参与度更高，党政各部门对法治固根本稳预期利长远的保障性作用理解更深入。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221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可持续影响指标</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激发理论研究热情</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通过理论成果的展示宣传，理论研究的热情更高，氛围更浓厚</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通过理论成果的展示宣传，理论研究的热情更高，氛围更浓厚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0" w:hRule="atLeast"/>
          <w:jc w:val="center"/>
        </w:trPr>
        <w:tc>
          <w:tcPr>
            <w:tcW w:w="221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满意</w:t>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度指标</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满意度指标</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应诉、复议当事人满意度</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应诉、复议当事人满意度90%以上</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应诉、复议当事人满意度90%以上</w:t>
            </w:r>
          </w:p>
        </w:tc>
      </w:tr>
    </w:tbl>
    <w:p>
      <w:pPr>
        <w:keepNext w:val="0"/>
        <w:keepLines w:val="0"/>
        <w:pageBreakBefore w:val="0"/>
        <w:widowControl/>
        <w:suppressLineNumbers w:val="0"/>
        <w:kinsoku/>
        <w:wordWrap/>
        <w:overflowPunct/>
        <w:topLinePunct w:val="0"/>
        <w:autoSpaceDE/>
        <w:autoSpaceDN/>
        <w:bidi w:val="0"/>
        <w:adjustRightInd/>
        <w:snapToGrid/>
        <w:spacing w:beforeAutospacing="0" w:line="560" w:lineRule="exact"/>
        <w:ind w:left="0" w:hanging="2088" w:hangingChars="1300"/>
        <w:jc w:val="center"/>
        <w:textAlignment w:val="center"/>
        <w:rPr>
          <w:rFonts w:hint="eastAsia" w:ascii="宋体" w:hAnsi="宋体" w:eastAsia="宋体" w:cs="宋体"/>
          <w:b/>
          <w:i w:val="0"/>
          <w:color w:val="000000" w:themeColor="text1"/>
          <w:sz w:val="16"/>
          <w:szCs w:val="16"/>
          <w:highlight w:val="none"/>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line="560" w:lineRule="exact"/>
        <w:ind w:left="0" w:hanging="3890" w:hangingChars="1300"/>
        <w:jc w:val="center"/>
        <w:textAlignment w:val="center"/>
        <w:rPr>
          <w:rFonts w:hint="eastAsia" w:ascii="宋体" w:hAnsi="宋体" w:eastAsia="宋体" w:cs="宋体"/>
          <w:b/>
          <w:i w:val="0"/>
          <w:color w:val="000000" w:themeColor="text1"/>
          <w:spacing w:val="-11"/>
          <w:sz w:val="32"/>
          <w:szCs w:val="32"/>
          <w:highlight w:val="none"/>
          <w:u w:val="none"/>
          <w:lang w:val="en-US" w:eastAsia="zh-CN"/>
          <w14:textFill>
            <w14:solidFill>
              <w14:schemeClr w14:val="tx1"/>
            </w14:solidFill>
          </w14:textFill>
        </w:rPr>
      </w:pPr>
      <w:r>
        <w:rPr>
          <w:rFonts w:hint="eastAsia" w:ascii="宋体" w:hAnsi="宋体" w:eastAsia="宋体" w:cs="宋体"/>
          <w:b/>
          <w:i w:val="0"/>
          <w:color w:val="000000" w:themeColor="text1"/>
          <w:spacing w:val="-11"/>
          <w:sz w:val="32"/>
          <w:szCs w:val="32"/>
          <w:highlight w:val="none"/>
          <w:u w:val="none"/>
          <w:lang w:val="en-US" w:eastAsia="zh-CN"/>
          <w14:textFill>
            <w14:solidFill>
              <w14:schemeClr w14:val="tx1"/>
            </w14:solidFill>
          </w14:textFill>
        </w:rPr>
        <w:t>2021年100万元以上（含）特定目标类部门预算项目绩效目标自评</w:t>
      </w:r>
    </w:p>
    <w:p>
      <w:pPr>
        <w:jc w:val="center"/>
        <w:rPr>
          <w:rFonts w:hint="eastAsia" w:ascii="宋体" w:hAnsi="宋体" w:eastAsia="宋体" w:cs="宋体"/>
          <w:b w:val="0"/>
          <w:bCs/>
          <w:i w:val="0"/>
          <w:color w:val="000000" w:themeColor="text1"/>
          <w:sz w:val="32"/>
          <w:szCs w:val="32"/>
          <w:highlight w:val="none"/>
          <w:u w:val="none"/>
          <w:lang w:val="en-US" w:eastAsia="zh-CN"/>
          <w14:textFill>
            <w14:solidFill>
              <w14:schemeClr w14:val="tx1"/>
            </w14:solidFill>
          </w14:textFill>
        </w:rPr>
      </w:pPr>
      <w:r>
        <w:rPr>
          <w:rFonts w:hint="eastAsia" w:ascii="宋体" w:hAnsi="宋体" w:eastAsia="宋体" w:cs="宋体"/>
          <w:b w:val="0"/>
          <w:bCs/>
          <w:i w:val="0"/>
          <w:color w:val="000000" w:themeColor="text1"/>
          <w:sz w:val="32"/>
          <w:szCs w:val="32"/>
          <w:highlight w:val="none"/>
          <w:u w:val="none"/>
          <w:lang w:val="en-US" w:eastAsia="zh-CN"/>
          <w14:textFill>
            <w14:solidFill>
              <w14:schemeClr w14:val="tx1"/>
            </w14:solidFill>
          </w14:textFill>
        </w:rPr>
        <w:t>（统一行政执法证件）</w:t>
      </w:r>
    </w:p>
    <w:p>
      <w:pPr>
        <w:bidi w:val="0"/>
        <w:rPr>
          <w:color w:val="000000" w:themeColor="text1"/>
          <w14:textFill>
            <w14:solidFill>
              <w14:schemeClr w14:val="tx1"/>
            </w14:solidFill>
          </w14:textFill>
        </w:rPr>
      </w:pPr>
    </w:p>
    <w:tbl>
      <w:tblPr>
        <w:tblStyle w:val="14"/>
        <w:tblW w:w="9919"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213"/>
        <w:gridCol w:w="1142"/>
        <w:gridCol w:w="1385"/>
        <w:gridCol w:w="1335"/>
        <w:gridCol w:w="1925"/>
        <w:gridCol w:w="19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4" w:hRule="atLeast"/>
          <w:jc w:val="center"/>
        </w:trPr>
        <w:tc>
          <w:tcPr>
            <w:tcW w:w="3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主管部门及代码</w:t>
            </w:r>
          </w:p>
        </w:tc>
        <w:tc>
          <w:tcPr>
            <w:tcW w:w="2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四川省司法厅-207</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实施单位</w:t>
            </w:r>
          </w:p>
        </w:tc>
        <w:tc>
          <w:tcPr>
            <w:tcW w:w="1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sz w:val="16"/>
                <w:szCs w:val="16"/>
                <w:highlight w:val="none"/>
                <w:u w:val="none"/>
                <w14:textFill>
                  <w14:solidFill>
                    <w14:schemeClr w14:val="tx1"/>
                  </w14:solidFill>
                </w14:textFill>
              </w:rPr>
              <w:t>四川省司法厅机关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1" w:hRule="atLeast"/>
          <w:jc w:val="center"/>
        </w:trPr>
        <w:tc>
          <w:tcPr>
            <w:tcW w:w="335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项目预算</w:t>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执行情况</w:t>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（万元）</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 xml:space="preserve"> 预算数：</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200.00</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 xml:space="preserve"> 执行数：</w:t>
            </w:r>
          </w:p>
        </w:tc>
        <w:tc>
          <w:tcPr>
            <w:tcW w:w="1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173.33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5" w:hRule="atLeast"/>
          <w:jc w:val="center"/>
        </w:trPr>
        <w:tc>
          <w:tcPr>
            <w:tcW w:w="33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财政拨款</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200.00</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财政拨款</w:t>
            </w:r>
          </w:p>
        </w:tc>
        <w:tc>
          <w:tcPr>
            <w:tcW w:w="1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173.33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1" w:hRule="atLeast"/>
          <w:jc w:val="center"/>
        </w:trPr>
        <w:tc>
          <w:tcPr>
            <w:tcW w:w="33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其他资金</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其他资金</w:t>
            </w:r>
          </w:p>
        </w:tc>
        <w:tc>
          <w:tcPr>
            <w:tcW w:w="1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 w:hRule="atLeast"/>
          <w:jc w:val="center"/>
        </w:trPr>
        <w:tc>
          <w:tcPr>
            <w:tcW w:w="22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完成情况</w:t>
            </w:r>
          </w:p>
        </w:tc>
        <w:tc>
          <w:tcPr>
            <w:tcW w:w="38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预期目标</w:t>
            </w:r>
          </w:p>
        </w:tc>
        <w:tc>
          <w:tcPr>
            <w:tcW w:w="38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7" w:hRule="atLeast"/>
          <w:jc w:val="center"/>
        </w:trPr>
        <w:tc>
          <w:tcPr>
            <w:tcW w:w="2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3862"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color w:val="000000" w:themeColor="text1"/>
                <w:kern w:val="2"/>
                <w:sz w:val="16"/>
                <w:szCs w:val="16"/>
                <w:lang w:val="en-US" w:eastAsia="zh-CN" w:bidi="ar-SA"/>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根据司法部办公厅《关于公布全国统一行政执法证件标准样式的通知（征求意见稿）》要求全国各省应在2022年底前按照《标准样式》完成行政执法证件换发工作，我省目前有16万执法人员，按照两年内完成换发红字，执法证费用30元/证，30元/证*16万证=480万，分年度执行支付，2022年底按照《标准样式》，完成行政执法证件换发工作。</w:t>
            </w:r>
          </w:p>
        </w:tc>
        <w:tc>
          <w:tcPr>
            <w:tcW w:w="384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根据司法部办公厅《关于公布全国统一行政执法证件标准样式的通知（征求意见稿）》要求全国各省应在2022年底前按照《标准样式》完成行政执法证件换发工作，我省目前有16万执法人员，按照两年内完成换发红字，执法证费用30元/证，30元/证*16万证=480万，分年度执行支付，2022年底按照《标准样式》，完成行政执法证件换发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3" w:hRule="atLeast"/>
          <w:jc w:val="center"/>
        </w:trPr>
        <w:tc>
          <w:tcPr>
            <w:tcW w:w="221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指标</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指标</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指标</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预期指标值</w:t>
            </w:r>
          </w:p>
        </w:tc>
        <w:tc>
          <w:tcPr>
            <w:tcW w:w="1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5" w:hRule="atLeast"/>
          <w:jc w:val="center"/>
        </w:trPr>
        <w:tc>
          <w:tcPr>
            <w:tcW w:w="221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指标</w:t>
            </w:r>
          </w:p>
        </w:tc>
        <w:tc>
          <w:tcPr>
            <w:tcW w:w="13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数量指标</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全省行政执法人员人数</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全省行政执法人员16万</w:t>
            </w:r>
          </w:p>
        </w:tc>
        <w:tc>
          <w:tcPr>
            <w:tcW w:w="1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全省行政执法人员16万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5" w:hRule="atLeast"/>
          <w:jc w:val="center"/>
        </w:trPr>
        <w:tc>
          <w:tcPr>
            <w:tcW w:w="221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完成换证数量</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力争完成换证数量达到</w:t>
            </w:r>
          </w:p>
          <w:p>
            <w:pPr>
              <w:keepNext w:val="0"/>
              <w:keepLines w:val="0"/>
              <w:widowControl/>
              <w:suppressLineNumbers w:val="0"/>
              <w:jc w:val="both"/>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5万个</w:t>
            </w:r>
          </w:p>
        </w:tc>
        <w:tc>
          <w:tcPr>
            <w:tcW w:w="1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力争完成换证数量</w:t>
            </w:r>
          </w:p>
          <w:p>
            <w:pPr>
              <w:keepNext w:val="0"/>
              <w:keepLines w:val="0"/>
              <w:widowControl/>
              <w:suppressLineNumbers w:val="0"/>
              <w:jc w:val="both"/>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达到5万个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221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质量指标</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按照司法部行政执法证件标准样式完成换证工作</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所换证件达到司法部行政执法证件标准样式</w:t>
            </w:r>
          </w:p>
        </w:tc>
        <w:tc>
          <w:tcPr>
            <w:tcW w:w="1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所换证件达到司法部行政执法证件标准样式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221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4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效益</w:t>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指标</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社会效益指标</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对社会的促进作用</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提升行政执法规范化、标准化水平，促进严格规范公正文明执法</w:t>
            </w:r>
          </w:p>
        </w:tc>
        <w:tc>
          <w:tcPr>
            <w:tcW w:w="1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提升行政执法规范化、标准化水平，促进严格规范公正文明执法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221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42"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3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可持续影响指标</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行政执法主体规范行权</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全省21个市州、183个县，1.5万余执法主体规范行权</w:t>
            </w:r>
          </w:p>
        </w:tc>
        <w:tc>
          <w:tcPr>
            <w:tcW w:w="1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全省21个市州、183个县，1.5万余执法主体规范行权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0" w:hRule="atLeast"/>
          <w:jc w:val="center"/>
        </w:trPr>
        <w:tc>
          <w:tcPr>
            <w:tcW w:w="221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4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p>
        </w:tc>
        <w:tc>
          <w:tcPr>
            <w:tcW w:w="1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行政执法人员规范执法</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全省16万余名执法人员规范执法</w:t>
            </w:r>
          </w:p>
        </w:tc>
        <w:tc>
          <w:tcPr>
            <w:tcW w:w="1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全省16万余名执法人员规范执法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0" w:hRule="atLeast"/>
          <w:jc w:val="center"/>
        </w:trPr>
        <w:tc>
          <w:tcPr>
            <w:tcW w:w="221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满意</w:t>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度指标</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满意度指标</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服务对象满意度指标</w:t>
            </w:r>
          </w:p>
        </w:tc>
        <w:tc>
          <w:tcPr>
            <w:tcW w:w="1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服务对象满意度达到80%</w:t>
            </w:r>
          </w:p>
        </w:tc>
        <w:tc>
          <w:tcPr>
            <w:tcW w:w="1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服务对象满意度达到80%</w:t>
            </w:r>
          </w:p>
        </w:tc>
      </w:tr>
    </w:tbl>
    <w:p>
      <w:pPr>
        <w:keepNext w:val="0"/>
        <w:keepLines w:val="0"/>
        <w:pageBreakBefore w:val="0"/>
        <w:widowControl/>
        <w:suppressLineNumbers w:val="0"/>
        <w:kinsoku/>
        <w:wordWrap/>
        <w:overflowPunct/>
        <w:topLinePunct w:val="0"/>
        <w:autoSpaceDE/>
        <w:autoSpaceDN/>
        <w:bidi w:val="0"/>
        <w:adjustRightInd/>
        <w:snapToGrid/>
        <w:spacing w:beforeAutospacing="0" w:line="560" w:lineRule="exact"/>
        <w:ind w:left="0" w:hanging="4176" w:hangingChars="1300"/>
        <w:jc w:val="center"/>
        <w:textAlignment w:val="center"/>
        <w:rPr>
          <w:rFonts w:hint="eastAsia" w:ascii="宋体" w:hAnsi="宋体" w:eastAsia="宋体" w:cs="宋体"/>
          <w:b/>
          <w:i w:val="0"/>
          <w:color w:val="000000" w:themeColor="text1"/>
          <w:sz w:val="32"/>
          <w:szCs w:val="32"/>
          <w:highlight w:val="none"/>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line="560" w:lineRule="exact"/>
        <w:ind w:left="0" w:hanging="3890" w:hangingChars="1300"/>
        <w:jc w:val="center"/>
        <w:textAlignment w:val="center"/>
        <w:rPr>
          <w:rFonts w:hint="eastAsia" w:ascii="宋体" w:hAnsi="宋体" w:eastAsia="宋体" w:cs="宋体"/>
          <w:b/>
          <w:i w:val="0"/>
          <w:color w:val="000000" w:themeColor="text1"/>
          <w:spacing w:val="-11"/>
          <w:sz w:val="32"/>
          <w:szCs w:val="32"/>
          <w:highlight w:val="none"/>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line="560" w:lineRule="exact"/>
        <w:ind w:left="0" w:hanging="3890" w:hangingChars="1300"/>
        <w:jc w:val="center"/>
        <w:textAlignment w:val="center"/>
        <w:rPr>
          <w:rFonts w:hint="eastAsia" w:ascii="宋体" w:hAnsi="宋体" w:cs="宋体"/>
          <w:b/>
          <w:i w:val="0"/>
          <w:color w:val="000000" w:themeColor="text1"/>
          <w:spacing w:val="-11"/>
          <w:sz w:val="32"/>
          <w:szCs w:val="32"/>
          <w:highlight w:val="none"/>
          <w:u w:val="none"/>
          <w:lang w:val="en-US" w:eastAsia="zh-CN"/>
          <w14:textFill>
            <w14:solidFill>
              <w14:schemeClr w14:val="tx1"/>
            </w14:solidFill>
          </w14:textFill>
        </w:rPr>
      </w:pPr>
      <w:r>
        <w:rPr>
          <w:rFonts w:hint="eastAsia" w:ascii="宋体" w:hAnsi="宋体" w:eastAsia="宋体" w:cs="宋体"/>
          <w:b/>
          <w:i w:val="0"/>
          <w:color w:val="000000" w:themeColor="text1"/>
          <w:spacing w:val="-11"/>
          <w:sz w:val="32"/>
          <w:szCs w:val="32"/>
          <w:highlight w:val="none"/>
          <w:u w:val="none"/>
          <w:lang w:val="en-US" w:eastAsia="zh-CN"/>
          <w14:textFill>
            <w14:solidFill>
              <w14:schemeClr w14:val="tx1"/>
            </w14:solidFill>
          </w14:textFill>
        </w:rPr>
        <w:t>2021年100万元以上（含）特定目标类部门预算项目绩效目标自评</w:t>
      </w:r>
    </w:p>
    <w:p>
      <w:pPr>
        <w:keepNext w:val="0"/>
        <w:keepLines w:val="0"/>
        <w:pageBreakBefore w:val="0"/>
        <w:kinsoku/>
        <w:wordWrap/>
        <w:overflowPunct/>
        <w:topLinePunct w:val="0"/>
        <w:autoSpaceDE/>
        <w:autoSpaceDN/>
        <w:bidi w:val="0"/>
        <w:adjustRightInd/>
        <w:snapToGrid/>
        <w:spacing w:line="560" w:lineRule="exact"/>
        <w:jc w:val="center"/>
        <w:rPr>
          <w:rFonts w:hint="eastAsia" w:ascii="宋体" w:hAnsi="宋体" w:cs="宋体"/>
          <w:b w:val="0"/>
          <w:bCs/>
          <w:i w:val="0"/>
          <w:color w:val="000000" w:themeColor="text1"/>
          <w:sz w:val="32"/>
          <w:szCs w:val="32"/>
          <w:highlight w:val="none"/>
          <w:u w:val="none"/>
          <w:lang w:val="en-US" w:eastAsia="zh-CN"/>
          <w14:textFill>
            <w14:solidFill>
              <w14:schemeClr w14:val="tx1"/>
            </w14:solidFill>
          </w14:textFill>
        </w:rPr>
      </w:pPr>
      <w:r>
        <w:rPr>
          <w:rFonts w:hint="eastAsia" w:ascii="宋体" w:hAnsi="宋体" w:cs="宋体"/>
          <w:b w:val="0"/>
          <w:bCs/>
          <w:i w:val="0"/>
          <w:color w:val="000000" w:themeColor="text1"/>
          <w:sz w:val="32"/>
          <w:szCs w:val="32"/>
          <w:highlight w:val="none"/>
          <w:u w:val="none"/>
          <w:lang w:val="en-US" w:eastAsia="zh-CN"/>
          <w14:textFill>
            <w14:solidFill>
              <w14:schemeClr w14:val="tx1"/>
            </w14:solidFill>
          </w14:textFill>
        </w:rPr>
        <w:t>（依法治县示范试点）</w:t>
      </w:r>
    </w:p>
    <w:p>
      <w:pPr>
        <w:bidi w:val="0"/>
        <w:rPr>
          <w:color w:val="000000" w:themeColor="text1"/>
          <w14:textFill>
            <w14:solidFill>
              <w14:schemeClr w14:val="tx1"/>
            </w14:solidFill>
          </w14:textFill>
        </w:rPr>
      </w:pPr>
    </w:p>
    <w:tbl>
      <w:tblPr>
        <w:tblStyle w:val="14"/>
        <w:tblW w:w="9813"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213"/>
        <w:gridCol w:w="1142"/>
        <w:gridCol w:w="1385"/>
        <w:gridCol w:w="1335"/>
        <w:gridCol w:w="1925"/>
        <w:gridCol w:w="18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4" w:hRule="atLeast"/>
          <w:jc w:val="center"/>
        </w:trPr>
        <w:tc>
          <w:tcPr>
            <w:tcW w:w="33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主管部门及代码</w:t>
            </w:r>
          </w:p>
        </w:tc>
        <w:tc>
          <w:tcPr>
            <w:tcW w:w="27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四川省司法厅-207</w:t>
            </w: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实施单位</w:t>
            </w:r>
          </w:p>
        </w:tc>
        <w:tc>
          <w:tcPr>
            <w:tcW w:w="18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sz w:val="16"/>
                <w:szCs w:val="16"/>
                <w:highlight w:val="none"/>
                <w:u w:val="none"/>
                <w14:textFill>
                  <w14:solidFill>
                    <w14:schemeClr w14:val="tx1"/>
                  </w14:solidFill>
                </w14:textFill>
              </w:rPr>
              <w:t>四川省司法厅机关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1" w:hRule="atLeast"/>
          <w:jc w:val="center"/>
        </w:trPr>
        <w:tc>
          <w:tcPr>
            <w:tcW w:w="3355"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项目预算</w:t>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执行情况</w:t>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（万元）</w:t>
            </w:r>
          </w:p>
        </w:tc>
        <w:tc>
          <w:tcPr>
            <w:tcW w:w="13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 xml:space="preserve"> 预算数：</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490.00</w:t>
            </w: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 xml:space="preserve"> 执行数：</w:t>
            </w:r>
          </w:p>
        </w:tc>
        <w:tc>
          <w:tcPr>
            <w:tcW w:w="18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386.86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5" w:hRule="atLeast"/>
          <w:jc w:val="center"/>
        </w:trPr>
        <w:tc>
          <w:tcPr>
            <w:tcW w:w="335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3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财政拨款</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490.00</w:t>
            </w: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财政拨款</w:t>
            </w:r>
          </w:p>
        </w:tc>
        <w:tc>
          <w:tcPr>
            <w:tcW w:w="18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386.86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1" w:hRule="atLeast"/>
          <w:jc w:val="center"/>
        </w:trPr>
        <w:tc>
          <w:tcPr>
            <w:tcW w:w="335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3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其他资金</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其他资金</w:t>
            </w:r>
          </w:p>
        </w:tc>
        <w:tc>
          <w:tcPr>
            <w:tcW w:w="18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 w:hRule="atLeast"/>
          <w:jc w:val="center"/>
        </w:trPr>
        <w:tc>
          <w:tcPr>
            <w:tcW w:w="22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完成情况</w:t>
            </w:r>
          </w:p>
        </w:tc>
        <w:tc>
          <w:tcPr>
            <w:tcW w:w="386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预期目标</w:t>
            </w:r>
          </w:p>
        </w:tc>
        <w:tc>
          <w:tcPr>
            <w:tcW w:w="37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7" w:hRule="atLeast"/>
          <w:jc w:val="center"/>
        </w:trPr>
        <w:tc>
          <w:tcPr>
            <w:tcW w:w="22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386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color w:val="000000" w:themeColor="text1"/>
                <w:kern w:val="2"/>
                <w:sz w:val="16"/>
                <w:szCs w:val="16"/>
                <w:lang w:val="en-US" w:eastAsia="zh-CN" w:bidi="ar-SA"/>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开展全面依法治县示范试点暨示范推动解决法治建设八个具体问题有关工作，是省委和省委全面依法治省委员会站在治蜀兴川全局作出的一项重要部署。9月29日省委邓小刚副书记在示范试点动员部署会上做出指示，省委依法治省办计划开展依法治县示范试点及法治建设八个具体问题研究、工作推动及工作总结。</w:t>
            </w:r>
          </w:p>
        </w:tc>
        <w:tc>
          <w:tcPr>
            <w:tcW w:w="37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开展全面依法治县示范试点暨示范推动解决法治建设八个具体问题有关工作，是省委和省委全面依法治省委员会站在治蜀兴川全局作出的一项重要部署。9月29日省委邓小刚副书记在示范试点动员部署会上做出指示，省委依法治省办计划开展依法治县示范试点及法治建设八个具体问题研究、工作推动及工作总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3" w:hRule="atLeast"/>
          <w:jc w:val="center"/>
        </w:trPr>
        <w:tc>
          <w:tcPr>
            <w:tcW w:w="22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年度绩效指标完成情况</w:t>
            </w:r>
          </w:p>
        </w:tc>
        <w:tc>
          <w:tcPr>
            <w:tcW w:w="11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指标</w:t>
            </w:r>
          </w:p>
        </w:tc>
        <w:tc>
          <w:tcPr>
            <w:tcW w:w="13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指标</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指标</w:t>
            </w: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预期指标值</w:t>
            </w:r>
          </w:p>
        </w:tc>
        <w:tc>
          <w:tcPr>
            <w:tcW w:w="18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5" w:hRule="atLeast"/>
          <w:jc w:val="center"/>
        </w:trPr>
        <w:tc>
          <w:tcPr>
            <w:tcW w:w="22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4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指标</w:t>
            </w:r>
          </w:p>
        </w:tc>
        <w:tc>
          <w:tcPr>
            <w:tcW w:w="13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数量指标</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中期工作推进现场推进会召开次数</w:t>
            </w: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召开1次中期工作推进现场推进会，拟邀请14位省级领导，相关市州及省直部门负责同志参会。</w:t>
            </w:r>
          </w:p>
        </w:tc>
        <w:tc>
          <w:tcPr>
            <w:tcW w:w="18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召开1次中期工作推进现场推进会，拟邀请14位省级领导，相关市州及省直部门负责同志参会。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5" w:hRule="atLeast"/>
          <w:jc w:val="center"/>
        </w:trPr>
        <w:tc>
          <w:tcPr>
            <w:tcW w:w="22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3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研讨会召开</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次数</w:t>
            </w: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召开1次研讨会，拟邀请中央依法治国办领导、8名左右省内外知名法学专家对示范试点相关工作开展理论研讨</w:t>
            </w:r>
          </w:p>
        </w:tc>
        <w:tc>
          <w:tcPr>
            <w:tcW w:w="18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召开1次研讨会，拟邀请中央依法治国办领导、8名左右省内外知名法学专家对示范试点相关工作开展理论研讨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22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3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院校专家团队数量</w:t>
            </w: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由四川大学等7个院校专家团队，14个律师团队联系指导示范试点县。</w:t>
            </w:r>
          </w:p>
        </w:tc>
        <w:tc>
          <w:tcPr>
            <w:tcW w:w="18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由四川大学等7个院校专家团队，14个律师团队联系指导示范试点县。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30" w:hRule="atLeast"/>
          <w:jc w:val="center"/>
        </w:trPr>
        <w:tc>
          <w:tcPr>
            <w:tcW w:w="22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3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时效指标</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专项工作完成时间</w:t>
            </w: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2021年12月31日以前完成工作</w:t>
            </w:r>
          </w:p>
        </w:tc>
        <w:tc>
          <w:tcPr>
            <w:tcW w:w="18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2021年12月31日以前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25" w:hRule="atLeast"/>
          <w:jc w:val="center"/>
        </w:trPr>
        <w:tc>
          <w:tcPr>
            <w:tcW w:w="22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3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到示范试点县开展驻在式指导调研时间</w:t>
            </w: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到示范试点县开展驻在式指导调研不低于</w:t>
            </w:r>
          </w:p>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120天</w:t>
            </w:r>
          </w:p>
        </w:tc>
        <w:tc>
          <w:tcPr>
            <w:tcW w:w="18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到示范试点县开展驻在式指导调研不低于120天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22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4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效益</w:t>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指标</w:t>
            </w:r>
          </w:p>
        </w:tc>
        <w:tc>
          <w:tcPr>
            <w:tcW w:w="13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社会效益指标</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夯实法治基础，提高人民群众法治获得感。</w:t>
            </w: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通过示范试点的创建工作，实现依法治国理念深入人心；法治基础进一步夯实，人民群众法治意识和法治获得感进一步增强；党委政府运用法治思维和法治方式抓改革发展稳定的意识和</w:t>
            </w:r>
          </w:p>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能力提升。</w:t>
            </w:r>
          </w:p>
        </w:tc>
        <w:tc>
          <w:tcPr>
            <w:tcW w:w="18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通过示范试点的创建工作，实现依法治国理念深入人心；法治基础进一步夯实，人民群众法治意识和法治获得感进一步增强；党委政府运用法治思维和法治方式抓改革发展稳定的意识和能力提升。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22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3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可持续影响指标</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行政执法主体规范行权</w:t>
            </w: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全省21个市州、183个县，1.5万余执法主体规范行权</w:t>
            </w:r>
          </w:p>
        </w:tc>
        <w:tc>
          <w:tcPr>
            <w:tcW w:w="18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全省21个市州、183个县，1.5万余执法主体规范行权</w:t>
            </w:r>
          </w:p>
        </w:tc>
      </w:tr>
    </w:tbl>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line="560" w:lineRule="exact"/>
        <w:ind w:left="0" w:hanging="3890" w:hangingChars="1300"/>
        <w:jc w:val="center"/>
        <w:textAlignment w:val="center"/>
        <w:rPr>
          <w:rFonts w:hint="eastAsia" w:ascii="宋体" w:hAnsi="宋体" w:eastAsia="宋体" w:cs="宋体"/>
          <w:b/>
          <w:i w:val="0"/>
          <w:color w:val="000000" w:themeColor="text1"/>
          <w:spacing w:val="-11"/>
          <w:sz w:val="32"/>
          <w:szCs w:val="32"/>
          <w:highlight w:val="none"/>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line="560" w:lineRule="exact"/>
        <w:ind w:left="0" w:hanging="3890" w:hangingChars="1300"/>
        <w:jc w:val="center"/>
        <w:textAlignment w:val="center"/>
        <w:rPr>
          <w:rFonts w:hint="eastAsia" w:ascii="宋体" w:hAnsi="宋体" w:eastAsia="宋体" w:cs="宋体"/>
          <w:b/>
          <w:i w:val="0"/>
          <w:color w:val="000000" w:themeColor="text1"/>
          <w:spacing w:val="-11"/>
          <w:sz w:val="32"/>
          <w:szCs w:val="32"/>
          <w:highlight w:val="none"/>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line="560" w:lineRule="exact"/>
        <w:ind w:left="0" w:hanging="3890" w:hangingChars="1300"/>
        <w:jc w:val="center"/>
        <w:textAlignment w:val="center"/>
        <w:rPr>
          <w:rFonts w:hint="eastAsia" w:ascii="宋体" w:hAnsi="宋体" w:eastAsia="宋体" w:cs="宋体"/>
          <w:b/>
          <w:i w:val="0"/>
          <w:color w:val="000000" w:themeColor="text1"/>
          <w:spacing w:val="-11"/>
          <w:sz w:val="32"/>
          <w:szCs w:val="32"/>
          <w:highlight w:val="none"/>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line="560" w:lineRule="exact"/>
        <w:ind w:left="0" w:hanging="3890" w:hangingChars="1300"/>
        <w:jc w:val="center"/>
        <w:textAlignment w:val="center"/>
        <w:rPr>
          <w:rFonts w:hint="eastAsia" w:ascii="宋体" w:hAnsi="宋体" w:eastAsia="宋体" w:cs="宋体"/>
          <w:b/>
          <w:i w:val="0"/>
          <w:color w:val="000000" w:themeColor="text1"/>
          <w:spacing w:val="-11"/>
          <w:sz w:val="32"/>
          <w:szCs w:val="32"/>
          <w:highlight w:val="none"/>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line="560" w:lineRule="exact"/>
        <w:ind w:left="0" w:hanging="3890" w:hangingChars="1300"/>
        <w:jc w:val="center"/>
        <w:textAlignment w:val="center"/>
        <w:rPr>
          <w:rFonts w:hint="eastAsia" w:ascii="宋体" w:hAnsi="宋体" w:eastAsia="宋体" w:cs="宋体"/>
          <w:b/>
          <w:i w:val="0"/>
          <w:color w:val="000000" w:themeColor="text1"/>
          <w:spacing w:val="-11"/>
          <w:sz w:val="32"/>
          <w:szCs w:val="32"/>
          <w:highlight w:val="none"/>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line="560" w:lineRule="exact"/>
        <w:ind w:left="0" w:hanging="3890" w:hangingChars="1300"/>
        <w:jc w:val="center"/>
        <w:textAlignment w:val="center"/>
        <w:rPr>
          <w:rFonts w:hint="eastAsia" w:ascii="宋体" w:hAnsi="宋体" w:eastAsia="宋体" w:cs="宋体"/>
          <w:b/>
          <w:i w:val="0"/>
          <w:color w:val="000000" w:themeColor="text1"/>
          <w:spacing w:val="-11"/>
          <w:sz w:val="32"/>
          <w:szCs w:val="32"/>
          <w:highlight w:val="none"/>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line="560" w:lineRule="exact"/>
        <w:ind w:left="0" w:hanging="3890" w:hangingChars="1300"/>
        <w:jc w:val="center"/>
        <w:textAlignment w:val="center"/>
        <w:rPr>
          <w:rFonts w:hint="eastAsia" w:ascii="宋体" w:hAnsi="宋体" w:eastAsia="宋体" w:cs="宋体"/>
          <w:b/>
          <w:i w:val="0"/>
          <w:color w:val="000000" w:themeColor="text1"/>
          <w:spacing w:val="-11"/>
          <w:sz w:val="32"/>
          <w:szCs w:val="32"/>
          <w:highlight w:val="none"/>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line="560" w:lineRule="exact"/>
        <w:ind w:left="0" w:hanging="3890" w:hangingChars="1300"/>
        <w:jc w:val="center"/>
        <w:textAlignment w:val="center"/>
        <w:rPr>
          <w:rFonts w:hint="eastAsia" w:ascii="宋体" w:hAnsi="宋体" w:eastAsia="宋体" w:cs="宋体"/>
          <w:b/>
          <w:i w:val="0"/>
          <w:color w:val="000000" w:themeColor="text1"/>
          <w:spacing w:val="-11"/>
          <w:sz w:val="32"/>
          <w:szCs w:val="32"/>
          <w:highlight w:val="none"/>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line="560" w:lineRule="exact"/>
        <w:ind w:left="0" w:hanging="3890" w:hangingChars="1300"/>
        <w:jc w:val="center"/>
        <w:textAlignment w:val="center"/>
        <w:rPr>
          <w:rFonts w:hint="eastAsia" w:ascii="宋体" w:hAnsi="宋体" w:eastAsia="宋体" w:cs="宋体"/>
          <w:b/>
          <w:i w:val="0"/>
          <w:color w:val="000000" w:themeColor="text1"/>
          <w:spacing w:val="-11"/>
          <w:sz w:val="32"/>
          <w:szCs w:val="32"/>
          <w:highlight w:val="none"/>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line="560" w:lineRule="exact"/>
        <w:ind w:left="0" w:hanging="3890" w:hangingChars="1300"/>
        <w:jc w:val="center"/>
        <w:textAlignment w:val="center"/>
        <w:rPr>
          <w:rFonts w:hint="eastAsia" w:ascii="宋体" w:hAnsi="宋体" w:eastAsia="宋体" w:cs="宋体"/>
          <w:b/>
          <w:i w:val="0"/>
          <w:color w:val="000000" w:themeColor="text1"/>
          <w:spacing w:val="-11"/>
          <w:sz w:val="32"/>
          <w:szCs w:val="32"/>
          <w:highlight w:val="none"/>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line="560" w:lineRule="exact"/>
        <w:ind w:left="0" w:hanging="3890" w:hangingChars="1300"/>
        <w:jc w:val="center"/>
        <w:textAlignment w:val="center"/>
        <w:rPr>
          <w:rFonts w:hint="eastAsia" w:ascii="宋体" w:hAnsi="宋体" w:eastAsia="宋体" w:cs="宋体"/>
          <w:b/>
          <w:i w:val="0"/>
          <w:color w:val="000000" w:themeColor="text1"/>
          <w:spacing w:val="-11"/>
          <w:sz w:val="32"/>
          <w:szCs w:val="32"/>
          <w:highlight w:val="none"/>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line="560" w:lineRule="exact"/>
        <w:ind w:left="0" w:hanging="3890" w:hangingChars="1300"/>
        <w:jc w:val="center"/>
        <w:textAlignment w:val="center"/>
        <w:rPr>
          <w:rFonts w:hint="eastAsia" w:ascii="宋体" w:hAnsi="宋体" w:eastAsia="宋体" w:cs="宋体"/>
          <w:b/>
          <w:i w:val="0"/>
          <w:color w:val="000000" w:themeColor="text1"/>
          <w:spacing w:val="-11"/>
          <w:sz w:val="32"/>
          <w:szCs w:val="32"/>
          <w:highlight w:val="none"/>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line="560" w:lineRule="exact"/>
        <w:ind w:left="0" w:hanging="3890" w:hangingChars="1300"/>
        <w:jc w:val="center"/>
        <w:textAlignment w:val="center"/>
        <w:rPr>
          <w:rFonts w:hint="eastAsia" w:ascii="宋体" w:hAnsi="宋体" w:cs="宋体"/>
          <w:b/>
          <w:i w:val="0"/>
          <w:color w:val="000000" w:themeColor="text1"/>
          <w:spacing w:val="-11"/>
          <w:sz w:val="32"/>
          <w:szCs w:val="32"/>
          <w:highlight w:val="none"/>
          <w:u w:val="none"/>
          <w:lang w:val="en-US" w:eastAsia="zh-CN"/>
          <w14:textFill>
            <w14:solidFill>
              <w14:schemeClr w14:val="tx1"/>
            </w14:solidFill>
          </w14:textFill>
        </w:rPr>
      </w:pPr>
      <w:r>
        <w:rPr>
          <w:rFonts w:hint="eastAsia" w:ascii="宋体" w:hAnsi="宋体" w:eastAsia="宋体" w:cs="宋体"/>
          <w:b/>
          <w:i w:val="0"/>
          <w:color w:val="000000" w:themeColor="text1"/>
          <w:spacing w:val="-11"/>
          <w:sz w:val="32"/>
          <w:szCs w:val="32"/>
          <w:highlight w:val="none"/>
          <w:u w:val="none"/>
          <w:lang w:val="en-US" w:eastAsia="zh-CN"/>
          <w14:textFill>
            <w14:solidFill>
              <w14:schemeClr w14:val="tx1"/>
            </w14:solidFill>
          </w14:textFill>
        </w:rPr>
        <w:t>2021年100万元以上（含）特定目标类部门预算项目绩效目标自评</w:t>
      </w:r>
    </w:p>
    <w:p>
      <w:pPr>
        <w:keepNext w:val="0"/>
        <w:keepLines w:val="0"/>
        <w:pageBreakBefore w:val="0"/>
        <w:kinsoku/>
        <w:wordWrap/>
        <w:overflowPunct/>
        <w:topLinePunct w:val="0"/>
        <w:autoSpaceDE/>
        <w:autoSpaceDN/>
        <w:bidi w:val="0"/>
        <w:adjustRightInd/>
        <w:snapToGrid/>
        <w:spacing w:line="560" w:lineRule="exact"/>
        <w:jc w:val="center"/>
        <w:rPr>
          <w:rFonts w:hint="eastAsia" w:ascii="宋体" w:hAnsi="宋体" w:cs="宋体"/>
          <w:b w:val="0"/>
          <w:bCs/>
          <w:i w:val="0"/>
          <w:color w:val="000000" w:themeColor="text1"/>
          <w:sz w:val="32"/>
          <w:szCs w:val="32"/>
          <w:highlight w:val="none"/>
          <w:u w:val="none"/>
          <w:lang w:val="en-US" w:eastAsia="zh-CN"/>
          <w14:textFill>
            <w14:solidFill>
              <w14:schemeClr w14:val="tx1"/>
            </w14:solidFill>
          </w14:textFill>
        </w:rPr>
      </w:pPr>
      <w:r>
        <w:rPr>
          <w:rFonts w:hint="eastAsia" w:ascii="宋体" w:hAnsi="宋体" w:cs="宋体"/>
          <w:b w:val="0"/>
          <w:bCs/>
          <w:i w:val="0"/>
          <w:color w:val="000000" w:themeColor="text1"/>
          <w:sz w:val="32"/>
          <w:szCs w:val="32"/>
          <w:highlight w:val="none"/>
          <w:u w:val="none"/>
          <w:lang w:val="en-US" w:eastAsia="zh-CN"/>
          <w14:textFill>
            <w14:solidFill>
              <w14:schemeClr w14:val="tx1"/>
            </w14:solidFill>
          </w14:textFill>
        </w:rPr>
        <w:t>（政法队伍教育整顿）</w:t>
      </w:r>
    </w:p>
    <w:p>
      <w:pPr>
        <w:bidi w:val="0"/>
        <w:rPr>
          <w:color w:val="000000" w:themeColor="text1"/>
          <w14:textFill>
            <w14:solidFill>
              <w14:schemeClr w14:val="tx1"/>
            </w14:solidFill>
          </w14:textFill>
        </w:rPr>
      </w:pPr>
    </w:p>
    <w:tbl>
      <w:tblPr>
        <w:tblStyle w:val="14"/>
        <w:tblW w:w="9813"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213"/>
        <w:gridCol w:w="1142"/>
        <w:gridCol w:w="1385"/>
        <w:gridCol w:w="1335"/>
        <w:gridCol w:w="1695"/>
        <w:gridCol w:w="20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4" w:hRule="atLeast"/>
          <w:jc w:val="center"/>
        </w:trPr>
        <w:tc>
          <w:tcPr>
            <w:tcW w:w="3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主管部门及代码</w:t>
            </w:r>
          </w:p>
        </w:tc>
        <w:tc>
          <w:tcPr>
            <w:tcW w:w="2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四川省司法厅-207</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实施单位</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sz w:val="16"/>
                <w:szCs w:val="16"/>
                <w:highlight w:val="none"/>
                <w:u w:val="none"/>
                <w14:textFill>
                  <w14:solidFill>
                    <w14:schemeClr w14:val="tx1"/>
                  </w14:solidFill>
                </w14:textFill>
              </w:rPr>
              <w:t>四川省司法厅机关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1" w:hRule="atLeast"/>
          <w:jc w:val="center"/>
        </w:trPr>
        <w:tc>
          <w:tcPr>
            <w:tcW w:w="335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项目预算</w:t>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执行情况</w:t>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（万元）</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 xml:space="preserve"> 预算数：</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300.00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 xml:space="preserve"> 执行数：</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294.02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5" w:hRule="atLeast"/>
          <w:jc w:val="center"/>
        </w:trPr>
        <w:tc>
          <w:tcPr>
            <w:tcW w:w="33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财政拨款</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300.00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财政拨款</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294.02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1" w:hRule="atLeast"/>
          <w:jc w:val="center"/>
        </w:trPr>
        <w:tc>
          <w:tcPr>
            <w:tcW w:w="33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其他资金</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其他资金</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 w:hRule="atLeast"/>
          <w:jc w:val="center"/>
        </w:trPr>
        <w:tc>
          <w:tcPr>
            <w:tcW w:w="22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完成情况</w:t>
            </w:r>
          </w:p>
        </w:tc>
        <w:tc>
          <w:tcPr>
            <w:tcW w:w="38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预期目标</w:t>
            </w:r>
          </w:p>
        </w:tc>
        <w:tc>
          <w:tcPr>
            <w:tcW w:w="37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7" w:hRule="atLeast"/>
          <w:jc w:val="center"/>
        </w:trPr>
        <w:tc>
          <w:tcPr>
            <w:tcW w:w="2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38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color w:val="000000" w:themeColor="text1"/>
                <w:kern w:val="2"/>
                <w:sz w:val="16"/>
                <w:szCs w:val="16"/>
                <w:lang w:val="en-US" w:eastAsia="zh-CN" w:bidi="ar-SA"/>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按照中政委统一部署，2021年确保系统内政法队伍教育整顿工作顺利开展。</w:t>
            </w:r>
          </w:p>
        </w:tc>
        <w:tc>
          <w:tcPr>
            <w:tcW w:w="37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按照中政委统一部署，2021年确保系统内政法队伍教育整顿工作顺利开展。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3" w:hRule="atLeast"/>
          <w:jc w:val="center"/>
        </w:trPr>
        <w:tc>
          <w:tcPr>
            <w:tcW w:w="221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指标</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指标</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指标</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预期指标值</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5" w:hRule="atLeast"/>
          <w:jc w:val="center"/>
        </w:trPr>
        <w:tc>
          <w:tcPr>
            <w:tcW w:w="221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指标</w:t>
            </w:r>
          </w:p>
        </w:tc>
        <w:tc>
          <w:tcPr>
            <w:tcW w:w="13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数量指标</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教育整顿工作专班参与人数</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组建“工作专班”15人（省本级5人，本系统10人）</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组建“工作专班”15人（省本级5人，本系统10人）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5" w:hRule="atLeast"/>
          <w:jc w:val="center"/>
        </w:trPr>
        <w:tc>
          <w:tcPr>
            <w:tcW w:w="221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成立教育整顿工作指导组</w:t>
            </w:r>
          </w:p>
          <w:p>
            <w:pPr>
              <w:keepNext w:val="0"/>
              <w:keepLines w:val="0"/>
              <w:widowControl/>
              <w:suppressLineNumbers w:val="0"/>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数量</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预计选派12个工作指导组，每个组8位成员</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预计选派12个工作指导组，每个组8位成员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221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时效指标</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完成时间</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2021年12月31日以前完成年度工作计划</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2021年12月31日以前完成年度工作计划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221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42"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效益</w:t>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指标</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社会效益指标</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专项教育整顿活动覆盖面</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对全省司法行政系统队伍教育整顿工作进行全面指导，包括四川司法警官职业学院、全省21个市（州）司法局、183个县（区）司法局、全省监狱和强制隔离戒毒所</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对全省司法行政系统队伍教育整顿工作进行全面指导，包括四川司法警官职业学院、全省21个市（州）司法局、183个县（区）司法局、全省监狱和强制隔离戒毒所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62" w:hRule="atLeast"/>
          <w:jc w:val="center"/>
        </w:trPr>
        <w:tc>
          <w:tcPr>
            <w:tcW w:w="221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满意</w:t>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度指标</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满意度指标</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学习教育受众人群满意度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学习教育受众人群满意度达到90%以上</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学习教育受众人群满意度达到90%以上</w:t>
            </w:r>
          </w:p>
        </w:tc>
      </w:tr>
    </w:tbl>
    <w:p>
      <w:pPr>
        <w:rPr>
          <w:color w:val="000000" w:themeColor="text1"/>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line="560" w:lineRule="exact"/>
        <w:jc w:val="center"/>
        <w:textAlignment w:val="center"/>
        <w:rPr>
          <w:rFonts w:hint="eastAsia" w:ascii="宋体" w:hAnsi="宋体" w:eastAsia="宋体" w:cs="宋体"/>
          <w:b/>
          <w:i w:val="0"/>
          <w:color w:val="000000" w:themeColor="text1"/>
          <w:spacing w:val="-11"/>
          <w:sz w:val="32"/>
          <w:szCs w:val="32"/>
          <w:highlight w:val="none"/>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line="560" w:lineRule="exact"/>
        <w:jc w:val="center"/>
        <w:textAlignment w:val="center"/>
        <w:rPr>
          <w:rFonts w:hint="eastAsia" w:ascii="宋体" w:hAnsi="宋体" w:eastAsia="宋体" w:cs="宋体"/>
          <w:b/>
          <w:i w:val="0"/>
          <w:color w:val="000000" w:themeColor="text1"/>
          <w:spacing w:val="-11"/>
          <w:sz w:val="32"/>
          <w:szCs w:val="32"/>
          <w:highlight w:val="none"/>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line="560" w:lineRule="exact"/>
        <w:jc w:val="center"/>
        <w:textAlignment w:val="center"/>
        <w:rPr>
          <w:rFonts w:hint="eastAsia" w:ascii="宋体" w:hAnsi="宋体" w:eastAsia="宋体" w:cs="宋体"/>
          <w:b/>
          <w:i w:val="0"/>
          <w:color w:val="000000" w:themeColor="text1"/>
          <w:spacing w:val="-11"/>
          <w:sz w:val="32"/>
          <w:szCs w:val="32"/>
          <w:highlight w:val="none"/>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line="560" w:lineRule="exact"/>
        <w:jc w:val="center"/>
        <w:textAlignment w:val="center"/>
        <w:rPr>
          <w:rFonts w:hint="eastAsia" w:ascii="宋体" w:hAnsi="宋体" w:eastAsia="宋体" w:cs="宋体"/>
          <w:b/>
          <w:i w:val="0"/>
          <w:color w:val="000000" w:themeColor="text1"/>
          <w:spacing w:val="-11"/>
          <w:sz w:val="32"/>
          <w:szCs w:val="32"/>
          <w:highlight w:val="none"/>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line="560" w:lineRule="exact"/>
        <w:jc w:val="center"/>
        <w:textAlignment w:val="center"/>
        <w:rPr>
          <w:rFonts w:hint="eastAsia" w:ascii="宋体" w:hAnsi="宋体" w:eastAsia="宋体" w:cs="宋体"/>
          <w:b/>
          <w:i w:val="0"/>
          <w:color w:val="000000" w:themeColor="text1"/>
          <w:spacing w:val="-11"/>
          <w:sz w:val="32"/>
          <w:szCs w:val="32"/>
          <w:highlight w:val="none"/>
          <w:u w:val="none"/>
          <w:lang w:val="en-US" w:eastAsia="zh-CN"/>
          <w14:textFill>
            <w14:solidFill>
              <w14:schemeClr w14:val="tx1"/>
            </w14:solidFill>
          </w14:textFill>
        </w:rPr>
      </w:pPr>
      <w:r>
        <w:rPr>
          <w:rFonts w:hint="eastAsia" w:ascii="宋体" w:hAnsi="宋体" w:eastAsia="宋体" w:cs="宋体"/>
          <w:b/>
          <w:i w:val="0"/>
          <w:color w:val="000000" w:themeColor="text1"/>
          <w:spacing w:val="-11"/>
          <w:sz w:val="32"/>
          <w:szCs w:val="32"/>
          <w:highlight w:val="none"/>
          <w:u w:val="none"/>
          <w:lang w:val="en-US" w:eastAsia="zh-CN"/>
          <w14:textFill>
            <w14:solidFill>
              <w14:schemeClr w14:val="tx1"/>
            </w14:solidFill>
          </w14:textFill>
        </w:rPr>
        <w:t>2021年100万元以上（含）特定目标类部门预算项目绩效目标自评</w:t>
      </w:r>
    </w:p>
    <w:p>
      <w:pPr>
        <w:keepNext w:val="0"/>
        <w:keepLines w:val="0"/>
        <w:pageBreakBefore w:val="0"/>
        <w:kinsoku/>
        <w:wordWrap/>
        <w:overflowPunct/>
        <w:topLinePunct w:val="0"/>
        <w:autoSpaceDE/>
        <w:autoSpaceDN/>
        <w:bidi w:val="0"/>
        <w:adjustRightInd/>
        <w:snapToGrid/>
        <w:spacing w:line="560" w:lineRule="exact"/>
        <w:jc w:val="center"/>
        <w:rPr>
          <w:rFonts w:hint="eastAsia" w:ascii="宋体" w:hAnsi="宋体" w:cs="宋体"/>
          <w:b w:val="0"/>
          <w:bCs/>
          <w:i w:val="0"/>
          <w:color w:val="000000" w:themeColor="text1"/>
          <w:sz w:val="32"/>
          <w:szCs w:val="32"/>
          <w:highlight w:val="none"/>
          <w:u w:val="none"/>
          <w:lang w:val="en-US" w:eastAsia="zh-CN"/>
          <w14:textFill>
            <w14:solidFill>
              <w14:schemeClr w14:val="tx1"/>
            </w14:solidFill>
          </w14:textFill>
        </w:rPr>
      </w:pPr>
      <w:r>
        <w:rPr>
          <w:rFonts w:hint="eastAsia" w:ascii="宋体" w:hAnsi="宋体" w:cs="宋体"/>
          <w:b w:val="0"/>
          <w:bCs/>
          <w:i w:val="0"/>
          <w:color w:val="000000" w:themeColor="text1"/>
          <w:sz w:val="32"/>
          <w:szCs w:val="32"/>
          <w:highlight w:val="none"/>
          <w:u w:val="none"/>
          <w:lang w:val="en-US" w:eastAsia="zh-CN"/>
          <w14:textFill>
            <w14:solidFill>
              <w14:schemeClr w14:val="tx1"/>
            </w14:solidFill>
          </w14:textFill>
        </w:rPr>
        <w:t>（学习宣传习近平法治思想）</w:t>
      </w:r>
    </w:p>
    <w:p>
      <w:pPr>
        <w:bidi w:val="0"/>
        <w:rPr>
          <w:color w:val="000000" w:themeColor="text1"/>
          <w14:textFill>
            <w14:solidFill>
              <w14:schemeClr w14:val="tx1"/>
            </w14:solidFill>
          </w14:textFill>
        </w:rPr>
      </w:pPr>
    </w:p>
    <w:tbl>
      <w:tblPr>
        <w:tblStyle w:val="14"/>
        <w:tblW w:w="9813"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213"/>
        <w:gridCol w:w="1142"/>
        <w:gridCol w:w="1385"/>
        <w:gridCol w:w="1335"/>
        <w:gridCol w:w="1695"/>
        <w:gridCol w:w="20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4" w:hRule="atLeast"/>
          <w:jc w:val="center"/>
        </w:trPr>
        <w:tc>
          <w:tcPr>
            <w:tcW w:w="3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主管部门及代码</w:t>
            </w:r>
          </w:p>
        </w:tc>
        <w:tc>
          <w:tcPr>
            <w:tcW w:w="2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四川省司法厅-207</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实施单位</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sz w:val="16"/>
                <w:szCs w:val="16"/>
                <w:highlight w:val="none"/>
                <w:u w:val="none"/>
                <w14:textFill>
                  <w14:solidFill>
                    <w14:schemeClr w14:val="tx1"/>
                  </w14:solidFill>
                </w14:textFill>
              </w:rPr>
              <w:t>四川省司法厅机关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1" w:hRule="atLeast"/>
          <w:jc w:val="center"/>
        </w:trPr>
        <w:tc>
          <w:tcPr>
            <w:tcW w:w="335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项目预算</w:t>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执行情况</w:t>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（万元）</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 xml:space="preserve"> 预算数：</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100.00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 xml:space="preserve"> 执行数：</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5" w:hRule="atLeast"/>
          <w:jc w:val="center"/>
        </w:trPr>
        <w:tc>
          <w:tcPr>
            <w:tcW w:w="33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财政拨款</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100.00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财政拨款</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1" w:hRule="atLeast"/>
          <w:jc w:val="center"/>
        </w:trPr>
        <w:tc>
          <w:tcPr>
            <w:tcW w:w="33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其他资金</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其他资金</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 w:hRule="atLeast"/>
          <w:jc w:val="center"/>
        </w:trPr>
        <w:tc>
          <w:tcPr>
            <w:tcW w:w="22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完成情况</w:t>
            </w:r>
          </w:p>
        </w:tc>
        <w:tc>
          <w:tcPr>
            <w:tcW w:w="38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预期目标</w:t>
            </w:r>
          </w:p>
        </w:tc>
        <w:tc>
          <w:tcPr>
            <w:tcW w:w="37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7" w:hRule="atLeast"/>
          <w:jc w:val="center"/>
        </w:trPr>
        <w:tc>
          <w:tcPr>
            <w:tcW w:w="2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3862"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color w:val="000000" w:themeColor="text1"/>
                <w:kern w:val="2"/>
                <w:sz w:val="16"/>
                <w:szCs w:val="16"/>
                <w:lang w:val="en-US" w:eastAsia="zh-CN" w:bidi="ar-SA"/>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综合运用各类媒体手段和平台，发挥好各类基层普法阵地作用，推动习近平法治思想学习宣传贯彻向面上拓展、向基层延伸、向群众贴近，生动展现全省各地各部门以习近平法治思想武装头脑、指导实践、推动工作的积极探索和显著成效，为全面建设社会主义现代化四川提供有力法治保障。</w:t>
            </w:r>
          </w:p>
        </w:tc>
        <w:tc>
          <w:tcPr>
            <w:tcW w:w="3738"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综合运用各类媒体手段和平台，发挥好各类基层普法阵地作用，推动习近平法治思想学习宣传贯彻向面上拓展、向基层延伸、向群众贴近，生动展现全省各地各部门以习近平法治思想武装头脑、指导实践、推动工作的积极探索和显著成效，为全面建设社会主义现代化四川提供有力法治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3" w:hRule="atLeast"/>
          <w:jc w:val="center"/>
        </w:trPr>
        <w:tc>
          <w:tcPr>
            <w:tcW w:w="221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指标</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指标</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指标</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预期指标值</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5" w:hRule="atLeast"/>
          <w:jc w:val="center"/>
        </w:trPr>
        <w:tc>
          <w:tcPr>
            <w:tcW w:w="221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指标</w:t>
            </w:r>
          </w:p>
        </w:tc>
        <w:tc>
          <w:tcPr>
            <w:tcW w:w="13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数量指标</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宣传覆盖人数大于</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公益广告覆盖人数≧3000万人</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公益广告覆盖人数≧3000万人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5" w:hRule="atLeast"/>
          <w:jc w:val="center"/>
        </w:trPr>
        <w:tc>
          <w:tcPr>
            <w:tcW w:w="221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公益广告条数不少于</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公益广告条数不少于10条</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公益广告条数不少于10条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221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时效指标</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完成该项工作时间</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2021年12月31日前完成</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2021年12月31日前完成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32" w:hRule="atLeast"/>
          <w:jc w:val="center"/>
        </w:trPr>
        <w:tc>
          <w:tcPr>
            <w:tcW w:w="221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4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效益</w:t>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指标</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社会效益指标</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对社会的促进作用</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按照习近平总书记“十一个坚持”要求，坚决贯彻落实党中央关于全面依法治国的重大决策部署，坚定不移走中国特色社会主义法治道路。</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按照习近平总书记“十一个坚持”要求，坚决贯彻落实党中央关于全面依法治国的重大决策部署，坚定不移走中国特色社会主义法治道路。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9" w:hRule="atLeast"/>
          <w:jc w:val="center"/>
        </w:trPr>
        <w:tc>
          <w:tcPr>
            <w:tcW w:w="221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4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可持续影响指标</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公益广告投放影响面</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确保习近平法治思想家喻户晓、深入人心。</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确保习近平法治思想家喻户晓、深入人心。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2" w:hRule="atLeast"/>
          <w:jc w:val="center"/>
        </w:trPr>
        <w:tc>
          <w:tcPr>
            <w:tcW w:w="221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满意</w:t>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度指标</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满意度指标</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广告受众群体满意度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广告受众群体满意度达到95%</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广告受众群体满意度达到95%</w:t>
            </w:r>
          </w:p>
        </w:tc>
      </w:tr>
    </w:tbl>
    <w:p>
      <w:pPr>
        <w:keepNext w:val="0"/>
        <w:keepLines w:val="0"/>
        <w:pageBreakBefore w:val="0"/>
        <w:widowControl/>
        <w:suppressLineNumbers w:val="0"/>
        <w:kinsoku/>
        <w:wordWrap/>
        <w:overflowPunct/>
        <w:topLinePunct w:val="0"/>
        <w:autoSpaceDE/>
        <w:autoSpaceDN/>
        <w:bidi w:val="0"/>
        <w:adjustRightInd/>
        <w:snapToGrid/>
        <w:spacing w:beforeAutospacing="0" w:line="560" w:lineRule="exact"/>
        <w:ind w:left="4176" w:hanging="4176" w:hangingChars="1300"/>
        <w:jc w:val="center"/>
        <w:textAlignment w:val="center"/>
        <w:rPr>
          <w:rFonts w:hint="eastAsia" w:ascii="宋体" w:hAnsi="宋体" w:eastAsia="宋体" w:cs="宋体"/>
          <w:b/>
          <w:i w:val="0"/>
          <w:color w:val="000000" w:themeColor="text1"/>
          <w:sz w:val="32"/>
          <w:szCs w:val="32"/>
          <w:highlight w:val="none"/>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line="560" w:lineRule="exact"/>
        <w:ind w:left="4176" w:hanging="4176" w:hangingChars="1300"/>
        <w:jc w:val="center"/>
        <w:textAlignment w:val="center"/>
        <w:rPr>
          <w:rFonts w:hint="eastAsia" w:ascii="宋体" w:hAnsi="宋体" w:eastAsia="宋体" w:cs="宋体"/>
          <w:b/>
          <w:i w:val="0"/>
          <w:color w:val="000000" w:themeColor="text1"/>
          <w:sz w:val="32"/>
          <w:szCs w:val="32"/>
          <w:highlight w:val="none"/>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line="560" w:lineRule="exact"/>
        <w:jc w:val="center"/>
        <w:textAlignment w:val="center"/>
        <w:rPr>
          <w:rFonts w:hint="eastAsia" w:ascii="宋体" w:hAnsi="宋体" w:eastAsia="宋体" w:cs="宋体"/>
          <w:b/>
          <w:i w:val="0"/>
          <w:color w:val="000000" w:themeColor="text1"/>
          <w:spacing w:val="-11"/>
          <w:sz w:val="32"/>
          <w:szCs w:val="32"/>
          <w:highlight w:val="none"/>
          <w:u w:val="none"/>
          <w:lang w:val="en-US" w:eastAsia="zh-CN"/>
          <w14:textFill>
            <w14:solidFill>
              <w14:schemeClr w14:val="tx1"/>
            </w14:solidFill>
          </w14:textFill>
        </w:rPr>
      </w:pPr>
      <w:r>
        <w:rPr>
          <w:rFonts w:hint="eastAsia" w:ascii="宋体" w:hAnsi="宋体" w:eastAsia="宋体" w:cs="宋体"/>
          <w:b/>
          <w:i w:val="0"/>
          <w:color w:val="000000" w:themeColor="text1"/>
          <w:spacing w:val="-11"/>
          <w:sz w:val="32"/>
          <w:szCs w:val="32"/>
          <w:highlight w:val="none"/>
          <w:u w:val="none"/>
          <w:lang w:val="en-US" w:eastAsia="zh-CN"/>
          <w14:textFill>
            <w14:solidFill>
              <w14:schemeClr w14:val="tx1"/>
            </w14:solidFill>
          </w14:textFill>
        </w:rPr>
        <w:t>2021年100万元以上（含）特定目标类部门预算项目绩效目标自评</w:t>
      </w:r>
    </w:p>
    <w:p>
      <w:pPr>
        <w:keepNext w:val="0"/>
        <w:keepLines w:val="0"/>
        <w:pageBreakBefore w:val="0"/>
        <w:kinsoku/>
        <w:wordWrap/>
        <w:overflowPunct/>
        <w:topLinePunct w:val="0"/>
        <w:autoSpaceDE/>
        <w:autoSpaceDN/>
        <w:bidi w:val="0"/>
        <w:adjustRightInd/>
        <w:snapToGrid/>
        <w:spacing w:line="560" w:lineRule="exact"/>
        <w:jc w:val="center"/>
        <w:rPr>
          <w:rFonts w:hint="eastAsia" w:ascii="宋体" w:hAnsi="宋体" w:cs="宋体"/>
          <w:b w:val="0"/>
          <w:bCs/>
          <w:i w:val="0"/>
          <w:color w:val="000000" w:themeColor="text1"/>
          <w:sz w:val="32"/>
          <w:szCs w:val="32"/>
          <w:highlight w:val="none"/>
          <w:u w:val="none"/>
          <w:lang w:val="en-US" w:eastAsia="zh-CN"/>
          <w14:textFill>
            <w14:solidFill>
              <w14:schemeClr w14:val="tx1"/>
            </w14:solidFill>
          </w14:textFill>
        </w:rPr>
      </w:pPr>
      <w:r>
        <w:rPr>
          <w:rFonts w:hint="eastAsia" w:ascii="宋体" w:hAnsi="宋体" w:cs="宋体"/>
          <w:b w:val="0"/>
          <w:bCs/>
          <w:i w:val="0"/>
          <w:color w:val="000000" w:themeColor="text1"/>
          <w:sz w:val="32"/>
          <w:szCs w:val="32"/>
          <w:highlight w:val="none"/>
          <w:u w:val="none"/>
          <w:lang w:val="en-US" w:eastAsia="zh-CN"/>
          <w14:textFill>
            <w14:solidFill>
              <w14:schemeClr w14:val="tx1"/>
            </w14:solidFill>
          </w14:textFill>
        </w:rPr>
        <w:t>（国家工作人员学法）</w:t>
      </w:r>
    </w:p>
    <w:p>
      <w:pPr>
        <w:bidi w:val="0"/>
        <w:rPr>
          <w:color w:val="000000" w:themeColor="text1"/>
          <w14:textFill>
            <w14:solidFill>
              <w14:schemeClr w14:val="tx1"/>
            </w14:solidFill>
          </w14:textFill>
        </w:rPr>
      </w:pPr>
    </w:p>
    <w:tbl>
      <w:tblPr>
        <w:tblStyle w:val="14"/>
        <w:tblW w:w="9813"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213"/>
        <w:gridCol w:w="1142"/>
        <w:gridCol w:w="1385"/>
        <w:gridCol w:w="1335"/>
        <w:gridCol w:w="1806"/>
        <w:gridCol w:w="19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4" w:hRule="atLeast"/>
          <w:jc w:val="center"/>
        </w:trPr>
        <w:tc>
          <w:tcPr>
            <w:tcW w:w="3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主管部门及代码</w:t>
            </w:r>
          </w:p>
        </w:tc>
        <w:tc>
          <w:tcPr>
            <w:tcW w:w="2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四川省司法厅-207</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实施单位</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sz w:val="16"/>
                <w:szCs w:val="16"/>
                <w:highlight w:val="none"/>
                <w:u w:val="none"/>
                <w14:textFill>
                  <w14:solidFill>
                    <w14:schemeClr w14:val="tx1"/>
                  </w14:solidFill>
                </w14:textFill>
              </w:rPr>
              <w:t>四川省司法厅机关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1" w:hRule="atLeast"/>
          <w:jc w:val="center"/>
        </w:trPr>
        <w:tc>
          <w:tcPr>
            <w:tcW w:w="335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项目预算</w:t>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执行情况</w:t>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（万元）</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 xml:space="preserve"> 预算数：</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100.00</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 xml:space="preserve"> 执行数：</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99.90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5" w:hRule="atLeast"/>
          <w:jc w:val="center"/>
        </w:trPr>
        <w:tc>
          <w:tcPr>
            <w:tcW w:w="33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财政拨款</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100.00</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财政拨款</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99.90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1" w:hRule="atLeast"/>
          <w:jc w:val="center"/>
        </w:trPr>
        <w:tc>
          <w:tcPr>
            <w:tcW w:w="33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其他资金</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其他资金</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 w:hRule="atLeast"/>
          <w:jc w:val="center"/>
        </w:trPr>
        <w:tc>
          <w:tcPr>
            <w:tcW w:w="22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完成情况</w:t>
            </w:r>
          </w:p>
        </w:tc>
        <w:tc>
          <w:tcPr>
            <w:tcW w:w="38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预期目标</w:t>
            </w:r>
          </w:p>
        </w:tc>
        <w:tc>
          <w:tcPr>
            <w:tcW w:w="37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7" w:hRule="atLeast"/>
          <w:jc w:val="center"/>
        </w:trPr>
        <w:tc>
          <w:tcPr>
            <w:tcW w:w="2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38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top"/>
              <w:rPr>
                <w:rFonts w:hint="eastAsia" w:ascii="宋体" w:hAnsi="宋体" w:eastAsia="宋体" w:cs="宋体"/>
                <w:color w:val="000000" w:themeColor="text1"/>
                <w:kern w:val="2"/>
                <w:sz w:val="16"/>
                <w:szCs w:val="16"/>
                <w:lang w:val="en-US" w:eastAsia="zh-CN" w:bidi="ar-SA"/>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通过搭建省级部门(单位）领导干部和国家工作人员学法考试系统平台，进一步规范省级部门(单位）领导干部和国家工作人员学法考试工作，不断提升省级部门(单位）领导干部和国家工作人员法治意识和法治素养，提高运用法治思维和法治方式的深化改革、推动发展、化解矛盾、维护稳定、应对风险的能力。</w:t>
            </w:r>
          </w:p>
        </w:tc>
        <w:tc>
          <w:tcPr>
            <w:tcW w:w="37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top"/>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通过搭建省级部门(单位）领导干部和国家工作人员学法考试系统平台，进一步规范省级部门(单位）领导干部和国家工作人员学法考试工作，不断提升省级部门(单位）领导干部和国家工作人员法治意识和法治素养，提高运用法治思维和法治方式的深化改革、推动发展、化解矛盾、维护稳定、应对风险的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2" w:hRule="atLeast"/>
          <w:jc w:val="center"/>
        </w:trPr>
        <w:tc>
          <w:tcPr>
            <w:tcW w:w="221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指标</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指标</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指标</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预期指标值</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5" w:hRule="atLeast"/>
          <w:jc w:val="center"/>
        </w:trPr>
        <w:tc>
          <w:tcPr>
            <w:tcW w:w="221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4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指标</w:t>
            </w:r>
          </w:p>
        </w:tc>
        <w:tc>
          <w:tcPr>
            <w:tcW w:w="13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数量指标</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覆盖省级部门(单位）领导干部和国家工作人员</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覆盖省级部门(单位）领导干部和国家工作人员至少2万人</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覆盖省级部门(单位）领导干部和国家工作人员至少2万人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5" w:hRule="atLeast"/>
          <w:jc w:val="center"/>
        </w:trPr>
        <w:tc>
          <w:tcPr>
            <w:tcW w:w="221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42"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使用平台的省级部门单位数量不少于</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使用平台的省级部门单位数量不少于40个</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使用平台的省级部门单位数量不少于40个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221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42"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使用平台组织考法次数</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每个单位每年度使用该平台至少组织一次考法</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每个单位每年度使用该平台至少组织一次考法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221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4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时效指标</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完成该项工作年度工作计划的时间</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spacing w:val="-6"/>
                <w:w w:val="99"/>
                <w:kern w:val="0"/>
                <w:sz w:val="16"/>
                <w:szCs w:val="16"/>
                <w:u w:val="none"/>
                <w:lang w:val="en-US" w:eastAsia="zh-CN" w:bidi="ar"/>
                <w14:textFill>
                  <w14:solidFill>
                    <w14:schemeClr w14:val="tx1"/>
                  </w14:solidFill>
                </w14:textFill>
              </w:rPr>
              <w:t>2021年12月31日前完成</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spacing w:val="-6"/>
                <w:kern w:val="0"/>
                <w:sz w:val="16"/>
                <w:szCs w:val="16"/>
                <w:u w:val="none"/>
                <w:lang w:val="en-US" w:eastAsia="zh-CN" w:bidi="ar"/>
                <w14:textFill>
                  <w14:solidFill>
                    <w14:schemeClr w14:val="tx1"/>
                  </w14:solidFill>
                </w14:textFill>
              </w:rPr>
              <w:t>2021年12月31日前完成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221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42"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效益</w:t>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指标</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社会效益指标</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对社会的促进作用</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spacing w:val="-6"/>
                <w:kern w:val="0"/>
                <w:sz w:val="16"/>
                <w:szCs w:val="16"/>
                <w:u w:val="none"/>
                <w:lang w:val="en-US" w:eastAsia="zh-CN" w:bidi="ar"/>
                <w14:textFill>
                  <w14:solidFill>
                    <w14:schemeClr w14:val="tx1"/>
                  </w14:solidFill>
                </w14:textFill>
              </w:rPr>
              <w:t>推动“关键少数”带头尊法学法守法用法，推动全社会建立办事依法、遇事找法、解决问题用法、化解矛盾靠法的法治良序。</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推动“关键少数”带头尊法学法守法用法，推动全社会建立办事依法、遇事找法、解决问题用法、化解矛盾靠法的法治良序。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0" w:hRule="atLeast"/>
          <w:jc w:val="center"/>
        </w:trPr>
        <w:tc>
          <w:tcPr>
            <w:tcW w:w="221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满意</w:t>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度指标</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满意度指标</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受众群体</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满意度</w:t>
            </w: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受众群体满意度达到90%</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受众群体满意度达到90%</w:t>
            </w:r>
          </w:p>
        </w:tc>
      </w:tr>
    </w:tbl>
    <w:p>
      <w:pPr>
        <w:keepNext w:val="0"/>
        <w:keepLines w:val="0"/>
        <w:pageBreakBefore w:val="0"/>
        <w:widowControl/>
        <w:suppressLineNumbers w:val="0"/>
        <w:kinsoku/>
        <w:wordWrap/>
        <w:overflowPunct/>
        <w:topLinePunct w:val="0"/>
        <w:autoSpaceDE/>
        <w:autoSpaceDN/>
        <w:bidi w:val="0"/>
        <w:adjustRightInd/>
        <w:snapToGrid/>
        <w:spacing w:beforeAutospacing="0" w:line="560" w:lineRule="exact"/>
        <w:ind w:left="4176" w:hanging="3890" w:hangingChars="1300"/>
        <w:jc w:val="center"/>
        <w:textAlignment w:val="center"/>
        <w:rPr>
          <w:rFonts w:hint="eastAsia" w:ascii="宋体" w:hAnsi="宋体" w:eastAsia="宋体" w:cs="宋体"/>
          <w:b/>
          <w:i w:val="0"/>
          <w:color w:val="000000" w:themeColor="text1"/>
          <w:spacing w:val="-11"/>
          <w:sz w:val="32"/>
          <w:szCs w:val="32"/>
          <w:highlight w:val="none"/>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line="560" w:lineRule="exact"/>
        <w:ind w:left="4176" w:hanging="3890" w:hangingChars="1300"/>
        <w:jc w:val="center"/>
        <w:textAlignment w:val="center"/>
        <w:rPr>
          <w:rFonts w:hint="eastAsia" w:ascii="宋体" w:hAnsi="宋体" w:eastAsia="宋体" w:cs="宋体"/>
          <w:b/>
          <w:i w:val="0"/>
          <w:color w:val="000000" w:themeColor="text1"/>
          <w:spacing w:val="-11"/>
          <w:sz w:val="32"/>
          <w:szCs w:val="32"/>
          <w:highlight w:val="none"/>
          <w:u w:val="none"/>
          <w:lang w:val="en-US" w:eastAsia="zh-CN"/>
          <w14:textFill>
            <w14:solidFill>
              <w14:schemeClr w14:val="tx1"/>
            </w14:solidFill>
          </w14:textFill>
        </w:rPr>
      </w:pPr>
      <w:r>
        <w:rPr>
          <w:rFonts w:hint="eastAsia" w:ascii="宋体" w:hAnsi="宋体" w:eastAsia="宋体" w:cs="宋体"/>
          <w:b/>
          <w:i w:val="0"/>
          <w:color w:val="000000" w:themeColor="text1"/>
          <w:spacing w:val="-11"/>
          <w:sz w:val="32"/>
          <w:szCs w:val="32"/>
          <w:highlight w:val="none"/>
          <w:u w:val="none"/>
          <w:lang w:val="en-US" w:eastAsia="zh-CN"/>
          <w14:textFill>
            <w14:solidFill>
              <w14:schemeClr w14:val="tx1"/>
            </w14:solidFill>
          </w14:textFill>
        </w:rPr>
        <w:t>2021年100万元以上（含）特定目标类部门预算项目绩效目标自评</w:t>
      </w:r>
    </w:p>
    <w:p>
      <w:pPr>
        <w:keepNext w:val="0"/>
        <w:keepLines w:val="0"/>
        <w:pageBreakBefore w:val="0"/>
        <w:kinsoku/>
        <w:wordWrap/>
        <w:overflowPunct/>
        <w:topLinePunct w:val="0"/>
        <w:autoSpaceDE/>
        <w:autoSpaceDN/>
        <w:bidi w:val="0"/>
        <w:adjustRightInd/>
        <w:snapToGrid/>
        <w:spacing w:line="560" w:lineRule="exact"/>
        <w:jc w:val="center"/>
        <w:rPr>
          <w:rFonts w:hint="eastAsia" w:ascii="宋体" w:hAnsi="宋体" w:eastAsia="宋体" w:cs="宋体"/>
          <w:b w:val="0"/>
          <w:bCs/>
          <w:i w:val="0"/>
          <w:color w:val="000000" w:themeColor="text1"/>
          <w:sz w:val="32"/>
          <w:szCs w:val="32"/>
          <w:highlight w:val="none"/>
          <w:u w:val="none"/>
          <w:lang w:val="en-US" w:eastAsia="zh-CN"/>
          <w14:textFill>
            <w14:solidFill>
              <w14:schemeClr w14:val="tx1"/>
            </w14:solidFill>
          </w14:textFill>
        </w:rPr>
      </w:pPr>
      <w:r>
        <w:rPr>
          <w:rFonts w:hint="eastAsia" w:ascii="宋体" w:hAnsi="宋体" w:eastAsia="宋体" w:cs="宋体"/>
          <w:b w:val="0"/>
          <w:bCs/>
          <w:i w:val="0"/>
          <w:color w:val="000000" w:themeColor="text1"/>
          <w:sz w:val="32"/>
          <w:szCs w:val="32"/>
          <w:highlight w:val="none"/>
          <w:u w:val="none"/>
          <w:lang w:val="en-US" w:eastAsia="zh-CN"/>
          <w14:textFill>
            <w14:solidFill>
              <w14:schemeClr w14:val="tx1"/>
            </w14:solidFill>
          </w14:textFill>
        </w:rPr>
        <w:t>（四川司法行政指挥平台项目）</w:t>
      </w:r>
    </w:p>
    <w:p>
      <w:pPr>
        <w:bidi w:val="0"/>
        <w:rPr>
          <w:rFonts w:hint="eastAsia"/>
          <w:color w:val="000000" w:themeColor="text1"/>
          <w:lang w:val="en-US" w:eastAsia="zh-CN"/>
          <w14:textFill>
            <w14:solidFill>
              <w14:schemeClr w14:val="tx1"/>
            </w14:solidFill>
          </w14:textFill>
        </w:rPr>
      </w:pPr>
    </w:p>
    <w:tbl>
      <w:tblPr>
        <w:tblStyle w:val="14"/>
        <w:tblW w:w="9813"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213"/>
        <w:gridCol w:w="1142"/>
        <w:gridCol w:w="1385"/>
        <w:gridCol w:w="1335"/>
        <w:gridCol w:w="1695"/>
        <w:gridCol w:w="20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4" w:hRule="atLeast"/>
          <w:jc w:val="center"/>
        </w:trPr>
        <w:tc>
          <w:tcPr>
            <w:tcW w:w="33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主管部门及代码</w:t>
            </w:r>
          </w:p>
        </w:tc>
        <w:tc>
          <w:tcPr>
            <w:tcW w:w="27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四川省司法厅-207</w:t>
            </w:r>
          </w:p>
        </w:tc>
        <w:tc>
          <w:tcPr>
            <w:tcW w:w="16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实施单位</w:t>
            </w:r>
          </w:p>
        </w:tc>
        <w:tc>
          <w:tcPr>
            <w:tcW w:w="20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sz w:val="16"/>
                <w:szCs w:val="16"/>
                <w:highlight w:val="none"/>
                <w:u w:val="none"/>
                <w14:textFill>
                  <w14:solidFill>
                    <w14:schemeClr w14:val="tx1"/>
                  </w14:solidFill>
                </w14:textFill>
              </w:rPr>
              <w:t>四川省司法厅机关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1" w:hRule="atLeast"/>
          <w:jc w:val="center"/>
        </w:trPr>
        <w:tc>
          <w:tcPr>
            <w:tcW w:w="3355"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项目预算</w:t>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执行情况</w:t>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（万元）</w:t>
            </w:r>
          </w:p>
        </w:tc>
        <w:tc>
          <w:tcPr>
            <w:tcW w:w="13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 xml:space="preserve"> 预算数：</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123.12</w:t>
            </w:r>
          </w:p>
        </w:tc>
        <w:tc>
          <w:tcPr>
            <w:tcW w:w="16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 xml:space="preserve"> 执行数：</w:t>
            </w:r>
          </w:p>
        </w:tc>
        <w:tc>
          <w:tcPr>
            <w:tcW w:w="20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123.12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5" w:hRule="atLeast"/>
          <w:jc w:val="center"/>
        </w:trPr>
        <w:tc>
          <w:tcPr>
            <w:tcW w:w="335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3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财政拨款</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123.12</w:t>
            </w:r>
          </w:p>
        </w:tc>
        <w:tc>
          <w:tcPr>
            <w:tcW w:w="16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财政拨款</w:t>
            </w:r>
          </w:p>
        </w:tc>
        <w:tc>
          <w:tcPr>
            <w:tcW w:w="20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123.12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1" w:hRule="atLeast"/>
          <w:jc w:val="center"/>
        </w:trPr>
        <w:tc>
          <w:tcPr>
            <w:tcW w:w="335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3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其他资金</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6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其他资金</w:t>
            </w:r>
          </w:p>
        </w:tc>
        <w:tc>
          <w:tcPr>
            <w:tcW w:w="20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8" w:hRule="atLeast"/>
          <w:jc w:val="center"/>
        </w:trPr>
        <w:tc>
          <w:tcPr>
            <w:tcW w:w="22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完成情况</w:t>
            </w:r>
          </w:p>
        </w:tc>
        <w:tc>
          <w:tcPr>
            <w:tcW w:w="386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预期目标</w:t>
            </w:r>
          </w:p>
        </w:tc>
        <w:tc>
          <w:tcPr>
            <w:tcW w:w="37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36" w:hRule="atLeast"/>
          <w:jc w:val="center"/>
        </w:trPr>
        <w:tc>
          <w:tcPr>
            <w:tcW w:w="22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386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color w:val="000000" w:themeColor="text1"/>
                <w:kern w:val="2"/>
                <w:sz w:val="16"/>
                <w:szCs w:val="16"/>
                <w:lang w:val="en-US" w:eastAsia="zh-CN" w:bidi="ar-SA"/>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该项目属于跨年项目，2021年项目将会按计划完成省市两级应急指挥平台建设、指挥调度通信系统建设，实现省厅指挥中心对各司法局（所）控制中心的统一指挥调度管理、省厅应急指挥中心应急会商功能、实现与司法部级视频图像信息监控联网平台的联网对接工作等建设目标。</w:t>
            </w:r>
          </w:p>
        </w:tc>
        <w:tc>
          <w:tcPr>
            <w:tcW w:w="37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该项目属于跨年项目，2021年项目按计划完成省市两级应急指挥平台建设、指挥调度通信系统建设，实现省厅指挥中心对各司法局（所）控制中心的统一指挥调度管理、省厅应急指挥中心应急会商功能、实现与司法部级视频图像信息监控联网平台的联网对接工作等建设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8" w:hRule="atLeast"/>
          <w:jc w:val="center"/>
        </w:trPr>
        <w:tc>
          <w:tcPr>
            <w:tcW w:w="22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年度绩效指标完成情况</w:t>
            </w:r>
          </w:p>
        </w:tc>
        <w:tc>
          <w:tcPr>
            <w:tcW w:w="11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指标</w:t>
            </w:r>
          </w:p>
        </w:tc>
        <w:tc>
          <w:tcPr>
            <w:tcW w:w="13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指标</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指标</w:t>
            </w:r>
          </w:p>
        </w:tc>
        <w:tc>
          <w:tcPr>
            <w:tcW w:w="16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预期指标值</w:t>
            </w:r>
          </w:p>
        </w:tc>
        <w:tc>
          <w:tcPr>
            <w:tcW w:w="20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86" w:hRule="atLeast"/>
          <w:jc w:val="center"/>
        </w:trPr>
        <w:tc>
          <w:tcPr>
            <w:tcW w:w="22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4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指标</w:t>
            </w:r>
          </w:p>
        </w:tc>
        <w:tc>
          <w:tcPr>
            <w:tcW w:w="13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数量指标</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该项目完成后共计建成系统数量</w:t>
            </w:r>
          </w:p>
        </w:tc>
        <w:tc>
          <w:tcPr>
            <w:tcW w:w="16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完成1套指挥调度通信系统建设、1套应急会商系统建设、1套视频监控系统、</w:t>
            </w:r>
          </w:p>
        </w:tc>
        <w:tc>
          <w:tcPr>
            <w:tcW w:w="20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完成1套指挥调度通信系统建设、1套应急会商系统建设、1套视频监控系统、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22" w:hRule="atLeast"/>
          <w:jc w:val="center"/>
        </w:trPr>
        <w:tc>
          <w:tcPr>
            <w:tcW w:w="22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3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质量指标</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四川司法行政指挥平台项目建设质量</w:t>
            </w:r>
          </w:p>
        </w:tc>
        <w:tc>
          <w:tcPr>
            <w:tcW w:w="16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四川司法行政指挥平台项目建设完成后，实现设定目标：建成省市两级应急指挥平台、指挥调度通信系统，实现省厅指挥中心对各司法局（所）控制中心的统一指挥调度管理、省厅应急指挥中心应急会商功能、实现与司法部级视频图像信息监控联网平台的联网对接工作等。</w:t>
            </w:r>
          </w:p>
        </w:tc>
        <w:tc>
          <w:tcPr>
            <w:tcW w:w="20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四川司法行政指挥平台项目建设完成后，实现设定目标：建成省市两级应急指挥平台、指挥调度通信系统，实现省厅指挥中心对各司法局（所）控制中心的统一指挥调度管理、省厅应急指挥中心应急会商功能、实现与司法部级视频图像信息监控联网平台的联网对接工作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22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3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时效指标</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项目完成时间</w:t>
            </w:r>
          </w:p>
        </w:tc>
        <w:tc>
          <w:tcPr>
            <w:tcW w:w="16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spacing w:val="-6"/>
                <w:kern w:val="0"/>
                <w:sz w:val="16"/>
                <w:szCs w:val="16"/>
                <w:u w:val="none"/>
                <w:lang w:val="en-US" w:eastAsia="zh-CN" w:bidi="ar"/>
                <w14:textFill>
                  <w14:solidFill>
                    <w14:schemeClr w14:val="tx1"/>
                  </w14:solidFill>
                </w14:textFill>
              </w:rPr>
              <w:t>2021年12月31日以前完成项目年度计划，根据合同完成支付。</w:t>
            </w:r>
          </w:p>
        </w:tc>
        <w:tc>
          <w:tcPr>
            <w:tcW w:w="20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2021年12月31日以前完成项目年度计划，根据合同完成支付。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53" w:hRule="atLeast"/>
          <w:jc w:val="center"/>
        </w:trPr>
        <w:tc>
          <w:tcPr>
            <w:tcW w:w="22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效益</w:t>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指标</w:t>
            </w:r>
          </w:p>
        </w:tc>
        <w:tc>
          <w:tcPr>
            <w:tcW w:w="13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可持续影响指标</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项目建成后可持续影响范围</w:t>
            </w:r>
          </w:p>
        </w:tc>
        <w:tc>
          <w:tcPr>
            <w:tcW w:w="16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四川省司法行政指挥平台建设遵循“数据集中、统一平台、智能监控、立体防控、综合服务”的建设方向，旨在建立统一指挥、功能齐全、反应灵敏、运转高效的应急指挥联动平台。通过省厅指挥中心发挥综合协调职能，接收全省各司法局要情信息，并向司法部上传要情信息，对全省范围舆情进行监控，可</w:t>
            </w:r>
            <w:r>
              <w:rPr>
                <w:rFonts w:hint="eastAsia" w:ascii="宋体" w:hAnsi="宋体" w:eastAsia="宋体" w:cs="宋体"/>
                <w:i w:val="0"/>
                <w:color w:val="000000" w:themeColor="text1"/>
                <w:spacing w:val="-6"/>
                <w:kern w:val="0"/>
                <w:sz w:val="16"/>
                <w:szCs w:val="16"/>
                <w:u w:val="none"/>
                <w:lang w:val="en-US" w:eastAsia="zh-CN" w:bidi="ar"/>
                <w14:textFill>
                  <w14:solidFill>
                    <w14:schemeClr w14:val="tx1"/>
                  </w14:solidFill>
                </w14:textFill>
              </w:rPr>
              <w:t>对直属单位重点区域进行日常监管。接收全省上报的突发事件，通过音视频等方式对突发事件进行应急指挥。通过指挥中心大屏对社区矫正业务数据统计分析的展示</w:t>
            </w:r>
          </w:p>
        </w:tc>
        <w:tc>
          <w:tcPr>
            <w:tcW w:w="20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四川省司法行政指挥平台建设遵循“数据集中、统一平台、智能监控、立体防控、综合服务”的建设方向，旨在建立统一指挥、功能齐全、反应灵敏、运转高效的应急指挥联动平台。通过省厅指挥中心发挥综合协调职能，接收全省各司法局要情信息，并向司法部上传要情信息，对全省范围舆情进行监控，可对直属单位重点区域进行日常监管。接收全省上报的突发事件，通过音视频等方式对突发事件进行应急指挥。通过指挥中心大屏对社区矫正业务数据统计分析的展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6" w:hRule="atLeast"/>
          <w:jc w:val="center"/>
        </w:trPr>
        <w:tc>
          <w:tcPr>
            <w:tcW w:w="22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满意</w:t>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度指标</w:t>
            </w:r>
          </w:p>
        </w:tc>
        <w:tc>
          <w:tcPr>
            <w:tcW w:w="13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满意度指标</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四川司法行政指挥平台服务对象满意度</w:t>
            </w:r>
          </w:p>
        </w:tc>
        <w:tc>
          <w:tcPr>
            <w:tcW w:w="16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四川司法行政指挥平台服务对象满意度达到90%以上。</w:t>
            </w:r>
          </w:p>
        </w:tc>
        <w:tc>
          <w:tcPr>
            <w:tcW w:w="20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四川司法行政指挥平台服务对象满意度达到</w:t>
            </w:r>
          </w:p>
          <w:p>
            <w:pPr>
              <w:keepNext w:val="0"/>
              <w:keepLines w:val="0"/>
              <w:widowControl/>
              <w:suppressLineNumbers w:val="0"/>
              <w:jc w:val="both"/>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90%以上。</w:t>
            </w:r>
          </w:p>
        </w:tc>
      </w:tr>
    </w:tbl>
    <w:p>
      <w:pPr>
        <w:rPr>
          <w:color w:val="000000" w:themeColor="text1"/>
          <w14:textFill>
            <w14:solidFill>
              <w14:schemeClr w14:val="tx1"/>
            </w14:solidFill>
          </w14:textFill>
        </w:rPr>
      </w:pPr>
    </w:p>
    <w:p>
      <w:pPr>
        <w:bidi w:val="0"/>
        <w:rPr>
          <w:color w:val="000000" w:themeColor="text1"/>
          <w14:textFill>
            <w14:solidFill>
              <w14:schemeClr w14:val="tx1"/>
            </w14:solidFill>
          </w14:textFill>
        </w:rPr>
      </w:pPr>
    </w:p>
    <w:p>
      <w:pPr>
        <w:bidi w:val="0"/>
        <w:rPr>
          <w:color w:val="000000" w:themeColor="text1"/>
          <w14:textFill>
            <w14:solidFill>
              <w14:schemeClr w14:val="tx1"/>
            </w14:solidFill>
          </w14:textFill>
        </w:rPr>
      </w:pPr>
    </w:p>
    <w:p>
      <w:pPr>
        <w:bidi w:val="0"/>
        <w:rPr>
          <w:color w:val="000000" w:themeColor="text1"/>
          <w14:textFill>
            <w14:solidFill>
              <w14:schemeClr w14:val="tx1"/>
            </w14:solidFill>
          </w14:textFill>
        </w:rPr>
      </w:pPr>
    </w:p>
    <w:p>
      <w:pPr>
        <w:bidi w:val="0"/>
        <w:rPr>
          <w:color w:val="000000" w:themeColor="text1"/>
          <w14:textFill>
            <w14:solidFill>
              <w14:schemeClr w14:val="tx1"/>
            </w14:solidFill>
          </w14:textFill>
        </w:rPr>
      </w:pPr>
    </w:p>
    <w:p>
      <w:pPr>
        <w:bidi w:val="0"/>
        <w:rPr>
          <w:color w:val="000000" w:themeColor="text1"/>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line="560" w:lineRule="exact"/>
        <w:ind w:left="4176" w:hanging="4176" w:hangingChars="1300"/>
        <w:jc w:val="center"/>
        <w:textAlignment w:val="center"/>
        <w:rPr>
          <w:rFonts w:hint="eastAsia" w:ascii="宋体" w:hAnsi="宋体" w:eastAsia="宋体" w:cs="宋体"/>
          <w:b/>
          <w:i w:val="0"/>
          <w:color w:val="000000" w:themeColor="text1"/>
          <w:sz w:val="32"/>
          <w:szCs w:val="32"/>
          <w:highlight w:val="none"/>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line="560" w:lineRule="exact"/>
        <w:ind w:left="4176" w:hanging="4176" w:hangingChars="1300"/>
        <w:jc w:val="center"/>
        <w:textAlignment w:val="center"/>
        <w:rPr>
          <w:rFonts w:hint="eastAsia" w:ascii="宋体" w:hAnsi="宋体" w:eastAsia="宋体" w:cs="宋体"/>
          <w:b/>
          <w:i w:val="0"/>
          <w:color w:val="000000" w:themeColor="text1"/>
          <w:sz w:val="32"/>
          <w:szCs w:val="32"/>
          <w:highlight w:val="none"/>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line="560" w:lineRule="exact"/>
        <w:ind w:left="4176" w:hanging="3890" w:hangingChars="1300"/>
        <w:jc w:val="center"/>
        <w:textAlignment w:val="center"/>
        <w:rPr>
          <w:rFonts w:hint="eastAsia" w:ascii="宋体" w:hAnsi="宋体" w:eastAsia="宋体" w:cs="宋体"/>
          <w:b/>
          <w:i w:val="0"/>
          <w:color w:val="000000" w:themeColor="text1"/>
          <w:spacing w:val="-11"/>
          <w:sz w:val="32"/>
          <w:szCs w:val="32"/>
          <w:highlight w:val="none"/>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line="560" w:lineRule="exact"/>
        <w:ind w:left="4176" w:hanging="3890" w:hangingChars="1300"/>
        <w:jc w:val="center"/>
        <w:textAlignment w:val="center"/>
        <w:rPr>
          <w:rFonts w:hint="eastAsia" w:ascii="宋体" w:hAnsi="宋体" w:eastAsia="宋体" w:cs="宋体"/>
          <w:b/>
          <w:i w:val="0"/>
          <w:color w:val="000000" w:themeColor="text1"/>
          <w:spacing w:val="-11"/>
          <w:sz w:val="32"/>
          <w:szCs w:val="32"/>
          <w:highlight w:val="none"/>
          <w:u w:val="none"/>
          <w:lang w:val="en-US" w:eastAsia="zh-CN"/>
          <w14:textFill>
            <w14:solidFill>
              <w14:schemeClr w14:val="tx1"/>
            </w14:solidFill>
          </w14:textFill>
        </w:rPr>
      </w:pPr>
      <w:r>
        <w:rPr>
          <w:rFonts w:hint="eastAsia" w:ascii="宋体" w:hAnsi="宋体" w:eastAsia="宋体" w:cs="宋体"/>
          <w:b/>
          <w:i w:val="0"/>
          <w:color w:val="000000" w:themeColor="text1"/>
          <w:spacing w:val="-11"/>
          <w:sz w:val="32"/>
          <w:szCs w:val="32"/>
          <w:highlight w:val="none"/>
          <w:u w:val="none"/>
          <w:lang w:val="en-US" w:eastAsia="zh-CN"/>
          <w14:textFill>
            <w14:solidFill>
              <w14:schemeClr w14:val="tx1"/>
            </w14:solidFill>
          </w14:textFill>
        </w:rPr>
        <w:t>2021年100万元以上（含）特定目标类部门预算项目绩效目标自评</w:t>
      </w:r>
    </w:p>
    <w:p>
      <w:pPr>
        <w:jc w:val="center"/>
        <w:rPr>
          <w:color w:val="000000" w:themeColor="text1"/>
          <w:sz w:val="32"/>
          <w:szCs w:val="32"/>
          <w14:textFill>
            <w14:solidFill>
              <w14:schemeClr w14:val="tx1"/>
            </w14:solidFill>
          </w14:textFill>
        </w:rPr>
      </w:pPr>
      <w:r>
        <w:rPr>
          <w:rFonts w:hint="eastAsia" w:ascii="宋体" w:hAnsi="宋体" w:cs="宋体"/>
          <w:b w:val="0"/>
          <w:bCs/>
          <w:i w:val="0"/>
          <w:color w:val="000000" w:themeColor="text1"/>
          <w:sz w:val="32"/>
          <w:szCs w:val="32"/>
          <w:highlight w:val="none"/>
          <w:u w:val="none"/>
          <w:lang w:val="en-US" w:eastAsia="zh-CN"/>
          <w14:textFill>
            <w14:solidFill>
              <w14:schemeClr w14:val="tx1"/>
            </w14:solidFill>
          </w14:textFill>
        </w:rPr>
        <w:t>（亲情帮教远程会见系统项目）</w:t>
      </w:r>
    </w:p>
    <w:p>
      <w:pPr>
        <w:rPr>
          <w:color w:val="000000" w:themeColor="text1"/>
          <w14:textFill>
            <w14:solidFill>
              <w14:schemeClr w14:val="tx1"/>
            </w14:solidFill>
          </w14:textFill>
        </w:rPr>
      </w:pPr>
    </w:p>
    <w:tbl>
      <w:tblPr>
        <w:tblStyle w:val="14"/>
        <w:tblW w:w="9813"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213"/>
        <w:gridCol w:w="953"/>
        <w:gridCol w:w="1155"/>
        <w:gridCol w:w="1680"/>
        <w:gridCol w:w="1845"/>
        <w:gridCol w:w="19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4" w:hRule="atLeast"/>
          <w:jc w:val="center"/>
        </w:trPr>
        <w:tc>
          <w:tcPr>
            <w:tcW w:w="31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主管部门及代码</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四川省司法厅-207</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实施单位</w:t>
            </w: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sz w:val="16"/>
                <w:szCs w:val="16"/>
                <w:highlight w:val="none"/>
                <w:u w:val="none"/>
                <w14:textFill>
                  <w14:solidFill>
                    <w14:schemeClr w14:val="tx1"/>
                  </w14:solidFill>
                </w14:textFill>
              </w:rPr>
              <w:t>四川省司法厅机关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1" w:hRule="atLeast"/>
          <w:jc w:val="center"/>
        </w:trPr>
        <w:tc>
          <w:tcPr>
            <w:tcW w:w="316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项目预算</w:t>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执行情况</w:t>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（万元）</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 xml:space="preserve"> 预算数：</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482.71</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 xml:space="preserve"> 执行数：</w:t>
            </w: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475.86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5" w:hRule="atLeast"/>
          <w:jc w:val="center"/>
        </w:trPr>
        <w:tc>
          <w:tcPr>
            <w:tcW w:w="31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财政拨款</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482.71</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财政拨款</w:t>
            </w: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475.86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1" w:hRule="atLeast"/>
          <w:jc w:val="center"/>
        </w:trPr>
        <w:tc>
          <w:tcPr>
            <w:tcW w:w="31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其他资金</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其他资金</w:t>
            </w: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 w:hRule="atLeast"/>
          <w:jc w:val="center"/>
        </w:trPr>
        <w:tc>
          <w:tcPr>
            <w:tcW w:w="22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完成情况</w:t>
            </w:r>
          </w:p>
        </w:tc>
        <w:tc>
          <w:tcPr>
            <w:tcW w:w="37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预期目标</w:t>
            </w:r>
          </w:p>
        </w:tc>
        <w:tc>
          <w:tcPr>
            <w:tcW w:w="38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7" w:hRule="atLeast"/>
          <w:jc w:val="center"/>
        </w:trPr>
        <w:tc>
          <w:tcPr>
            <w:tcW w:w="2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37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color w:val="000000" w:themeColor="text1"/>
                <w:kern w:val="2"/>
                <w:sz w:val="16"/>
                <w:szCs w:val="16"/>
                <w:lang w:val="en-US" w:eastAsia="zh-CN" w:bidi="ar-SA"/>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系统将有效整合全省司法行政、监狱、戒毒系统现有资源，全面展示我省司法行政机关“执法为民、服务群众”良好形象。</w:t>
            </w:r>
          </w:p>
        </w:tc>
        <w:tc>
          <w:tcPr>
            <w:tcW w:w="38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系统将有效整合全省司法行政、监狱、戒毒系统现有资源，全面展示我省司法行政机关“执法为民、服务群众”良好形象。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3" w:hRule="atLeast"/>
          <w:jc w:val="center"/>
        </w:trPr>
        <w:tc>
          <w:tcPr>
            <w:tcW w:w="221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年度绩效指标完成情况</w:t>
            </w:r>
          </w:p>
        </w:tc>
        <w:tc>
          <w:tcPr>
            <w:tcW w:w="953" w:type="dxa"/>
            <w:tcBorders>
              <w:top w:val="single" w:color="000000" w:sz="4" w:space="0"/>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指标</w:t>
            </w:r>
          </w:p>
        </w:tc>
        <w:tc>
          <w:tcPr>
            <w:tcW w:w="115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指标</w:t>
            </w:r>
          </w:p>
        </w:tc>
        <w:tc>
          <w:tcPr>
            <w:tcW w:w="168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指标</w:t>
            </w:r>
          </w:p>
        </w:tc>
        <w:tc>
          <w:tcPr>
            <w:tcW w:w="184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预期指标值</w:t>
            </w:r>
          </w:p>
        </w:tc>
        <w:tc>
          <w:tcPr>
            <w:tcW w:w="196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5" w:hRule="atLeast"/>
          <w:jc w:val="center"/>
        </w:trPr>
        <w:tc>
          <w:tcPr>
            <w:tcW w:w="2213" w:type="dxa"/>
            <w:vMerge w:val="continue"/>
            <w:tcBorders>
              <w:left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9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指标</w:t>
            </w: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数量指标</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亲情帮教远程会见系统项目建成系统数量</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通过软件与硬件终端想换结合胡组网建设方式，利用有限的资金一次性快速建成覆盖省市县乡四级司法行政机关的无死角远程会见探访系统。</w:t>
            </w:r>
          </w:p>
        </w:tc>
        <w:tc>
          <w:tcPr>
            <w:tcW w:w="1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通过软件与硬件终端想换结合胡组网建设方式，利用有限的资金一次性快速建成覆盖省市县乡四级司法行政机关的无死角远程会见探访系统。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5" w:hRule="atLeast"/>
          <w:jc w:val="center"/>
        </w:trPr>
        <w:tc>
          <w:tcPr>
            <w:tcW w:w="2213" w:type="dxa"/>
            <w:vMerge w:val="continue"/>
            <w:tcBorders>
              <w:left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9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时效指标</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亲情帮教远程会见系统建成时间</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2021年12月31日前完成项目建设</w:t>
            </w:r>
          </w:p>
        </w:tc>
        <w:tc>
          <w:tcPr>
            <w:tcW w:w="1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2021年12月31日前完成项目建设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2213" w:type="dxa"/>
            <w:vMerge w:val="continue"/>
            <w:tcBorders>
              <w:left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9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效益</w:t>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指标</w:t>
            </w: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社会效益</w:t>
            </w:r>
          </w:p>
          <w:p>
            <w:pPr>
              <w:keepNext w:val="0"/>
              <w:keepLines w:val="0"/>
              <w:widowControl/>
              <w:suppressLineNumbers w:val="0"/>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指标</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亲情帮教远程会见系统社会效益</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亲情帮教远程会见系统建成后服务群众，方便百姓。全面展示我省司法行政机关“执法为民、服务群众”良好形象。</w:t>
            </w:r>
          </w:p>
        </w:tc>
        <w:tc>
          <w:tcPr>
            <w:tcW w:w="1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亲情帮教远程会见系统建成后服务群众，方便百姓。全面展示我省司法行政机关“执法为民、服务群众”良好形象。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2213" w:type="dxa"/>
            <w:vMerge w:val="continue"/>
            <w:tcBorders>
              <w:left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9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可持续影响指标</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亲情帮教远程会见系统覆盖面</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亲情帮教远程会见系统覆盖全省所有监狱、戒毒所、21个市州、183个县级公共法律服务中心、2000个片区司法所</w:t>
            </w:r>
          </w:p>
        </w:tc>
        <w:tc>
          <w:tcPr>
            <w:tcW w:w="1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亲情帮教远程会见系统覆盖全省所有监狱、戒毒所、21个市州、183个县级公共法律服务中心、2000个片区司法所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0" w:hRule="atLeast"/>
          <w:jc w:val="center"/>
        </w:trPr>
        <w:tc>
          <w:tcPr>
            <w:tcW w:w="221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95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满意</w:t>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度指标</w:t>
            </w:r>
          </w:p>
        </w:tc>
        <w:tc>
          <w:tcPr>
            <w:tcW w:w="115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满意度指标</w:t>
            </w:r>
          </w:p>
        </w:tc>
        <w:tc>
          <w:tcPr>
            <w:tcW w:w="168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亲情帮教远程会见系统受众人群满意度</w:t>
            </w:r>
          </w:p>
        </w:tc>
        <w:tc>
          <w:tcPr>
            <w:tcW w:w="184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亲情帮教远程会见系统受众人群满意度达到95%</w:t>
            </w:r>
          </w:p>
        </w:tc>
        <w:tc>
          <w:tcPr>
            <w:tcW w:w="196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亲情帮教远程会见系统受众人群满意度达到95%</w:t>
            </w:r>
          </w:p>
        </w:tc>
      </w:tr>
    </w:tbl>
    <w:p>
      <w:pPr>
        <w:rPr>
          <w:color w:val="000000" w:themeColor="text1"/>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line="560" w:lineRule="exact"/>
        <w:ind w:left="4176" w:hanging="3890" w:hangingChars="1300"/>
        <w:jc w:val="center"/>
        <w:textAlignment w:val="center"/>
        <w:rPr>
          <w:rFonts w:hint="eastAsia" w:ascii="宋体" w:hAnsi="宋体" w:eastAsia="宋体" w:cs="宋体"/>
          <w:b/>
          <w:i w:val="0"/>
          <w:color w:val="000000" w:themeColor="text1"/>
          <w:spacing w:val="-11"/>
          <w:sz w:val="32"/>
          <w:szCs w:val="32"/>
          <w:highlight w:val="none"/>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line="560" w:lineRule="exact"/>
        <w:ind w:left="4176" w:hanging="3890" w:hangingChars="1300"/>
        <w:jc w:val="center"/>
        <w:textAlignment w:val="center"/>
        <w:rPr>
          <w:rFonts w:hint="eastAsia" w:ascii="宋体" w:hAnsi="宋体" w:eastAsia="宋体" w:cs="宋体"/>
          <w:b/>
          <w:i w:val="0"/>
          <w:color w:val="000000" w:themeColor="text1"/>
          <w:spacing w:val="-11"/>
          <w:sz w:val="32"/>
          <w:szCs w:val="32"/>
          <w:highlight w:val="none"/>
          <w:u w:val="none"/>
          <w:lang w:val="en-US" w:eastAsia="zh-CN"/>
          <w14:textFill>
            <w14:solidFill>
              <w14:schemeClr w14:val="tx1"/>
            </w14:solidFill>
          </w14:textFill>
        </w:rPr>
      </w:pPr>
      <w:r>
        <w:rPr>
          <w:rFonts w:hint="eastAsia" w:ascii="宋体" w:hAnsi="宋体" w:eastAsia="宋体" w:cs="宋体"/>
          <w:b/>
          <w:i w:val="0"/>
          <w:color w:val="000000" w:themeColor="text1"/>
          <w:spacing w:val="-11"/>
          <w:sz w:val="32"/>
          <w:szCs w:val="32"/>
          <w:highlight w:val="none"/>
          <w:u w:val="none"/>
          <w:lang w:val="en-US" w:eastAsia="zh-CN"/>
          <w14:textFill>
            <w14:solidFill>
              <w14:schemeClr w14:val="tx1"/>
            </w14:solidFill>
          </w14:textFill>
        </w:rPr>
        <w:t>2021年100万元以上（含）特定目标类部门预算项目绩效目标自评</w:t>
      </w:r>
    </w:p>
    <w:p>
      <w:pPr>
        <w:bidi w:val="0"/>
        <w:jc w:val="center"/>
        <w:rPr>
          <w:rFonts w:hint="eastAsia" w:ascii="宋体" w:hAnsi="宋体" w:cs="宋体"/>
          <w:b w:val="0"/>
          <w:bCs/>
          <w:i w:val="0"/>
          <w:color w:val="000000" w:themeColor="text1"/>
          <w:sz w:val="32"/>
          <w:szCs w:val="32"/>
          <w:highlight w:val="none"/>
          <w:u w:val="none"/>
          <w:lang w:val="en-US" w:eastAsia="zh-CN"/>
          <w14:textFill>
            <w14:solidFill>
              <w14:schemeClr w14:val="tx1"/>
            </w14:solidFill>
          </w14:textFill>
        </w:rPr>
      </w:pPr>
      <w:r>
        <w:rPr>
          <w:rFonts w:hint="eastAsia" w:ascii="宋体" w:hAnsi="宋体" w:cs="宋体"/>
          <w:b w:val="0"/>
          <w:bCs/>
          <w:i w:val="0"/>
          <w:color w:val="000000" w:themeColor="text1"/>
          <w:sz w:val="32"/>
          <w:szCs w:val="32"/>
          <w:highlight w:val="none"/>
          <w:u w:val="none"/>
          <w:lang w:val="en-US" w:eastAsia="zh-CN"/>
          <w14:textFill>
            <w14:solidFill>
              <w14:schemeClr w14:val="tx1"/>
            </w14:solidFill>
          </w14:textFill>
        </w:rPr>
        <w:t>（“12348”藏汉双语法网四川子系统）</w:t>
      </w:r>
    </w:p>
    <w:p>
      <w:pPr>
        <w:bidi w:val="0"/>
        <w:rPr>
          <w:color w:val="000000" w:themeColor="text1"/>
          <w14:textFill>
            <w14:solidFill>
              <w14:schemeClr w14:val="tx1"/>
            </w14:solidFill>
          </w14:textFill>
        </w:rPr>
      </w:pPr>
    </w:p>
    <w:tbl>
      <w:tblPr>
        <w:tblStyle w:val="14"/>
        <w:tblW w:w="9813"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213"/>
        <w:gridCol w:w="953"/>
        <w:gridCol w:w="1155"/>
        <w:gridCol w:w="1680"/>
        <w:gridCol w:w="1845"/>
        <w:gridCol w:w="19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4" w:hRule="atLeast"/>
          <w:jc w:val="center"/>
        </w:trPr>
        <w:tc>
          <w:tcPr>
            <w:tcW w:w="31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主管部门及代码</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四川省司法厅-207</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实施单位</w:t>
            </w: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sz w:val="16"/>
                <w:szCs w:val="16"/>
                <w:highlight w:val="none"/>
                <w:u w:val="none"/>
                <w14:textFill>
                  <w14:solidFill>
                    <w14:schemeClr w14:val="tx1"/>
                  </w14:solidFill>
                </w14:textFill>
              </w:rPr>
              <w:t>四川省司法厅机关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1" w:hRule="atLeast"/>
          <w:jc w:val="center"/>
        </w:trPr>
        <w:tc>
          <w:tcPr>
            <w:tcW w:w="316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项目预算</w:t>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执行情况</w:t>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（万元）</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 xml:space="preserve"> 预算数：</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294.49</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 xml:space="preserve"> 执行数：</w:t>
            </w: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293.74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5" w:hRule="atLeast"/>
          <w:jc w:val="center"/>
        </w:trPr>
        <w:tc>
          <w:tcPr>
            <w:tcW w:w="31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财政拨款</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294.49</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财政拨款</w:t>
            </w: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293.74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1" w:hRule="atLeast"/>
          <w:jc w:val="center"/>
        </w:trPr>
        <w:tc>
          <w:tcPr>
            <w:tcW w:w="31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其他资金</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其他资金</w:t>
            </w: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 w:hRule="atLeast"/>
          <w:jc w:val="center"/>
        </w:trPr>
        <w:tc>
          <w:tcPr>
            <w:tcW w:w="22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完成情况</w:t>
            </w:r>
          </w:p>
        </w:tc>
        <w:tc>
          <w:tcPr>
            <w:tcW w:w="37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预期目标</w:t>
            </w:r>
          </w:p>
        </w:tc>
        <w:tc>
          <w:tcPr>
            <w:tcW w:w="38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7" w:hRule="atLeast"/>
          <w:jc w:val="center"/>
        </w:trPr>
        <w:tc>
          <w:tcPr>
            <w:tcW w:w="2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3788"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color w:val="000000" w:themeColor="text1"/>
                <w:kern w:val="2"/>
                <w:sz w:val="16"/>
                <w:szCs w:val="16"/>
                <w:lang w:val="en-US" w:eastAsia="zh-CN" w:bidi="ar-SA"/>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实现12348四川法网服务功能的拓展延伸，整合四川省公共法律服务资源，面向公众提供公平、普惠、精准的法律服务。</w:t>
            </w:r>
          </w:p>
        </w:tc>
        <w:tc>
          <w:tcPr>
            <w:tcW w:w="3812"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实现12348四川法网服务功能的拓展延伸，整合四川省公共法律服务资源，面向公众提供公平、普惠、精准的法律服务。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3" w:hRule="atLeast"/>
          <w:jc w:val="center"/>
        </w:trPr>
        <w:tc>
          <w:tcPr>
            <w:tcW w:w="221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年度绩效指标完成情况</w:t>
            </w:r>
          </w:p>
        </w:tc>
        <w:tc>
          <w:tcPr>
            <w:tcW w:w="953" w:type="dxa"/>
            <w:tcBorders>
              <w:top w:val="single" w:color="000000" w:sz="4" w:space="0"/>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指标</w:t>
            </w:r>
          </w:p>
        </w:tc>
        <w:tc>
          <w:tcPr>
            <w:tcW w:w="115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指标</w:t>
            </w:r>
          </w:p>
        </w:tc>
        <w:tc>
          <w:tcPr>
            <w:tcW w:w="168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指标</w:t>
            </w:r>
          </w:p>
        </w:tc>
        <w:tc>
          <w:tcPr>
            <w:tcW w:w="184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预期指标值</w:t>
            </w:r>
          </w:p>
        </w:tc>
        <w:tc>
          <w:tcPr>
            <w:tcW w:w="196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5" w:hRule="atLeast"/>
          <w:jc w:val="center"/>
        </w:trPr>
        <w:tc>
          <w:tcPr>
            <w:tcW w:w="2213" w:type="dxa"/>
            <w:vMerge w:val="continue"/>
            <w:tcBorders>
              <w:left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9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指标</w:t>
            </w: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数量指标</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完成建设的数量</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建设“12348”藏汉双语法网四川子平台门户网站1个。建设“12348”藏汉双语法网四川子平台移动端系统1个。建设“12348”藏汉双语法网四川子平台后台管理系统1个</w:t>
            </w:r>
          </w:p>
        </w:tc>
        <w:tc>
          <w:tcPr>
            <w:tcW w:w="1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建设“12348”藏汉双语法网四川子平台门户网站1个。建设“12348”藏汉双语法网四川子平台移动端系统1个。建设“12348”藏汉双语法网四川子平台后台管理系统1个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18" w:hRule="atLeast"/>
          <w:jc w:val="center"/>
        </w:trPr>
        <w:tc>
          <w:tcPr>
            <w:tcW w:w="2213" w:type="dxa"/>
            <w:vMerge w:val="continue"/>
            <w:tcBorders>
              <w:left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9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质量指标</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“12348”藏汉双语法网四川子系统项目建设质量</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“12348”藏汉双语法网四川子系统建设完成后，实现设定目标：实现12348四川法网服务功能的拓展延伸，整合四川省公共法律服务资源，面向公众提供公平、普惠、精准的法律服务。</w:t>
            </w:r>
          </w:p>
        </w:tc>
        <w:tc>
          <w:tcPr>
            <w:tcW w:w="1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“12348”藏汉双语法网四川子系统建设完成后，实现设定目标：实现12348四川法网服务功能的拓展延伸，整合四川省公共法律服务资源，面向公众提供公平、普惠、精准的法律服务。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21" w:hRule="atLeast"/>
          <w:jc w:val="center"/>
        </w:trPr>
        <w:tc>
          <w:tcPr>
            <w:tcW w:w="2213" w:type="dxa"/>
            <w:vMerge w:val="continue"/>
            <w:tcBorders>
              <w:left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9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时效指标</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“12348”藏汉双语法网四川子系统项目完成时间</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2021年12月31日以前完成项目年度计划，根据合同完成支付。</w:t>
            </w:r>
          </w:p>
        </w:tc>
        <w:tc>
          <w:tcPr>
            <w:tcW w:w="1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2021年12月31日以前完成项目年度计划，根据合同完成支付。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46" w:hRule="atLeast"/>
          <w:jc w:val="center"/>
        </w:trPr>
        <w:tc>
          <w:tcPr>
            <w:tcW w:w="2213" w:type="dxa"/>
            <w:vMerge w:val="continue"/>
            <w:tcBorders>
              <w:left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9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可持续影响指标</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项目覆盖范围</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“12348”藏汉法网四川子平台覆盖司法行政各项服务业务</w:t>
            </w:r>
          </w:p>
        </w:tc>
        <w:tc>
          <w:tcPr>
            <w:tcW w:w="1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“12348”藏汉法网四川子平台覆盖司法行政各项服务业务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5" w:hRule="atLeast"/>
          <w:jc w:val="center"/>
        </w:trPr>
        <w:tc>
          <w:tcPr>
            <w:tcW w:w="221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95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满意</w:t>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度指标</w:t>
            </w:r>
          </w:p>
        </w:tc>
        <w:tc>
          <w:tcPr>
            <w:tcW w:w="115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满意度指标</w:t>
            </w:r>
          </w:p>
        </w:tc>
        <w:tc>
          <w:tcPr>
            <w:tcW w:w="168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服务对象满意度</w:t>
            </w:r>
          </w:p>
        </w:tc>
        <w:tc>
          <w:tcPr>
            <w:tcW w:w="184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服务对象满意度达到90%以上。</w:t>
            </w:r>
          </w:p>
        </w:tc>
        <w:tc>
          <w:tcPr>
            <w:tcW w:w="196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服务对象满意度达到90%以上。</w:t>
            </w:r>
          </w:p>
        </w:tc>
      </w:tr>
    </w:tbl>
    <w:p>
      <w:pPr>
        <w:keepNext w:val="0"/>
        <w:keepLines w:val="0"/>
        <w:pageBreakBefore w:val="0"/>
        <w:widowControl/>
        <w:suppressLineNumbers w:val="0"/>
        <w:kinsoku/>
        <w:wordWrap/>
        <w:overflowPunct/>
        <w:topLinePunct w:val="0"/>
        <w:autoSpaceDE/>
        <w:autoSpaceDN/>
        <w:bidi w:val="0"/>
        <w:adjustRightInd/>
        <w:snapToGrid/>
        <w:spacing w:beforeAutospacing="0" w:line="560" w:lineRule="exact"/>
        <w:ind w:left="4176" w:hanging="3890" w:hangingChars="1300"/>
        <w:jc w:val="center"/>
        <w:textAlignment w:val="center"/>
        <w:rPr>
          <w:rFonts w:hint="eastAsia" w:ascii="宋体" w:hAnsi="宋体" w:eastAsia="宋体" w:cs="宋体"/>
          <w:b/>
          <w:i w:val="0"/>
          <w:color w:val="000000" w:themeColor="text1"/>
          <w:spacing w:val="-11"/>
          <w:sz w:val="32"/>
          <w:szCs w:val="32"/>
          <w:highlight w:val="none"/>
          <w:u w:val="none"/>
          <w:lang w:val="en-US" w:eastAsia="zh-CN"/>
          <w14:textFill>
            <w14:solidFill>
              <w14:schemeClr w14:val="tx1"/>
            </w14:solidFill>
          </w14:textFill>
        </w:rPr>
      </w:pPr>
      <w:r>
        <w:rPr>
          <w:rFonts w:hint="eastAsia" w:ascii="宋体" w:hAnsi="宋体" w:eastAsia="宋体" w:cs="宋体"/>
          <w:b/>
          <w:i w:val="0"/>
          <w:color w:val="000000" w:themeColor="text1"/>
          <w:spacing w:val="-11"/>
          <w:sz w:val="32"/>
          <w:szCs w:val="32"/>
          <w:highlight w:val="none"/>
          <w:u w:val="none"/>
          <w:lang w:val="en-US" w:eastAsia="zh-CN"/>
          <w14:textFill>
            <w14:solidFill>
              <w14:schemeClr w14:val="tx1"/>
            </w14:solidFill>
          </w14:textFill>
        </w:rPr>
        <w:t>2021年100万元以上（含）特定目标类部门预算项目绩效目标自评</w:t>
      </w:r>
    </w:p>
    <w:p>
      <w:pPr>
        <w:keepNext w:val="0"/>
        <w:keepLines w:val="0"/>
        <w:pageBreakBefore w:val="0"/>
        <w:kinsoku/>
        <w:wordWrap/>
        <w:overflowPunct/>
        <w:topLinePunct w:val="0"/>
        <w:autoSpaceDE/>
        <w:autoSpaceDN/>
        <w:bidi w:val="0"/>
        <w:adjustRightInd/>
        <w:snapToGrid/>
        <w:spacing w:line="560" w:lineRule="exact"/>
        <w:jc w:val="center"/>
        <w:rPr>
          <w:rFonts w:hint="eastAsia" w:ascii="宋体" w:hAnsi="宋体" w:cs="宋体"/>
          <w:b w:val="0"/>
          <w:bCs/>
          <w:i w:val="0"/>
          <w:color w:val="000000" w:themeColor="text1"/>
          <w:sz w:val="32"/>
          <w:szCs w:val="32"/>
          <w:highlight w:val="none"/>
          <w:u w:val="none"/>
          <w:lang w:val="en-US" w:eastAsia="zh-CN"/>
          <w14:textFill>
            <w14:solidFill>
              <w14:schemeClr w14:val="tx1"/>
            </w14:solidFill>
          </w14:textFill>
        </w:rPr>
      </w:pPr>
      <w:r>
        <w:rPr>
          <w:rFonts w:hint="eastAsia" w:ascii="宋体" w:hAnsi="宋体" w:cs="宋体"/>
          <w:b w:val="0"/>
          <w:bCs/>
          <w:i w:val="0"/>
          <w:color w:val="000000" w:themeColor="text1"/>
          <w:sz w:val="32"/>
          <w:szCs w:val="32"/>
          <w:highlight w:val="none"/>
          <w:u w:val="none"/>
          <w:lang w:val="en-US" w:eastAsia="zh-CN"/>
          <w14:textFill>
            <w14:solidFill>
              <w14:schemeClr w14:val="tx1"/>
            </w14:solidFill>
          </w14:textFill>
        </w:rPr>
        <w:t>（智能辅助办案语音识别系统）</w:t>
      </w:r>
    </w:p>
    <w:p>
      <w:pPr>
        <w:bidi w:val="0"/>
        <w:rPr>
          <w:color w:val="000000" w:themeColor="text1"/>
          <w14:textFill>
            <w14:solidFill>
              <w14:schemeClr w14:val="tx1"/>
            </w14:solidFill>
          </w14:textFill>
        </w:rPr>
      </w:pPr>
    </w:p>
    <w:tbl>
      <w:tblPr>
        <w:tblStyle w:val="14"/>
        <w:tblW w:w="9813"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213"/>
        <w:gridCol w:w="953"/>
        <w:gridCol w:w="1155"/>
        <w:gridCol w:w="1680"/>
        <w:gridCol w:w="1845"/>
        <w:gridCol w:w="19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4" w:hRule="atLeast"/>
          <w:jc w:val="center"/>
        </w:trPr>
        <w:tc>
          <w:tcPr>
            <w:tcW w:w="31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主管部门及代码</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四川省司法厅-207</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实施单位</w:t>
            </w: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sz w:val="16"/>
                <w:szCs w:val="16"/>
                <w:highlight w:val="none"/>
                <w:u w:val="none"/>
                <w14:textFill>
                  <w14:solidFill>
                    <w14:schemeClr w14:val="tx1"/>
                  </w14:solidFill>
                </w14:textFill>
              </w:rPr>
              <w:t>四川省司法厅机关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1" w:hRule="atLeast"/>
          <w:jc w:val="center"/>
        </w:trPr>
        <w:tc>
          <w:tcPr>
            <w:tcW w:w="316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项目预算</w:t>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执行情况</w:t>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（万元）</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 xml:space="preserve"> 预算数：</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686.46</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 xml:space="preserve"> 执行数：</w:t>
            </w: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685.43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5" w:hRule="atLeast"/>
          <w:jc w:val="center"/>
        </w:trPr>
        <w:tc>
          <w:tcPr>
            <w:tcW w:w="31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财政拨款</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686.46</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财政拨款</w:t>
            </w: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685.43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1" w:hRule="atLeast"/>
          <w:jc w:val="center"/>
        </w:trPr>
        <w:tc>
          <w:tcPr>
            <w:tcW w:w="31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其他资金</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其他资金</w:t>
            </w: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 w:hRule="atLeast"/>
          <w:jc w:val="center"/>
        </w:trPr>
        <w:tc>
          <w:tcPr>
            <w:tcW w:w="22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完成情况</w:t>
            </w:r>
          </w:p>
        </w:tc>
        <w:tc>
          <w:tcPr>
            <w:tcW w:w="37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预期目标</w:t>
            </w:r>
          </w:p>
        </w:tc>
        <w:tc>
          <w:tcPr>
            <w:tcW w:w="38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7" w:hRule="atLeast"/>
          <w:jc w:val="center"/>
        </w:trPr>
        <w:tc>
          <w:tcPr>
            <w:tcW w:w="2213"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both"/>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3788"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color w:val="000000" w:themeColor="text1"/>
                <w:kern w:val="2"/>
                <w:sz w:val="16"/>
                <w:szCs w:val="16"/>
                <w:lang w:val="en-US" w:eastAsia="zh-CN" w:bidi="ar-SA"/>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四川省司法行政智能辅助办案语音识别系统建设遵循“数据集中、统一平台、智能识别、综合服务”的建设方向，建设面向公共法律服务、人民调解、社区矫正等业务的智能语音识别系统，实现人机语音交互，提高公共法律服务效率，实现工作智能化。</w:t>
            </w:r>
          </w:p>
        </w:tc>
        <w:tc>
          <w:tcPr>
            <w:tcW w:w="3812"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四川省司法行政智能辅助办案语音识别系统建设遵循“数据集中、统一平台、智能识别、综合服务”的建设方向，建设面向公共法律服务、人民调解、社区矫正等业务的智能语音识别系统，实现人机语音交互，提高公共法律服务效率，实现工作智能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9" w:hRule="atLeast"/>
          <w:jc w:val="center"/>
        </w:trPr>
        <w:tc>
          <w:tcPr>
            <w:tcW w:w="22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年度绩效指标完成情况</w:t>
            </w:r>
          </w:p>
        </w:tc>
        <w:tc>
          <w:tcPr>
            <w:tcW w:w="9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一级</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指标</w:t>
            </w: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二级</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指标</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三级</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指标</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预期指标值</w:t>
            </w:r>
          </w:p>
        </w:tc>
        <w:tc>
          <w:tcPr>
            <w:tcW w:w="1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5" w:hRule="atLeast"/>
          <w:jc w:val="center"/>
        </w:trPr>
        <w:tc>
          <w:tcPr>
            <w:tcW w:w="22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9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完成</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指标</w:t>
            </w:r>
          </w:p>
        </w:tc>
        <w:tc>
          <w:tcPr>
            <w:tcW w:w="115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数量指标</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四川省司法行政智能辅助办案语音识别系统建成系统数量</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项目完成后建成智能笔录系统、智能会议系统</w:t>
            </w:r>
          </w:p>
        </w:tc>
        <w:tc>
          <w:tcPr>
            <w:tcW w:w="1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项目完成后建成智能笔录系统、智能会议系统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5" w:hRule="atLeast"/>
          <w:jc w:val="center"/>
        </w:trPr>
        <w:tc>
          <w:tcPr>
            <w:tcW w:w="22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9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5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四川省司法行政智能辅助办案语音识别系统建成平台数量</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项目完成后建成智能语音基础平台、智能语音服务平台、</w:t>
            </w:r>
          </w:p>
        </w:tc>
        <w:tc>
          <w:tcPr>
            <w:tcW w:w="1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项目完成后建成智能语音基础平台、智能语音服务平台、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5" w:hRule="atLeast"/>
          <w:jc w:val="center"/>
        </w:trPr>
        <w:tc>
          <w:tcPr>
            <w:tcW w:w="22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9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质量指标</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四川省司法行政智能辅助办案语音识别系统项目建成后实现</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四川省司法行政智能辅助办案语音识别系统项目建设完成后，实现设定目标：人机语音交互，提高公共法律服务效率，实现工作智能化。</w:t>
            </w:r>
          </w:p>
        </w:tc>
        <w:tc>
          <w:tcPr>
            <w:tcW w:w="1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四川省司法行政智能辅助办案语音识别系统项目建设完成后，实现设定目标：实现人机语音交互，提高公共法律服务效率，实现工作智能化。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5" w:hRule="atLeast"/>
          <w:jc w:val="center"/>
        </w:trPr>
        <w:tc>
          <w:tcPr>
            <w:tcW w:w="22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9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时效指标</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四川省司法行政智能辅助办案语音识别系统项目完成时间</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2021年12月31日以前完成项目年度计划，根据合同完成支付。</w:t>
            </w:r>
          </w:p>
        </w:tc>
        <w:tc>
          <w:tcPr>
            <w:tcW w:w="1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2021年12月31日以前完成项目年度计划，根据合同完成支付。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35" w:hRule="atLeast"/>
          <w:jc w:val="center"/>
        </w:trPr>
        <w:tc>
          <w:tcPr>
            <w:tcW w:w="22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9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可持续影响指标</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四川省司法行政智能辅助办案语音识别系统覆盖范围</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建设省、市州、区县、乡镇四级语音识别分析管理，呈现一个多级别多层次的信息架构，为司法厅及下辖司法局（所）建设面向海量调解语音的智能转录应用系统</w:t>
            </w:r>
          </w:p>
        </w:tc>
        <w:tc>
          <w:tcPr>
            <w:tcW w:w="1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建设省、市州、区县、乡镇四级语音识别分析管理，呈现一个多级别多层次的信息架构，为司法厅及下辖司法局（所）建设面向海量调解语音的智能转录应用系统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0" w:hRule="atLeast"/>
          <w:jc w:val="center"/>
        </w:trPr>
        <w:tc>
          <w:tcPr>
            <w:tcW w:w="22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9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满意</w:t>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度指标</w:t>
            </w: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满意度指标</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系统受众人群满意度</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系统受众人群满意度达到90%以上。</w:t>
            </w:r>
          </w:p>
        </w:tc>
        <w:tc>
          <w:tcPr>
            <w:tcW w:w="1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系统受众人群满意度达到90%以上。</w:t>
            </w:r>
          </w:p>
        </w:tc>
      </w:tr>
    </w:tbl>
    <w:p>
      <w:pPr>
        <w:keepNext w:val="0"/>
        <w:keepLines w:val="0"/>
        <w:pageBreakBefore w:val="0"/>
        <w:widowControl/>
        <w:suppressLineNumbers w:val="0"/>
        <w:kinsoku/>
        <w:wordWrap/>
        <w:overflowPunct/>
        <w:topLinePunct w:val="0"/>
        <w:autoSpaceDE/>
        <w:autoSpaceDN/>
        <w:bidi w:val="0"/>
        <w:adjustRightInd/>
        <w:snapToGrid/>
        <w:spacing w:beforeAutospacing="0" w:line="560" w:lineRule="exact"/>
        <w:ind w:left="4176" w:hanging="3968" w:hangingChars="1300"/>
        <w:jc w:val="center"/>
        <w:textAlignment w:val="center"/>
        <w:rPr>
          <w:rFonts w:hint="eastAsia" w:ascii="宋体" w:hAnsi="宋体" w:eastAsia="宋体" w:cs="宋体"/>
          <w:b/>
          <w:i w:val="0"/>
          <w:color w:val="000000" w:themeColor="text1"/>
          <w:spacing w:val="-6"/>
          <w:w w:val="99"/>
          <w:sz w:val="32"/>
          <w:szCs w:val="32"/>
          <w:highlight w:val="none"/>
          <w:u w:val="none"/>
          <w:lang w:val="en-US" w:eastAsia="zh-CN"/>
          <w14:textFill>
            <w14:solidFill>
              <w14:schemeClr w14:val="tx1"/>
            </w14:solidFill>
          </w14:textFill>
        </w:rPr>
      </w:pPr>
      <w:r>
        <w:rPr>
          <w:rFonts w:hint="eastAsia" w:ascii="宋体" w:hAnsi="宋体" w:eastAsia="宋体" w:cs="宋体"/>
          <w:b/>
          <w:i w:val="0"/>
          <w:color w:val="000000" w:themeColor="text1"/>
          <w:spacing w:val="-6"/>
          <w:w w:val="99"/>
          <w:sz w:val="32"/>
          <w:szCs w:val="32"/>
          <w:highlight w:val="none"/>
          <w:u w:val="none"/>
          <w:lang w:val="en-US" w:eastAsia="zh-CN"/>
          <w14:textFill>
            <w14:solidFill>
              <w14:schemeClr w14:val="tx1"/>
            </w14:solidFill>
          </w14:textFill>
        </w:rPr>
        <w:t>2021年100万元以上（含）特定目标类部门预算项目绩效目标自评</w:t>
      </w:r>
    </w:p>
    <w:p>
      <w:pPr>
        <w:keepNext w:val="0"/>
        <w:keepLines w:val="0"/>
        <w:pageBreakBefore w:val="0"/>
        <w:kinsoku/>
        <w:wordWrap/>
        <w:overflowPunct/>
        <w:topLinePunct w:val="0"/>
        <w:autoSpaceDE/>
        <w:autoSpaceDN/>
        <w:bidi w:val="0"/>
        <w:adjustRightInd/>
        <w:snapToGrid/>
        <w:spacing w:line="560" w:lineRule="exact"/>
        <w:jc w:val="center"/>
        <w:rPr>
          <w:rFonts w:hint="eastAsia" w:ascii="宋体" w:hAnsi="宋体" w:cs="宋体"/>
          <w:b w:val="0"/>
          <w:bCs/>
          <w:i w:val="0"/>
          <w:color w:val="000000" w:themeColor="text1"/>
          <w:sz w:val="32"/>
          <w:szCs w:val="32"/>
          <w:highlight w:val="none"/>
          <w:u w:val="none"/>
          <w:lang w:val="en-US" w:eastAsia="zh-CN"/>
          <w14:textFill>
            <w14:solidFill>
              <w14:schemeClr w14:val="tx1"/>
            </w14:solidFill>
          </w14:textFill>
        </w:rPr>
      </w:pPr>
      <w:r>
        <w:rPr>
          <w:rFonts w:hint="eastAsia" w:ascii="宋体" w:hAnsi="宋体" w:cs="宋体"/>
          <w:b w:val="0"/>
          <w:bCs/>
          <w:i w:val="0"/>
          <w:color w:val="000000" w:themeColor="text1"/>
          <w:sz w:val="32"/>
          <w:szCs w:val="32"/>
          <w:highlight w:val="none"/>
          <w:u w:val="none"/>
          <w:lang w:val="en-US" w:eastAsia="zh-CN"/>
          <w14:textFill>
            <w14:solidFill>
              <w14:schemeClr w14:val="tx1"/>
            </w14:solidFill>
          </w14:textFill>
        </w:rPr>
        <w:t>（重点业务应用系统）</w:t>
      </w:r>
    </w:p>
    <w:p>
      <w:pPr>
        <w:rPr>
          <w:color w:val="000000" w:themeColor="text1"/>
          <w14:textFill>
            <w14:solidFill>
              <w14:schemeClr w14:val="tx1"/>
            </w14:solidFill>
          </w14:textFill>
        </w:rPr>
      </w:pPr>
    </w:p>
    <w:tbl>
      <w:tblPr>
        <w:tblStyle w:val="14"/>
        <w:tblW w:w="9813"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213"/>
        <w:gridCol w:w="953"/>
        <w:gridCol w:w="1155"/>
        <w:gridCol w:w="1680"/>
        <w:gridCol w:w="1845"/>
        <w:gridCol w:w="19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4" w:hRule="atLeast"/>
          <w:jc w:val="center"/>
        </w:trPr>
        <w:tc>
          <w:tcPr>
            <w:tcW w:w="31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主管部门及代码</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四川省司法厅-207</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实施单位</w:t>
            </w: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sz w:val="16"/>
                <w:szCs w:val="16"/>
                <w:highlight w:val="none"/>
                <w:u w:val="none"/>
                <w14:textFill>
                  <w14:solidFill>
                    <w14:schemeClr w14:val="tx1"/>
                  </w14:solidFill>
                </w14:textFill>
              </w:rPr>
              <w:t>四川省司法厅机关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1" w:hRule="atLeast"/>
          <w:jc w:val="center"/>
        </w:trPr>
        <w:tc>
          <w:tcPr>
            <w:tcW w:w="316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项目预算</w:t>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执行情况</w:t>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（万元）</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 xml:space="preserve"> 预算数：</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278.58</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 xml:space="preserve"> 执行数：</w:t>
            </w: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277.77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5" w:hRule="atLeast"/>
          <w:jc w:val="center"/>
        </w:trPr>
        <w:tc>
          <w:tcPr>
            <w:tcW w:w="31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财政拨款</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278.58</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财政拨款</w:t>
            </w: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277.77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1" w:hRule="atLeast"/>
          <w:jc w:val="center"/>
        </w:trPr>
        <w:tc>
          <w:tcPr>
            <w:tcW w:w="31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其他资金</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其他资金</w:t>
            </w: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 w:hRule="atLeast"/>
          <w:jc w:val="center"/>
        </w:trPr>
        <w:tc>
          <w:tcPr>
            <w:tcW w:w="22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完成情况</w:t>
            </w:r>
          </w:p>
        </w:tc>
        <w:tc>
          <w:tcPr>
            <w:tcW w:w="37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预期目标</w:t>
            </w:r>
          </w:p>
        </w:tc>
        <w:tc>
          <w:tcPr>
            <w:tcW w:w="38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7" w:hRule="atLeast"/>
          <w:jc w:val="center"/>
        </w:trPr>
        <w:tc>
          <w:tcPr>
            <w:tcW w:w="2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3788"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color w:val="000000" w:themeColor="text1"/>
                <w:kern w:val="2"/>
                <w:sz w:val="16"/>
                <w:szCs w:val="16"/>
                <w:lang w:val="en-US" w:eastAsia="zh-CN" w:bidi="ar-SA"/>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按照司法部新要求、新规范对现有业务系统进行完善升级。</w:t>
            </w:r>
          </w:p>
        </w:tc>
        <w:tc>
          <w:tcPr>
            <w:tcW w:w="3812"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按照司法部新要求、新规范对现有业务系统进行完善升级。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3" w:hRule="atLeast"/>
          <w:jc w:val="center"/>
        </w:trPr>
        <w:tc>
          <w:tcPr>
            <w:tcW w:w="221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年度绩效指标完成情况</w:t>
            </w:r>
          </w:p>
        </w:tc>
        <w:tc>
          <w:tcPr>
            <w:tcW w:w="953" w:type="dxa"/>
            <w:tcBorders>
              <w:top w:val="single" w:color="000000" w:sz="4" w:space="0"/>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指标</w:t>
            </w:r>
          </w:p>
        </w:tc>
        <w:tc>
          <w:tcPr>
            <w:tcW w:w="115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指标</w:t>
            </w:r>
          </w:p>
        </w:tc>
        <w:tc>
          <w:tcPr>
            <w:tcW w:w="168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指标</w:t>
            </w:r>
          </w:p>
        </w:tc>
        <w:tc>
          <w:tcPr>
            <w:tcW w:w="184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预期指标值</w:t>
            </w:r>
          </w:p>
        </w:tc>
        <w:tc>
          <w:tcPr>
            <w:tcW w:w="196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5" w:hRule="atLeast"/>
          <w:jc w:val="center"/>
        </w:trPr>
        <w:tc>
          <w:tcPr>
            <w:tcW w:w="2213" w:type="dxa"/>
            <w:vMerge w:val="continue"/>
            <w:tcBorders>
              <w:left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9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指标</w:t>
            </w:r>
          </w:p>
        </w:tc>
        <w:tc>
          <w:tcPr>
            <w:tcW w:w="115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数量指标</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重点业务应用系统项目完成建设的数量</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完成建设仲裁业务管理系统1套、公共法律服务诚信公益平台1套</w:t>
            </w:r>
          </w:p>
        </w:tc>
        <w:tc>
          <w:tcPr>
            <w:tcW w:w="1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完成建设仲裁业务管理系统1套、公共法律服务诚信公益平台1套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5" w:hRule="atLeast"/>
          <w:jc w:val="center"/>
        </w:trPr>
        <w:tc>
          <w:tcPr>
            <w:tcW w:w="2213" w:type="dxa"/>
            <w:vMerge w:val="continue"/>
            <w:tcBorders>
              <w:left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9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5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重点业务应用系统改造系统的数量</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移动协同办公系统改造、智能移动调解系统改造、业务系统改造、司法行政工作平台国产办公软件兼容性改造等</w:t>
            </w:r>
          </w:p>
        </w:tc>
        <w:tc>
          <w:tcPr>
            <w:tcW w:w="1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移动协同办公系统改造、智能移动调解系统改造、业务系统改造、司法行政工作平台国产办公软件兼容性改造等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5" w:hRule="atLeast"/>
          <w:jc w:val="center"/>
        </w:trPr>
        <w:tc>
          <w:tcPr>
            <w:tcW w:w="2213" w:type="dxa"/>
            <w:vMerge w:val="continue"/>
            <w:tcBorders>
              <w:left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9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质量指标</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重点业务应用系统项目建设质量</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重点业务应用系统建设完成后，实现设定目标</w:t>
            </w:r>
          </w:p>
        </w:tc>
        <w:tc>
          <w:tcPr>
            <w:tcW w:w="1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重点业务应用系统建设完成后，实现设定目标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5" w:hRule="atLeast"/>
          <w:jc w:val="center"/>
        </w:trPr>
        <w:tc>
          <w:tcPr>
            <w:tcW w:w="2213" w:type="dxa"/>
            <w:vMerge w:val="continue"/>
            <w:tcBorders>
              <w:left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9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时效指标</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重点业务应用系统项目完成时间</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2021年12月31日以前完成项目年度计划，根据合同完成支付。</w:t>
            </w:r>
          </w:p>
        </w:tc>
        <w:tc>
          <w:tcPr>
            <w:tcW w:w="1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2021年12月31日以前完成项目年度计划，根据合同完成支付。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2213" w:type="dxa"/>
            <w:vMerge w:val="continue"/>
            <w:tcBorders>
              <w:left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9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可持续影响指标</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重点业务应用系统项目覆盖范围</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重点业务应用系统覆盖司法行政各项服务业务</w:t>
            </w:r>
          </w:p>
        </w:tc>
        <w:tc>
          <w:tcPr>
            <w:tcW w:w="1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重点业务应用系统覆盖司法行政各项服务业务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7" w:hRule="atLeast"/>
          <w:jc w:val="center"/>
        </w:trPr>
        <w:tc>
          <w:tcPr>
            <w:tcW w:w="221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95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满意</w:t>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度指标</w:t>
            </w:r>
          </w:p>
        </w:tc>
        <w:tc>
          <w:tcPr>
            <w:tcW w:w="115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满意度指标</w:t>
            </w:r>
          </w:p>
        </w:tc>
        <w:tc>
          <w:tcPr>
            <w:tcW w:w="168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重点业务应用系统服务对象满意度</w:t>
            </w:r>
          </w:p>
        </w:tc>
        <w:tc>
          <w:tcPr>
            <w:tcW w:w="184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spacing w:val="-6"/>
                <w:kern w:val="0"/>
                <w:sz w:val="16"/>
                <w:szCs w:val="16"/>
                <w:u w:val="none"/>
                <w:lang w:val="en-US" w:eastAsia="zh-CN" w:bidi="ar"/>
                <w14:textFill>
                  <w14:solidFill>
                    <w14:schemeClr w14:val="tx1"/>
                  </w14:solidFill>
                </w14:textFill>
              </w:rPr>
              <w:t>重点业务应用系统服务对象满意度达到90%以上。</w:t>
            </w:r>
          </w:p>
        </w:tc>
        <w:tc>
          <w:tcPr>
            <w:tcW w:w="196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spacing w:val="-6"/>
                <w:kern w:val="0"/>
                <w:sz w:val="16"/>
                <w:szCs w:val="16"/>
                <w:u w:val="none"/>
                <w:lang w:val="en-US" w:eastAsia="zh-CN" w:bidi="ar"/>
                <w14:textFill>
                  <w14:solidFill>
                    <w14:schemeClr w14:val="tx1"/>
                  </w14:solidFill>
                </w14:textFill>
              </w:rPr>
              <w:t>重点业务应用系统服务对象满意度达到90%以上。</w:t>
            </w:r>
          </w:p>
        </w:tc>
      </w:tr>
    </w:tbl>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line="560" w:lineRule="exact"/>
        <w:ind w:left="4176" w:hanging="4176" w:hangingChars="1300"/>
        <w:jc w:val="left"/>
        <w:textAlignment w:val="center"/>
        <w:rPr>
          <w:rFonts w:hint="eastAsia" w:ascii="宋体" w:hAnsi="宋体" w:eastAsia="宋体" w:cs="宋体"/>
          <w:b/>
          <w:i w:val="0"/>
          <w:color w:val="000000" w:themeColor="text1"/>
          <w:sz w:val="32"/>
          <w:szCs w:val="32"/>
          <w:highlight w:val="none"/>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line="560" w:lineRule="exact"/>
        <w:ind w:left="4176" w:hanging="4176" w:hangingChars="1300"/>
        <w:jc w:val="left"/>
        <w:textAlignment w:val="center"/>
        <w:rPr>
          <w:rFonts w:hint="eastAsia" w:ascii="宋体" w:hAnsi="宋体" w:eastAsia="宋体" w:cs="宋体"/>
          <w:b/>
          <w:i w:val="0"/>
          <w:color w:val="000000" w:themeColor="text1"/>
          <w:sz w:val="32"/>
          <w:szCs w:val="32"/>
          <w:highlight w:val="none"/>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line="560" w:lineRule="exact"/>
        <w:ind w:left="4176" w:hanging="3890" w:hangingChars="1300"/>
        <w:jc w:val="left"/>
        <w:textAlignment w:val="center"/>
        <w:rPr>
          <w:rFonts w:hint="eastAsia" w:ascii="宋体" w:hAnsi="宋体" w:eastAsia="宋体" w:cs="宋体"/>
          <w:b/>
          <w:i w:val="0"/>
          <w:color w:val="000000" w:themeColor="text1"/>
          <w:spacing w:val="-11"/>
          <w:sz w:val="32"/>
          <w:szCs w:val="32"/>
          <w:highlight w:val="none"/>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line="560" w:lineRule="exact"/>
        <w:ind w:left="4176" w:hanging="3890" w:hangingChars="1300"/>
        <w:jc w:val="center"/>
        <w:textAlignment w:val="center"/>
        <w:rPr>
          <w:rFonts w:hint="eastAsia" w:ascii="宋体" w:hAnsi="宋体" w:eastAsia="宋体" w:cs="宋体"/>
          <w:b/>
          <w:i w:val="0"/>
          <w:color w:val="000000" w:themeColor="text1"/>
          <w:spacing w:val="-11"/>
          <w:sz w:val="32"/>
          <w:szCs w:val="32"/>
          <w:highlight w:val="none"/>
          <w:u w:val="none"/>
          <w:lang w:val="en-US" w:eastAsia="zh-CN"/>
          <w14:textFill>
            <w14:solidFill>
              <w14:schemeClr w14:val="tx1"/>
            </w14:solidFill>
          </w14:textFill>
        </w:rPr>
      </w:pPr>
      <w:r>
        <w:rPr>
          <w:rFonts w:hint="eastAsia" w:ascii="宋体" w:hAnsi="宋体" w:eastAsia="宋体" w:cs="宋体"/>
          <w:b/>
          <w:i w:val="0"/>
          <w:color w:val="000000" w:themeColor="text1"/>
          <w:spacing w:val="-11"/>
          <w:sz w:val="32"/>
          <w:szCs w:val="32"/>
          <w:highlight w:val="none"/>
          <w:u w:val="none"/>
          <w:lang w:val="en-US" w:eastAsia="zh-CN"/>
          <w14:textFill>
            <w14:solidFill>
              <w14:schemeClr w14:val="tx1"/>
            </w14:solidFill>
          </w14:textFill>
        </w:rPr>
        <w:t>2021年100万元以上（含）特定目标类部门预算项目绩效目标自评</w:t>
      </w:r>
    </w:p>
    <w:p>
      <w:pPr>
        <w:jc w:val="center"/>
        <w:rPr>
          <w:rFonts w:hint="eastAsia" w:ascii="宋体" w:hAnsi="宋体" w:cs="宋体"/>
          <w:b w:val="0"/>
          <w:bCs/>
          <w:i w:val="0"/>
          <w:color w:val="000000" w:themeColor="text1"/>
          <w:sz w:val="32"/>
          <w:szCs w:val="32"/>
          <w:highlight w:val="none"/>
          <w:u w:val="none"/>
          <w:lang w:val="en-US" w:eastAsia="zh-CN"/>
          <w14:textFill>
            <w14:solidFill>
              <w14:schemeClr w14:val="tx1"/>
            </w14:solidFill>
          </w14:textFill>
        </w:rPr>
      </w:pPr>
      <w:r>
        <w:rPr>
          <w:rFonts w:hint="eastAsia" w:ascii="宋体" w:hAnsi="宋体" w:cs="宋体"/>
          <w:b w:val="0"/>
          <w:bCs/>
          <w:i w:val="0"/>
          <w:color w:val="000000" w:themeColor="text1"/>
          <w:sz w:val="32"/>
          <w:szCs w:val="32"/>
          <w:highlight w:val="none"/>
          <w:u w:val="none"/>
          <w:lang w:val="en-US" w:eastAsia="zh-CN"/>
          <w14:textFill>
            <w14:solidFill>
              <w14:schemeClr w14:val="tx1"/>
            </w14:solidFill>
          </w14:textFill>
        </w:rPr>
        <w:t>（行政执法综合管理监督信息系统）</w:t>
      </w:r>
    </w:p>
    <w:p>
      <w:pPr>
        <w:bidi w:val="0"/>
        <w:rPr>
          <w:color w:val="000000" w:themeColor="text1"/>
          <w14:textFill>
            <w14:solidFill>
              <w14:schemeClr w14:val="tx1"/>
            </w14:solidFill>
          </w14:textFill>
        </w:rPr>
      </w:pPr>
    </w:p>
    <w:tbl>
      <w:tblPr>
        <w:tblStyle w:val="14"/>
        <w:tblW w:w="9813"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213"/>
        <w:gridCol w:w="953"/>
        <w:gridCol w:w="1155"/>
        <w:gridCol w:w="1680"/>
        <w:gridCol w:w="1845"/>
        <w:gridCol w:w="19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4" w:hRule="atLeast"/>
          <w:jc w:val="center"/>
        </w:trPr>
        <w:tc>
          <w:tcPr>
            <w:tcW w:w="31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主管部门及代码</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四川省司法厅-207</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实施单位</w:t>
            </w: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sz w:val="16"/>
                <w:szCs w:val="16"/>
                <w:highlight w:val="none"/>
                <w:u w:val="none"/>
                <w14:textFill>
                  <w14:solidFill>
                    <w14:schemeClr w14:val="tx1"/>
                  </w14:solidFill>
                </w14:textFill>
              </w:rPr>
              <w:t>四川省司法厅机关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1" w:hRule="atLeast"/>
          <w:jc w:val="center"/>
        </w:trPr>
        <w:tc>
          <w:tcPr>
            <w:tcW w:w="316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项目预算</w:t>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执行情况</w:t>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（万元）</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 xml:space="preserve"> 预算数：</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128.35</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 xml:space="preserve"> 执行数：</w:t>
            </w: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51.45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5" w:hRule="atLeast"/>
          <w:jc w:val="center"/>
        </w:trPr>
        <w:tc>
          <w:tcPr>
            <w:tcW w:w="31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财政拨款</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128.35</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财政拨款</w:t>
            </w: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51.45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1" w:hRule="atLeast"/>
          <w:jc w:val="center"/>
        </w:trPr>
        <w:tc>
          <w:tcPr>
            <w:tcW w:w="31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其他资金</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其他资金</w:t>
            </w: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 w:hRule="atLeast"/>
          <w:jc w:val="center"/>
        </w:trPr>
        <w:tc>
          <w:tcPr>
            <w:tcW w:w="22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完成情况</w:t>
            </w:r>
          </w:p>
        </w:tc>
        <w:tc>
          <w:tcPr>
            <w:tcW w:w="37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预期目标</w:t>
            </w:r>
          </w:p>
        </w:tc>
        <w:tc>
          <w:tcPr>
            <w:tcW w:w="38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7" w:hRule="atLeast"/>
          <w:jc w:val="center"/>
        </w:trPr>
        <w:tc>
          <w:tcPr>
            <w:tcW w:w="2213"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3788" w:type="dxa"/>
            <w:gridSpan w:val="3"/>
            <w:tcBorders>
              <w:top w:val="single" w:color="000000" w:sz="4" w:space="0"/>
              <w:left w:val="single" w:color="000000" w:sz="4" w:space="0"/>
              <w:bottom w:val="single" w:color="auto"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eastAsia" w:ascii="宋体" w:hAnsi="宋体" w:eastAsia="宋体" w:cs="宋体"/>
                <w:color w:val="000000" w:themeColor="text1"/>
                <w:kern w:val="2"/>
                <w:sz w:val="16"/>
                <w:szCs w:val="16"/>
                <w:lang w:val="en-US" w:eastAsia="zh-CN" w:bidi="ar-SA"/>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建立覆盖全省的行政执法监督平台，通过监督平台多角度全方位对我省行政执法情况进行监督，规范我省行政执法主体的执法行为，对其是否作为，作为是否合理，程序是否合法等情况进行全面监督，对行政执法情况进行分析考核，提升行政执法质量，促进行政执法环境建设。</w:t>
            </w:r>
          </w:p>
        </w:tc>
        <w:tc>
          <w:tcPr>
            <w:tcW w:w="3812" w:type="dxa"/>
            <w:gridSpan w:val="2"/>
            <w:tcBorders>
              <w:top w:val="single" w:color="000000" w:sz="4" w:space="0"/>
              <w:left w:val="single" w:color="000000" w:sz="4" w:space="0"/>
              <w:bottom w:val="single" w:color="auto"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top"/>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建立覆盖全省的行政执法监督平台，通过监督平台多角度全方位对我省行政执法情况进行监督，规范我省行政执法主体的执法行为，对其是否作为，作为是否合理，程序是否合法等情况进行全面监督，对行政执法情况进行分析考核，提升行政执法质量，促进行政执法环境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3" w:hRule="atLeast"/>
          <w:jc w:val="center"/>
        </w:trPr>
        <w:tc>
          <w:tcPr>
            <w:tcW w:w="22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年度绩效指标完成情况</w:t>
            </w:r>
          </w:p>
        </w:tc>
        <w:tc>
          <w:tcPr>
            <w:tcW w:w="9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一级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指标</w:t>
            </w: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二级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指标</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三级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指标</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预期指标值</w:t>
            </w:r>
          </w:p>
        </w:tc>
        <w:tc>
          <w:tcPr>
            <w:tcW w:w="1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5" w:hRule="atLeast"/>
          <w:jc w:val="center"/>
        </w:trPr>
        <w:tc>
          <w:tcPr>
            <w:tcW w:w="22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9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指标</w:t>
            </w:r>
          </w:p>
        </w:tc>
        <w:tc>
          <w:tcPr>
            <w:tcW w:w="115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数量指标</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行政执法综合管理监督信息系统建成系统数量</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项目建成执法监督系统、行政执法人员和行政执法监督人员管理系统等。</w:t>
            </w:r>
          </w:p>
        </w:tc>
        <w:tc>
          <w:tcPr>
            <w:tcW w:w="1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项目建成执法监督系统、行政执法人员和行政执法监督人员管理系统等。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5" w:hRule="atLeast"/>
          <w:jc w:val="center"/>
        </w:trPr>
        <w:tc>
          <w:tcPr>
            <w:tcW w:w="22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9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5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行政执法综合管理监督信息系统建成网站数量</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bottom"/>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建立全省行政执法监督统一门户的网站，主要包括执法监督动态、执法主体、执法人员、执法职权、法律法规依据、在线投诉、公众参与等栏目</w:t>
            </w:r>
          </w:p>
        </w:tc>
        <w:tc>
          <w:tcPr>
            <w:tcW w:w="1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bottom"/>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建立全省行政执法监督统一门户的网站，主要包括执法监督动态、执法主体、执法人员、执法职权、法律法规依据、在线投诉、公众参与等栏目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5" w:hRule="atLeast"/>
          <w:jc w:val="center"/>
        </w:trPr>
        <w:tc>
          <w:tcPr>
            <w:tcW w:w="22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9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质量指标</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行政执法综合管理监督信息系统项目完成情况</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bottom"/>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政执法综合管理监督信息系统项目完成后实现既定目标，建立覆盖全省的行政执法监督平台，通过监督平台多角度全方位对我省行政执法情况进行监督，规范我省行政执法主体的执法行为，对其是否作为，作为是否合理，程序是否合法等情况进行全面监督，对行政执法情况进行分析考核，提升行政执法质量，促进行政执法环境建设。</w:t>
            </w:r>
          </w:p>
        </w:tc>
        <w:tc>
          <w:tcPr>
            <w:tcW w:w="1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bottom"/>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政执法综合管理监督信息系统项目完成后实现既定目标，建立覆盖全省的行政执法监督平台，通过监督平台多角度全方位对我省行政执法情况进行监督，规范我省行政执法主体的执法行为，对其是否作为，作为是否合理，程序是否合法等情况进行全面监督，对行政执法情况进行分析考核，提升行政执法质量，促进行政执法环境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5" w:hRule="atLeast"/>
          <w:jc w:val="center"/>
        </w:trPr>
        <w:tc>
          <w:tcPr>
            <w:tcW w:w="22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9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时效指标</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行政执法综合管理监督信息系统完成时间</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2021年12月31日以前完成项目年度计划，根据合同完成支付。</w:t>
            </w:r>
          </w:p>
        </w:tc>
        <w:tc>
          <w:tcPr>
            <w:tcW w:w="1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2021年12月31日以前完成项目年度计划，根据合同完成支付。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22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9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可持续影响指标</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行政执法综合管理监督信息系统覆盖面</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行政执法综合管理监督信息系统覆盖省市县三级级行政执法</w:t>
            </w:r>
          </w:p>
        </w:tc>
        <w:tc>
          <w:tcPr>
            <w:tcW w:w="1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行政执法综合管理监督信息系统覆盖省市县三级级行政执法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0" w:hRule="atLeast"/>
          <w:jc w:val="center"/>
        </w:trPr>
        <w:tc>
          <w:tcPr>
            <w:tcW w:w="22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9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满意</w:t>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度指标</w:t>
            </w: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满意度指标</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行政执法综合管理监督信息系统受众人群满意度</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行政执法综合管理监督信息系统受众人群满意度达到95%</w:t>
            </w:r>
          </w:p>
        </w:tc>
        <w:tc>
          <w:tcPr>
            <w:tcW w:w="1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行政执法综合管理监督信息系统受众人群满意度达到95%</w:t>
            </w:r>
          </w:p>
        </w:tc>
      </w:tr>
    </w:tbl>
    <w:p>
      <w:pPr>
        <w:bidi w:val="0"/>
        <w:rPr>
          <w:color w:val="000000" w:themeColor="text1"/>
          <w14:textFill>
            <w14:solidFill>
              <w14:schemeClr w14:val="tx1"/>
            </w14:solidFill>
          </w14:textFill>
        </w:rPr>
      </w:pPr>
    </w:p>
    <w:p>
      <w:pPr>
        <w:bidi w:val="0"/>
        <w:rPr>
          <w:color w:val="000000" w:themeColor="text1"/>
          <w14:textFill>
            <w14:solidFill>
              <w14:schemeClr w14:val="tx1"/>
            </w14:solidFill>
          </w14:textFill>
        </w:rPr>
      </w:pPr>
    </w:p>
    <w:p>
      <w:pPr>
        <w:bidi w:val="0"/>
        <w:rPr>
          <w:color w:val="000000" w:themeColor="text1"/>
          <w14:textFill>
            <w14:solidFill>
              <w14:schemeClr w14:val="tx1"/>
            </w14:solidFill>
          </w14:textFill>
        </w:rPr>
      </w:pPr>
    </w:p>
    <w:p>
      <w:pPr>
        <w:bidi w:val="0"/>
        <w:rPr>
          <w:color w:val="000000" w:themeColor="text1"/>
          <w14:textFill>
            <w14:solidFill>
              <w14:schemeClr w14:val="tx1"/>
            </w14:solidFill>
          </w14:textFill>
        </w:rPr>
      </w:pPr>
    </w:p>
    <w:p>
      <w:pPr>
        <w:bidi w:val="0"/>
        <w:rPr>
          <w:color w:val="000000" w:themeColor="text1"/>
          <w14:textFill>
            <w14:solidFill>
              <w14:schemeClr w14:val="tx1"/>
            </w14:solidFill>
          </w14:textFill>
        </w:rPr>
      </w:pPr>
    </w:p>
    <w:p>
      <w:pPr>
        <w:bidi w:val="0"/>
        <w:rPr>
          <w:color w:val="000000" w:themeColor="text1"/>
          <w14:textFill>
            <w14:solidFill>
              <w14:schemeClr w14:val="tx1"/>
            </w14:solidFill>
          </w14:textFill>
        </w:rPr>
      </w:pPr>
    </w:p>
    <w:p>
      <w:pPr>
        <w:bidi w:val="0"/>
        <w:rPr>
          <w:color w:val="000000" w:themeColor="text1"/>
          <w14:textFill>
            <w14:solidFill>
              <w14:schemeClr w14:val="tx1"/>
            </w14:solidFill>
          </w14:textFill>
        </w:rPr>
      </w:pPr>
    </w:p>
    <w:p>
      <w:pPr>
        <w:bidi w:val="0"/>
        <w:rPr>
          <w:color w:val="000000" w:themeColor="text1"/>
          <w14:textFill>
            <w14:solidFill>
              <w14:schemeClr w14:val="tx1"/>
            </w14:solidFill>
          </w14:textFill>
        </w:rPr>
      </w:pPr>
    </w:p>
    <w:p>
      <w:pPr>
        <w:bidi w:val="0"/>
        <w:rPr>
          <w:color w:val="000000" w:themeColor="text1"/>
          <w14:textFill>
            <w14:solidFill>
              <w14:schemeClr w14:val="tx1"/>
            </w14:solidFill>
          </w14:textFill>
        </w:rPr>
      </w:pPr>
    </w:p>
    <w:p>
      <w:pPr>
        <w:bidi w:val="0"/>
        <w:rPr>
          <w:color w:val="000000" w:themeColor="text1"/>
          <w14:textFill>
            <w14:solidFill>
              <w14:schemeClr w14:val="tx1"/>
            </w14:solidFill>
          </w14:textFill>
        </w:rPr>
      </w:pPr>
    </w:p>
    <w:p>
      <w:pPr>
        <w:bidi w:val="0"/>
        <w:rPr>
          <w:color w:val="000000" w:themeColor="text1"/>
          <w14:textFill>
            <w14:solidFill>
              <w14:schemeClr w14:val="tx1"/>
            </w14:solidFill>
          </w14:textFill>
        </w:rPr>
      </w:pPr>
    </w:p>
    <w:p>
      <w:pPr>
        <w:bidi w:val="0"/>
        <w:rPr>
          <w:color w:val="000000" w:themeColor="text1"/>
          <w14:textFill>
            <w14:solidFill>
              <w14:schemeClr w14:val="tx1"/>
            </w14:solidFill>
          </w14:textFill>
        </w:rPr>
      </w:pPr>
    </w:p>
    <w:p>
      <w:pPr>
        <w:bidi w:val="0"/>
        <w:rPr>
          <w:color w:val="000000" w:themeColor="text1"/>
          <w14:textFill>
            <w14:solidFill>
              <w14:schemeClr w14:val="tx1"/>
            </w14:solidFill>
          </w14:textFill>
        </w:rPr>
      </w:pPr>
    </w:p>
    <w:p>
      <w:pPr>
        <w:bidi w:val="0"/>
        <w:rPr>
          <w:color w:val="000000" w:themeColor="text1"/>
          <w14:textFill>
            <w14:solidFill>
              <w14:schemeClr w14:val="tx1"/>
            </w14:solidFill>
          </w14:textFill>
        </w:rPr>
      </w:pPr>
    </w:p>
    <w:p>
      <w:pPr>
        <w:bidi w:val="0"/>
        <w:rPr>
          <w:color w:val="000000" w:themeColor="text1"/>
          <w14:textFill>
            <w14:solidFill>
              <w14:schemeClr w14:val="tx1"/>
            </w14:solidFill>
          </w14:textFill>
        </w:rPr>
      </w:pPr>
    </w:p>
    <w:p>
      <w:pPr>
        <w:bidi w:val="0"/>
        <w:rPr>
          <w:color w:val="000000" w:themeColor="text1"/>
          <w14:textFill>
            <w14:solidFill>
              <w14:schemeClr w14:val="tx1"/>
            </w14:solidFill>
          </w14:textFill>
        </w:rPr>
      </w:pPr>
    </w:p>
    <w:p>
      <w:pPr>
        <w:bidi w:val="0"/>
        <w:rPr>
          <w:color w:val="000000" w:themeColor="text1"/>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line="560" w:lineRule="exact"/>
        <w:ind w:left="4176" w:hanging="3890" w:hangingChars="1300"/>
        <w:jc w:val="center"/>
        <w:textAlignment w:val="center"/>
        <w:rPr>
          <w:rFonts w:hint="eastAsia" w:ascii="宋体" w:hAnsi="宋体" w:eastAsia="宋体" w:cs="宋体"/>
          <w:b/>
          <w:i w:val="0"/>
          <w:color w:val="000000" w:themeColor="text1"/>
          <w:spacing w:val="-11"/>
          <w:sz w:val="32"/>
          <w:szCs w:val="32"/>
          <w:highlight w:val="none"/>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line="560" w:lineRule="exact"/>
        <w:ind w:left="4176" w:hanging="3890" w:hangingChars="1300"/>
        <w:jc w:val="center"/>
        <w:textAlignment w:val="center"/>
        <w:rPr>
          <w:rFonts w:hint="eastAsia" w:ascii="宋体" w:hAnsi="宋体" w:eastAsia="宋体" w:cs="宋体"/>
          <w:b/>
          <w:i w:val="0"/>
          <w:color w:val="000000" w:themeColor="text1"/>
          <w:spacing w:val="-11"/>
          <w:sz w:val="32"/>
          <w:szCs w:val="32"/>
          <w:highlight w:val="none"/>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line="560" w:lineRule="exact"/>
        <w:ind w:left="4176" w:hanging="3890" w:hangingChars="1300"/>
        <w:jc w:val="center"/>
        <w:textAlignment w:val="center"/>
        <w:rPr>
          <w:rFonts w:hint="eastAsia" w:ascii="宋体" w:hAnsi="宋体" w:eastAsia="宋体" w:cs="宋体"/>
          <w:b/>
          <w:i w:val="0"/>
          <w:color w:val="000000" w:themeColor="text1"/>
          <w:spacing w:val="-11"/>
          <w:sz w:val="32"/>
          <w:szCs w:val="32"/>
          <w:highlight w:val="none"/>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line="560" w:lineRule="exact"/>
        <w:ind w:left="4176" w:hanging="3890" w:hangingChars="1300"/>
        <w:jc w:val="center"/>
        <w:textAlignment w:val="center"/>
        <w:rPr>
          <w:rFonts w:hint="eastAsia" w:ascii="宋体" w:hAnsi="宋体" w:eastAsia="宋体" w:cs="宋体"/>
          <w:b/>
          <w:i w:val="0"/>
          <w:color w:val="000000" w:themeColor="text1"/>
          <w:spacing w:val="-11"/>
          <w:sz w:val="32"/>
          <w:szCs w:val="32"/>
          <w:highlight w:val="none"/>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line="560" w:lineRule="exact"/>
        <w:ind w:left="4176" w:hanging="3890" w:hangingChars="1300"/>
        <w:jc w:val="center"/>
        <w:textAlignment w:val="center"/>
        <w:rPr>
          <w:rFonts w:hint="eastAsia" w:ascii="宋体" w:hAnsi="宋体" w:eastAsia="宋体" w:cs="宋体"/>
          <w:b/>
          <w:i w:val="0"/>
          <w:color w:val="000000" w:themeColor="text1"/>
          <w:spacing w:val="-11"/>
          <w:sz w:val="32"/>
          <w:szCs w:val="32"/>
          <w:highlight w:val="none"/>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line="560" w:lineRule="exact"/>
        <w:ind w:left="4176" w:hanging="3890" w:hangingChars="1300"/>
        <w:jc w:val="center"/>
        <w:textAlignment w:val="center"/>
        <w:rPr>
          <w:rFonts w:hint="eastAsia" w:ascii="宋体" w:hAnsi="宋体" w:eastAsia="宋体" w:cs="宋体"/>
          <w:b/>
          <w:i w:val="0"/>
          <w:color w:val="000000" w:themeColor="text1"/>
          <w:spacing w:val="-11"/>
          <w:sz w:val="32"/>
          <w:szCs w:val="32"/>
          <w:highlight w:val="none"/>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line="560" w:lineRule="exact"/>
        <w:ind w:left="4176" w:hanging="3890" w:hangingChars="1300"/>
        <w:jc w:val="center"/>
        <w:textAlignment w:val="center"/>
        <w:rPr>
          <w:rFonts w:hint="eastAsia" w:ascii="宋体" w:hAnsi="宋体" w:eastAsia="宋体" w:cs="宋体"/>
          <w:b/>
          <w:i w:val="0"/>
          <w:color w:val="000000" w:themeColor="text1"/>
          <w:spacing w:val="-11"/>
          <w:sz w:val="32"/>
          <w:szCs w:val="32"/>
          <w:highlight w:val="none"/>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line="560" w:lineRule="exact"/>
        <w:ind w:left="4176" w:hanging="3890" w:hangingChars="1300"/>
        <w:jc w:val="center"/>
        <w:textAlignment w:val="center"/>
        <w:rPr>
          <w:rFonts w:hint="eastAsia" w:ascii="宋体" w:hAnsi="宋体" w:eastAsia="宋体" w:cs="宋体"/>
          <w:b/>
          <w:i w:val="0"/>
          <w:color w:val="000000" w:themeColor="text1"/>
          <w:spacing w:val="-11"/>
          <w:sz w:val="32"/>
          <w:szCs w:val="32"/>
          <w:highlight w:val="none"/>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line="560" w:lineRule="exact"/>
        <w:ind w:left="4176" w:hanging="3890" w:hangingChars="1300"/>
        <w:jc w:val="center"/>
        <w:textAlignment w:val="center"/>
        <w:rPr>
          <w:rFonts w:hint="eastAsia" w:ascii="宋体" w:hAnsi="宋体" w:eastAsia="宋体" w:cs="宋体"/>
          <w:b/>
          <w:i w:val="0"/>
          <w:color w:val="000000" w:themeColor="text1"/>
          <w:spacing w:val="-11"/>
          <w:sz w:val="32"/>
          <w:szCs w:val="32"/>
          <w:highlight w:val="none"/>
          <w:u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line="560" w:lineRule="exact"/>
        <w:ind w:left="4176" w:hanging="3890" w:hangingChars="1300"/>
        <w:jc w:val="center"/>
        <w:textAlignment w:val="center"/>
        <w:rPr>
          <w:rFonts w:hint="eastAsia" w:ascii="宋体" w:hAnsi="宋体" w:eastAsia="宋体" w:cs="宋体"/>
          <w:b/>
          <w:i w:val="0"/>
          <w:color w:val="000000" w:themeColor="text1"/>
          <w:spacing w:val="-11"/>
          <w:sz w:val="32"/>
          <w:szCs w:val="32"/>
          <w:highlight w:val="none"/>
          <w:u w:val="none"/>
          <w:lang w:val="en-US" w:eastAsia="zh-CN"/>
          <w14:textFill>
            <w14:solidFill>
              <w14:schemeClr w14:val="tx1"/>
            </w14:solidFill>
          </w14:textFill>
        </w:rPr>
      </w:pPr>
      <w:r>
        <w:rPr>
          <w:rFonts w:hint="eastAsia" w:ascii="宋体" w:hAnsi="宋体" w:eastAsia="宋体" w:cs="宋体"/>
          <w:b/>
          <w:i w:val="0"/>
          <w:color w:val="000000" w:themeColor="text1"/>
          <w:spacing w:val="-11"/>
          <w:sz w:val="32"/>
          <w:szCs w:val="32"/>
          <w:highlight w:val="none"/>
          <w:u w:val="none"/>
          <w:lang w:val="en-US" w:eastAsia="zh-CN"/>
          <w14:textFill>
            <w14:solidFill>
              <w14:schemeClr w14:val="tx1"/>
            </w14:solidFill>
          </w14:textFill>
        </w:rPr>
        <w:t>2021年100万元以上（含）特定目标类部门预算项目绩效目标自评</w:t>
      </w:r>
    </w:p>
    <w:p>
      <w:pPr>
        <w:keepNext w:val="0"/>
        <w:keepLines w:val="0"/>
        <w:pageBreakBefore w:val="0"/>
        <w:kinsoku/>
        <w:wordWrap/>
        <w:overflowPunct/>
        <w:topLinePunct w:val="0"/>
        <w:autoSpaceDE/>
        <w:autoSpaceDN/>
        <w:bidi w:val="0"/>
        <w:adjustRightInd/>
        <w:snapToGrid/>
        <w:spacing w:line="560" w:lineRule="exact"/>
        <w:jc w:val="center"/>
        <w:rPr>
          <w:rFonts w:hint="eastAsia" w:ascii="宋体" w:hAnsi="宋体" w:cs="宋体"/>
          <w:b w:val="0"/>
          <w:bCs/>
          <w:i w:val="0"/>
          <w:color w:val="000000" w:themeColor="text1"/>
          <w:sz w:val="32"/>
          <w:szCs w:val="32"/>
          <w:highlight w:val="none"/>
          <w:u w:val="none"/>
          <w:lang w:val="en-US" w:eastAsia="zh-CN"/>
          <w14:textFill>
            <w14:solidFill>
              <w14:schemeClr w14:val="tx1"/>
            </w14:solidFill>
          </w14:textFill>
        </w:rPr>
      </w:pPr>
      <w:r>
        <w:rPr>
          <w:rFonts w:hint="eastAsia" w:ascii="宋体" w:hAnsi="宋体" w:cs="宋体"/>
          <w:b w:val="0"/>
          <w:bCs/>
          <w:i w:val="0"/>
          <w:color w:val="000000" w:themeColor="text1"/>
          <w:sz w:val="32"/>
          <w:szCs w:val="32"/>
          <w:highlight w:val="none"/>
          <w:u w:val="none"/>
          <w:lang w:val="en-US" w:eastAsia="zh-CN"/>
          <w14:textFill>
            <w14:solidFill>
              <w14:schemeClr w14:val="tx1"/>
            </w14:solidFill>
          </w14:textFill>
        </w:rPr>
        <w:t>（数字集群通信项目）</w:t>
      </w:r>
    </w:p>
    <w:p>
      <w:pPr>
        <w:bidi w:val="0"/>
        <w:rPr>
          <w:color w:val="000000" w:themeColor="text1"/>
          <w14:textFill>
            <w14:solidFill>
              <w14:schemeClr w14:val="tx1"/>
            </w14:solidFill>
          </w14:textFill>
        </w:rPr>
      </w:pPr>
    </w:p>
    <w:tbl>
      <w:tblPr>
        <w:tblStyle w:val="14"/>
        <w:tblW w:w="9813"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213"/>
        <w:gridCol w:w="953"/>
        <w:gridCol w:w="1155"/>
        <w:gridCol w:w="1514"/>
        <w:gridCol w:w="2011"/>
        <w:gridCol w:w="19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4" w:hRule="atLeast"/>
          <w:jc w:val="center"/>
        </w:trPr>
        <w:tc>
          <w:tcPr>
            <w:tcW w:w="31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主管部门及代码</w:t>
            </w:r>
          </w:p>
        </w:tc>
        <w:tc>
          <w:tcPr>
            <w:tcW w:w="26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四川省司法厅-207</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实施单位</w:t>
            </w: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sz w:val="16"/>
                <w:szCs w:val="16"/>
                <w:highlight w:val="none"/>
                <w:u w:val="none"/>
                <w14:textFill>
                  <w14:solidFill>
                    <w14:schemeClr w14:val="tx1"/>
                  </w14:solidFill>
                </w14:textFill>
              </w:rPr>
              <w:t>四川省司法厅机关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1" w:hRule="atLeast"/>
          <w:jc w:val="center"/>
        </w:trPr>
        <w:tc>
          <w:tcPr>
            <w:tcW w:w="316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项目预算</w:t>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执行情况</w:t>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（万元）</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 xml:space="preserve"> 预算数：</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270.00</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 xml:space="preserve"> 执行数：</w:t>
            </w: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265.64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5" w:hRule="atLeast"/>
          <w:jc w:val="center"/>
        </w:trPr>
        <w:tc>
          <w:tcPr>
            <w:tcW w:w="31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财政拨款</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270.00</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财政拨款</w:t>
            </w: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265.64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jc w:val="center"/>
        </w:trPr>
        <w:tc>
          <w:tcPr>
            <w:tcW w:w="31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其他资金</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其他资金</w:t>
            </w: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6" w:hRule="atLeast"/>
          <w:jc w:val="center"/>
        </w:trPr>
        <w:tc>
          <w:tcPr>
            <w:tcW w:w="22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完成情况</w:t>
            </w:r>
          </w:p>
        </w:tc>
        <w:tc>
          <w:tcPr>
            <w:tcW w:w="36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预期目标</w:t>
            </w:r>
          </w:p>
        </w:tc>
        <w:tc>
          <w:tcPr>
            <w:tcW w:w="39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99" w:hRule="atLeast"/>
          <w:jc w:val="center"/>
        </w:trPr>
        <w:tc>
          <w:tcPr>
            <w:tcW w:w="2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36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color w:val="000000" w:themeColor="text1"/>
                <w:kern w:val="2"/>
                <w:sz w:val="16"/>
                <w:szCs w:val="16"/>
                <w:lang w:val="en-US" w:eastAsia="zh-CN" w:bidi="ar-SA"/>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实现应急指挥调度在移动端的扩展和延伸，进一步健全省司法厅日常综合指挥调度管控、突发事件预警和应急保障机制。</w:t>
            </w:r>
          </w:p>
        </w:tc>
        <w:tc>
          <w:tcPr>
            <w:tcW w:w="39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实现应急指挥调度在移动端的扩展和延伸，进一步健全省司法厅日常综合指挥调度管控、突发事件预警和应急保障机制。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3" w:hRule="atLeast"/>
          <w:jc w:val="center"/>
        </w:trPr>
        <w:tc>
          <w:tcPr>
            <w:tcW w:w="221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年度绩效指标完成情况</w:t>
            </w:r>
          </w:p>
        </w:tc>
        <w:tc>
          <w:tcPr>
            <w:tcW w:w="953" w:type="dxa"/>
            <w:tcBorders>
              <w:top w:val="single" w:color="000000" w:sz="4" w:space="0"/>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指标</w:t>
            </w:r>
          </w:p>
        </w:tc>
        <w:tc>
          <w:tcPr>
            <w:tcW w:w="115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指标</w:t>
            </w:r>
          </w:p>
        </w:tc>
        <w:tc>
          <w:tcPr>
            <w:tcW w:w="151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指标</w:t>
            </w:r>
          </w:p>
        </w:tc>
        <w:tc>
          <w:tcPr>
            <w:tcW w:w="201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预期指标值</w:t>
            </w:r>
          </w:p>
        </w:tc>
        <w:tc>
          <w:tcPr>
            <w:tcW w:w="196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88" w:hRule="atLeast"/>
          <w:jc w:val="center"/>
        </w:trPr>
        <w:tc>
          <w:tcPr>
            <w:tcW w:w="2213" w:type="dxa"/>
            <w:vMerge w:val="continue"/>
            <w:tcBorders>
              <w:left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9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指标</w:t>
            </w: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数量指标</w:t>
            </w:r>
          </w:p>
        </w:tc>
        <w:tc>
          <w:tcPr>
            <w:tcW w:w="15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建设覆盖厅机关的数字集群通信设备</w:t>
            </w:r>
          </w:p>
        </w:tc>
        <w:tc>
          <w:tcPr>
            <w:tcW w:w="2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200个左右</w:t>
            </w:r>
          </w:p>
        </w:tc>
        <w:tc>
          <w:tcPr>
            <w:tcW w:w="1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200个左右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50" w:hRule="atLeast"/>
          <w:jc w:val="center"/>
        </w:trPr>
        <w:tc>
          <w:tcPr>
            <w:tcW w:w="2213" w:type="dxa"/>
            <w:vMerge w:val="continue"/>
            <w:tcBorders>
              <w:left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9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质量指标</w:t>
            </w:r>
          </w:p>
        </w:tc>
        <w:tc>
          <w:tcPr>
            <w:tcW w:w="15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项目建设质量符合司法部指挥中心建设标准</w:t>
            </w:r>
          </w:p>
        </w:tc>
        <w:tc>
          <w:tcPr>
            <w:tcW w:w="2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100%</w:t>
            </w:r>
          </w:p>
        </w:tc>
        <w:tc>
          <w:tcPr>
            <w:tcW w:w="1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5" w:hRule="atLeast"/>
          <w:jc w:val="center"/>
        </w:trPr>
        <w:tc>
          <w:tcPr>
            <w:tcW w:w="2213" w:type="dxa"/>
            <w:vMerge w:val="continue"/>
            <w:tcBorders>
              <w:left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9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时效指标</w:t>
            </w:r>
          </w:p>
        </w:tc>
        <w:tc>
          <w:tcPr>
            <w:tcW w:w="15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数字集群通信项目建成时间</w:t>
            </w:r>
          </w:p>
        </w:tc>
        <w:tc>
          <w:tcPr>
            <w:tcW w:w="2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2021年12月31日以前完成项目年度计划，根据合同完成支付。</w:t>
            </w:r>
          </w:p>
        </w:tc>
        <w:tc>
          <w:tcPr>
            <w:tcW w:w="1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2021年12月31日以前完成项目年度计划，根据合同完成支付。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34" w:hRule="atLeast"/>
          <w:jc w:val="center"/>
        </w:trPr>
        <w:tc>
          <w:tcPr>
            <w:tcW w:w="2213" w:type="dxa"/>
            <w:vMerge w:val="continue"/>
            <w:tcBorders>
              <w:left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9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可持续影响指标</w:t>
            </w:r>
          </w:p>
        </w:tc>
        <w:tc>
          <w:tcPr>
            <w:tcW w:w="15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数字集群通信项目覆盖面</w:t>
            </w:r>
          </w:p>
        </w:tc>
        <w:tc>
          <w:tcPr>
            <w:tcW w:w="2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数字集群通信项目覆盖省司法厅</w:t>
            </w:r>
          </w:p>
        </w:tc>
        <w:tc>
          <w:tcPr>
            <w:tcW w:w="1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数字集群通信项目覆盖省司法厅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18" w:hRule="atLeast"/>
          <w:jc w:val="center"/>
        </w:trPr>
        <w:tc>
          <w:tcPr>
            <w:tcW w:w="221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95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满意</w:t>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度指标</w:t>
            </w:r>
          </w:p>
        </w:tc>
        <w:tc>
          <w:tcPr>
            <w:tcW w:w="115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满意度指标</w:t>
            </w:r>
          </w:p>
        </w:tc>
        <w:tc>
          <w:tcPr>
            <w:tcW w:w="151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数字集群通信项目受众人群满意度</w:t>
            </w:r>
          </w:p>
        </w:tc>
        <w:tc>
          <w:tcPr>
            <w:tcW w:w="201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数字集群通信项目受众人群满意度达到95%以上</w:t>
            </w:r>
          </w:p>
        </w:tc>
        <w:tc>
          <w:tcPr>
            <w:tcW w:w="196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数字集群通信项目受众人群满意度达到95%以上</w:t>
            </w:r>
          </w:p>
        </w:tc>
      </w:tr>
    </w:tbl>
    <w:p>
      <w:pPr>
        <w:rPr>
          <w:color w:val="000000" w:themeColor="text1"/>
          <w14:textFill>
            <w14:solidFill>
              <w14:schemeClr w14:val="tx1"/>
            </w14:solidFill>
          </w14:textFill>
        </w:rPr>
      </w:pPr>
    </w:p>
    <w:p>
      <w:pPr>
        <w:keepNext w:val="0"/>
        <w:keepLines w:val="0"/>
        <w:widowControl/>
        <w:suppressLineNumbers w:val="0"/>
        <w:spacing w:beforeAutospacing="0"/>
        <w:ind w:left="4176" w:hanging="4176" w:hangingChars="1300"/>
        <w:jc w:val="left"/>
        <w:textAlignment w:val="center"/>
        <w:rPr>
          <w:rFonts w:hint="eastAsia" w:ascii="宋体" w:hAnsi="宋体" w:eastAsia="宋体" w:cs="宋体"/>
          <w:b/>
          <w:i w:val="0"/>
          <w:color w:val="000000" w:themeColor="text1"/>
          <w:sz w:val="32"/>
          <w:szCs w:val="32"/>
          <w:highlight w:val="none"/>
          <w:u w:val="none"/>
          <w:lang w:val="en-US" w:eastAsia="zh-CN"/>
          <w14:textFill>
            <w14:solidFill>
              <w14:schemeClr w14:val="tx1"/>
            </w14:solidFill>
          </w14:textFill>
        </w:rPr>
      </w:pPr>
    </w:p>
    <w:p>
      <w:pPr>
        <w:keepNext w:val="0"/>
        <w:keepLines w:val="0"/>
        <w:widowControl/>
        <w:suppressLineNumbers w:val="0"/>
        <w:spacing w:beforeAutospacing="0"/>
        <w:ind w:left="4176" w:hanging="4176" w:hangingChars="1300"/>
        <w:jc w:val="left"/>
        <w:textAlignment w:val="center"/>
        <w:rPr>
          <w:rFonts w:hint="eastAsia" w:ascii="宋体" w:hAnsi="宋体" w:eastAsia="宋体" w:cs="宋体"/>
          <w:b/>
          <w:i w:val="0"/>
          <w:color w:val="000000" w:themeColor="text1"/>
          <w:sz w:val="32"/>
          <w:szCs w:val="32"/>
          <w:highlight w:val="none"/>
          <w:u w:val="none"/>
          <w:lang w:val="en-US" w:eastAsia="zh-CN"/>
          <w14:textFill>
            <w14:solidFill>
              <w14:schemeClr w14:val="tx1"/>
            </w14:solidFill>
          </w14:textFill>
        </w:rPr>
      </w:pPr>
    </w:p>
    <w:p>
      <w:pPr>
        <w:bidi w:val="0"/>
        <w:rPr>
          <w:rFonts w:hint="eastAsia"/>
          <w:color w:val="000000" w:themeColor="text1"/>
          <w:lang w:val="en-US" w:eastAsia="zh-CN"/>
          <w14:textFill>
            <w14:solidFill>
              <w14:schemeClr w14:val="tx1"/>
            </w14:solidFill>
          </w14:textFill>
        </w:rPr>
      </w:pPr>
    </w:p>
    <w:p>
      <w:pPr>
        <w:bidi w:val="0"/>
        <w:rPr>
          <w:rFonts w:hint="eastAsia"/>
          <w:color w:val="000000" w:themeColor="text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color w:val="000000" w:themeColor="text1"/>
          <w:spacing w:val="-1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color w:val="000000" w:themeColor="text1"/>
          <w:spacing w:val="-11"/>
          <w:sz w:val="32"/>
          <w:szCs w:val="32"/>
          <w:lang w:val="en-US" w:eastAsia="zh-CN"/>
          <w14:textFill>
            <w14:solidFill>
              <w14:schemeClr w14:val="tx1"/>
            </w14:solidFill>
          </w14:textFill>
        </w:rPr>
      </w:pPr>
      <w:r>
        <w:rPr>
          <w:rFonts w:hint="eastAsia" w:ascii="宋体" w:hAnsi="宋体" w:eastAsia="宋体" w:cs="宋体"/>
          <w:b/>
          <w:bCs/>
          <w:color w:val="000000" w:themeColor="text1"/>
          <w:spacing w:val="-11"/>
          <w:sz w:val="32"/>
          <w:szCs w:val="32"/>
          <w:lang w:val="en-US" w:eastAsia="zh-CN"/>
          <w14:textFill>
            <w14:solidFill>
              <w14:schemeClr w14:val="tx1"/>
            </w14:solidFill>
          </w14:textFill>
        </w:rPr>
        <w:t>2021年100万元以上（含）特定目标类部门预算项目绩效目标自评</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val="0"/>
          <w:bCs w:val="0"/>
          <w:color w:val="000000" w:themeColor="text1"/>
          <w:sz w:val="32"/>
          <w:szCs w:val="32"/>
          <w:lang w:val="en-US" w:eastAsia="zh-CN"/>
          <w14:textFill>
            <w14:solidFill>
              <w14:schemeClr w14:val="tx1"/>
            </w14:solidFill>
          </w14:textFill>
        </w:rPr>
      </w:pPr>
      <w:r>
        <w:rPr>
          <w:rFonts w:hint="eastAsia" w:ascii="宋体" w:hAnsi="宋体" w:eastAsia="宋体" w:cs="宋体"/>
          <w:b w:val="0"/>
          <w:bCs w:val="0"/>
          <w:color w:val="000000" w:themeColor="text1"/>
          <w:sz w:val="32"/>
          <w:szCs w:val="32"/>
          <w:lang w:val="en-US" w:eastAsia="zh-CN"/>
          <w14:textFill>
            <w14:solidFill>
              <w14:schemeClr w14:val="tx1"/>
            </w14:solidFill>
          </w14:textFill>
        </w:rPr>
        <w:t>（省级预算内基本建设资金）</w:t>
      </w:r>
    </w:p>
    <w:p>
      <w:pPr>
        <w:bidi w:val="0"/>
        <w:rPr>
          <w:rFonts w:hint="eastAsia"/>
          <w:color w:val="000000" w:themeColor="text1"/>
          <w14:textFill>
            <w14:solidFill>
              <w14:schemeClr w14:val="tx1"/>
            </w14:solidFill>
          </w14:textFill>
        </w:rPr>
      </w:pPr>
    </w:p>
    <w:tbl>
      <w:tblPr>
        <w:tblStyle w:val="14"/>
        <w:tblW w:w="9813"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213"/>
        <w:gridCol w:w="953"/>
        <w:gridCol w:w="1155"/>
        <w:gridCol w:w="1680"/>
        <w:gridCol w:w="1845"/>
        <w:gridCol w:w="19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4" w:hRule="atLeast"/>
          <w:jc w:val="center"/>
        </w:trPr>
        <w:tc>
          <w:tcPr>
            <w:tcW w:w="31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主管部门及代码</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四川省司法厅-207</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实施单位</w:t>
            </w: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sz w:val="16"/>
                <w:szCs w:val="16"/>
                <w:highlight w:val="none"/>
                <w:u w:val="none"/>
                <w14:textFill>
                  <w14:solidFill>
                    <w14:schemeClr w14:val="tx1"/>
                  </w14:solidFill>
                </w14:textFill>
              </w:rPr>
              <w:t>四川省司法厅机关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1" w:hRule="atLeast"/>
          <w:jc w:val="center"/>
        </w:trPr>
        <w:tc>
          <w:tcPr>
            <w:tcW w:w="316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项目预算</w:t>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执行情况</w:t>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（万元）</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 xml:space="preserve"> 预算数：</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751.00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 xml:space="preserve"> 执行数：</w:t>
            </w: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300.58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5" w:hRule="atLeast"/>
          <w:jc w:val="center"/>
        </w:trPr>
        <w:tc>
          <w:tcPr>
            <w:tcW w:w="31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财政拨款</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751.00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财政拨款</w:t>
            </w: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pPr>
            <w:r>
              <w:rPr>
                <w:rFonts w:hint="eastAsia" w:ascii="宋体" w:hAnsi="宋体" w:eastAsia="宋体" w:cs="宋体"/>
                <w:i w:val="0"/>
                <w:color w:val="000000" w:themeColor="text1"/>
                <w:sz w:val="16"/>
                <w:szCs w:val="16"/>
                <w:highlight w:val="none"/>
                <w:u w:val="none"/>
                <w:lang w:val="en-US" w:eastAsia="zh-CN"/>
                <w14:textFill>
                  <w14:solidFill>
                    <w14:schemeClr w14:val="tx1"/>
                  </w14:solidFill>
                </w14:textFill>
              </w:rPr>
              <w:t>300.58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1" w:hRule="atLeast"/>
          <w:jc w:val="center"/>
        </w:trPr>
        <w:tc>
          <w:tcPr>
            <w:tcW w:w="31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其他资金</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其他资金</w:t>
            </w: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 w:hRule="atLeast"/>
          <w:jc w:val="center"/>
        </w:trPr>
        <w:tc>
          <w:tcPr>
            <w:tcW w:w="22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完成情况</w:t>
            </w:r>
          </w:p>
        </w:tc>
        <w:tc>
          <w:tcPr>
            <w:tcW w:w="37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预期目标</w:t>
            </w:r>
          </w:p>
        </w:tc>
        <w:tc>
          <w:tcPr>
            <w:tcW w:w="38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7" w:hRule="atLeast"/>
          <w:jc w:val="center"/>
        </w:trPr>
        <w:tc>
          <w:tcPr>
            <w:tcW w:w="2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3788"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color w:val="000000" w:themeColor="text1"/>
                <w:kern w:val="2"/>
                <w:sz w:val="16"/>
                <w:szCs w:val="16"/>
                <w:lang w:val="en-US" w:eastAsia="zh-CN" w:bidi="ar-SA"/>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消除厅机关办公楼部分隐患，优化办公场所布局，完善办公和业务用房功能，实现集中办公，更好为人民群众服务。具体完成以下内容：厅机关1号办公楼整体维修改造；3号办公楼修补；办公区立体车库改建功能用房；办公场所室外环境改造等。</w:t>
            </w:r>
          </w:p>
        </w:tc>
        <w:tc>
          <w:tcPr>
            <w:tcW w:w="3812"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消除厅机关办公楼部分隐患，优化办公场所布局，完善办公和业务用房功能，实现集中办公，更好为人民群众服务。具体完成以下内容：厅机关1号办公楼整体维修改造；3号办公楼修补；办公区立体车库改建功能用房；办公场所室外环境改造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3" w:hRule="atLeast"/>
          <w:jc w:val="center"/>
        </w:trPr>
        <w:tc>
          <w:tcPr>
            <w:tcW w:w="221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年度绩效指标完成情况</w:t>
            </w:r>
          </w:p>
        </w:tc>
        <w:tc>
          <w:tcPr>
            <w:tcW w:w="953" w:type="dxa"/>
            <w:tcBorders>
              <w:top w:val="single" w:color="000000" w:sz="4" w:space="0"/>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指标</w:t>
            </w:r>
          </w:p>
        </w:tc>
        <w:tc>
          <w:tcPr>
            <w:tcW w:w="115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指标</w:t>
            </w:r>
          </w:p>
        </w:tc>
        <w:tc>
          <w:tcPr>
            <w:tcW w:w="168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指标</w:t>
            </w:r>
          </w:p>
        </w:tc>
        <w:tc>
          <w:tcPr>
            <w:tcW w:w="184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预期指标值</w:t>
            </w:r>
          </w:p>
        </w:tc>
        <w:tc>
          <w:tcPr>
            <w:tcW w:w="196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5" w:hRule="atLeast"/>
          <w:jc w:val="center"/>
        </w:trPr>
        <w:tc>
          <w:tcPr>
            <w:tcW w:w="2213" w:type="dxa"/>
            <w:vMerge w:val="continue"/>
            <w:tcBorders>
              <w:left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9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指标</w:t>
            </w:r>
          </w:p>
        </w:tc>
        <w:tc>
          <w:tcPr>
            <w:tcW w:w="115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数量指标</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项目维修范围1号楼建筑面积</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5060平方米</w:t>
            </w:r>
          </w:p>
        </w:tc>
        <w:tc>
          <w:tcPr>
            <w:tcW w:w="1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5060平方米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5" w:hRule="atLeast"/>
          <w:jc w:val="center"/>
        </w:trPr>
        <w:tc>
          <w:tcPr>
            <w:tcW w:w="2213" w:type="dxa"/>
            <w:vMerge w:val="continue"/>
            <w:tcBorders>
              <w:left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9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5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项目维修范围3号楼建筑面积</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940平方米</w:t>
            </w:r>
          </w:p>
        </w:tc>
        <w:tc>
          <w:tcPr>
            <w:tcW w:w="1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940平方米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5" w:hRule="atLeast"/>
          <w:jc w:val="center"/>
        </w:trPr>
        <w:tc>
          <w:tcPr>
            <w:tcW w:w="2213" w:type="dxa"/>
            <w:vMerge w:val="continue"/>
            <w:tcBorders>
              <w:left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9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5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总平面</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约1600平方米</w:t>
            </w:r>
          </w:p>
        </w:tc>
        <w:tc>
          <w:tcPr>
            <w:tcW w:w="1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约1600平方米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5" w:hRule="atLeast"/>
          <w:jc w:val="center"/>
        </w:trPr>
        <w:tc>
          <w:tcPr>
            <w:tcW w:w="2213" w:type="dxa"/>
            <w:vMerge w:val="continue"/>
            <w:tcBorders>
              <w:left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9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时效指标</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项目完成时间</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2021年12月31日以前完成年度计划目标</w:t>
            </w:r>
          </w:p>
        </w:tc>
        <w:tc>
          <w:tcPr>
            <w:tcW w:w="1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完成阶段性维修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2213" w:type="dxa"/>
            <w:vMerge w:val="continue"/>
            <w:tcBorders>
              <w:left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9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可持续影响指标</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消除部分隐患，改善厅机关办公条件。</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结合实际进行功能、结构、消防、节能减排的改造</w:t>
            </w:r>
          </w:p>
        </w:tc>
        <w:tc>
          <w:tcPr>
            <w:tcW w:w="1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结合实际进行功能、结构、消防、节能减排的</w:t>
            </w:r>
          </w:p>
          <w:p>
            <w:pPr>
              <w:keepNext w:val="0"/>
              <w:keepLines w:val="0"/>
              <w:widowControl/>
              <w:suppressLineNumbers w:val="0"/>
              <w:jc w:val="both"/>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8" w:hRule="atLeast"/>
          <w:jc w:val="center"/>
        </w:trPr>
        <w:tc>
          <w:tcPr>
            <w:tcW w:w="221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c>
          <w:tcPr>
            <w:tcW w:w="95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满意</w:t>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度指标</w:t>
            </w:r>
          </w:p>
        </w:tc>
        <w:tc>
          <w:tcPr>
            <w:tcW w:w="115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满意度指标</w:t>
            </w:r>
          </w:p>
        </w:tc>
        <w:tc>
          <w:tcPr>
            <w:tcW w:w="168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工作人员以及办事群众对办公场所满意度</w:t>
            </w:r>
          </w:p>
        </w:tc>
        <w:tc>
          <w:tcPr>
            <w:tcW w:w="184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spacing w:val="-6"/>
                <w:kern w:val="0"/>
                <w:sz w:val="16"/>
                <w:szCs w:val="16"/>
                <w:u w:val="none"/>
                <w:lang w:val="en-US" w:eastAsia="zh-CN" w:bidi="ar"/>
                <w14:textFill>
                  <w14:solidFill>
                    <w14:schemeClr w14:val="tx1"/>
                  </w14:solidFill>
                </w14:textFill>
              </w:rPr>
              <w:t>工作人员以及办事群众对办公场所满意度达到90%</w:t>
            </w:r>
          </w:p>
        </w:tc>
        <w:tc>
          <w:tcPr>
            <w:tcW w:w="196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spacing w:val="-6"/>
                <w:kern w:val="0"/>
                <w:sz w:val="16"/>
                <w:szCs w:val="16"/>
                <w:u w:val="none"/>
                <w:lang w:val="en-US" w:eastAsia="zh-CN" w:bidi="ar"/>
                <w14:textFill>
                  <w14:solidFill>
                    <w14:schemeClr w14:val="tx1"/>
                  </w14:solidFill>
                </w14:textFill>
              </w:rPr>
              <w:t>工作人员以及办事群众对办公场所满意度达到90%</w:t>
            </w:r>
          </w:p>
        </w:tc>
      </w:tr>
    </w:tbl>
    <w:p>
      <w:pPr>
        <w:rPr>
          <w:color w:val="000000" w:themeColor="text1"/>
          <w14:textFill>
            <w14:solidFill>
              <w14:schemeClr w14:val="tx1"/>
            </w14:solidFill>
          </w14:textFill>
        </w:rPr>
      </w:pPr>
    </w:p>
    <w:p>
      <w:pPr>
        <w:bidi w:val="0"/>
        <w:rPr>
          <w:color w:val="000000" w:themeColor="text1"/>
          <w14:textFill>
            <w14:solidFill>
              <w14:schemeClr w14:val="tx1"/>
            </w14:solidFill>
          </w14:textFill>
        </w:rPr>
      </w:pPr>
    </w:p>
    <w:p>
      <w:pPr>
        <w:bidi w:val="0"/>
        <w:rPr>
          <w:rFonts w:hint="eastAsia" w:ascii="宋体" w:hAnsi="宋体" w:eastAsia="宋体" w:cs="宋体"/>
          <w:b/>
          <w:color w:val="000000" w:themeColor="text1"/>
          <w:sz w:val="32"/>
          <w:szCs w:val="32"/>
          <w14:textFill>
            <w14:solidFill>
              <w14:schemeClr w14:val="tx1"/>
            </w14:solidFill>
          </w14:textFill>
        </w:rPr>
      </w:pPr>
    </w:p>
    <w:p>
      <w:pPr>
        <w:bidi w:val="0"/>
        <w:rPr>
          <w:rFonts w:hint="eastAsia" w:ascii="宋体" w:hAnsi="宋体" w:eastAsia="宋体" w:cs="宋体"/>
          <w:b/>
          <w:color w:val="000000" w:themeColor="text1"/>
          <w:sz w:val="32"/>
          <w:szCs w:val="32"/>
          <w14:textFill>
            <w14:solidFill>
              <w14:schemeClr w14:val="tx1"/>
            </w14:solidFill>
          </w14:textFill>
        </w:rPr>
      </w:pPr>
    </w:p>
    <w:p>
      <w:pPr>
        <w:bidi w:val="0"/>
        <w:rPr>
          <w:rFonts w:hint="eastAsia" w:ascii="宋体" w:hAnsi="宋体" w:eastAsia="宋体" w:cs="宋体"/>
          <w:b/>
          <w:color w:val="000000" w:themeColor="text1"/>
          <w:sz w:val="32"/>
          <w:szCs w:val="32"/>
          <w14:textFill>
            <w14:solidFill>
              <w14:schemeClr w14:val="tx1"/>
            </w14:solidFill>
          </w14:textFill>
        </w:rPr>
      </w:pPr>
    </w:p>
    <w:p>
      <w:pPr>
        <w:bidi w:val="0"/>
        <w:rPr>
          <w:rFonts w:hint="eastAsia" w:ascii="宋体" w:hAnsi="宋体" w:eastAsia="宋体" w:cs="宋体"/>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color w:val="000000" w:themeColor="text1"/>
          <w:spacing w:val="-11"/>
          <w:sz w:val="32"/>
          <w:szCs w:val="32"/>
          <w14:textFill>
            <w14:solidFill>
              <w14:schemeClr w14:val="tx1"/>
            </w14:solidFill>
          </w14:textFill>
        </w:rPr>
      </w:pPr>
      <w:r>
        <w:rPr>
          <w:rFonts w:hint="eastAsia" w:ascii="宋体" w:hAnsi="宋体" w:eastAsia="宋体" w:cs="宋体"/>
          <w:b/>
          <w:color w:val="000000" w:themeColor="text1"/>
          <w:spacing w:val="-11"/>
          <w:sz w:val="32"/>
          <w:szCs w:val="32"/>
          <w14:textFill>
            <w14:solidFill>
              <w14:schemeClr w14:val="tx1"/>
            </w14:solidFill>
          </w14:textFill>
        </w:rPr>
        <w:t>2021年100万元以上（含）特定目标类部门预算项目绩效目标自评</w:t>
      </w:r>
    </w:p>
    <w:p>
      <w:pPr>
        <w:bidi w:val="0"/>
        <w:rPr>
          <w:color w:val="000000" w:themeColor="text1"/>
          <w14:textFill>
            <w14:solidFill>
              <w14:schemeClr w14:val="tx1"/>
            </w14:solidFill>
          </w14:textFill>
        </w:rPr>
      </w:pPr>
    </w:p>
    <w:tbl>
      <w:tblPr>
        <w:tblStyle w:val="14"/>
        <w:tblW w:w="9513" w:type="dxa"/>
        <w:jc w:val="center"/>
        <w:tblInd w:w="93" w:type="dxa"/>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Layout w:type="fixed"/>
        <w:tblCellMar>
          <w:top w:w="0" w:type="dxa"/>
          <w:left w:w="108" w:type="dxa"/>
          <w:bottom w:w="0" w:type="dxa"/>
          <w:right w:w="108" w:type="dxa"/>
        </w:tblCellMar>
      </w:tblPr>
      <w:tblGrid>
        <w:gridCol w:w="1120"/>
        <w:gridCol w:w="1148"/>
        <w:gridCol w:w="1391"/>
        <w:gridCol w:w="461"/>
        <w:gridCol w:w="1434"/>
        <w:gridCol w:w="1650"/>
        <w:gridCol w:w="2309"/>
      </w:tblGrid>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Layout w:type="fixed"/>
          <w:tblCellMar>
            <w:top w:w="0" w:type="dxa"/>
            <w:left w:w="108" w:type="dxa"/>
            <w:bottom w:w="0" w:type="dxa"/>
            <w:right w:w="108" w:type="dxa"/>
          </w:tblCellMar>
        </w:tblPrEx>
        <w:trPr>
          <w:trHeight w:val="439" w:hRule="atLeast"/>
          <w:jc w:val="center"/>
        </w:trPr>
        <w:tc>
          <w:tcPr>
            <w:tcW w:w="22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80" w:lineRule="exact"/>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项目名称</w:t>
            </w:r>
          </w:p>
        </w:tc>
        <w:tc>
          <w:tcPr>
            <w:tcW w:w="7245"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80" w:lineRule="exact"/>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学生活动工作经费</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840" w:hRule="atLeast"/>
          <w:jc w:val="center"/>
        </w:trPr>
        <w:tc>
          <w:tcPr>
            <w:tcW w:w="22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80" w:lineRule="exact"/>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主管部门及代码</w:t>
            </w:r>
          </w:p>
        </w:tc>
        <w:tc>
          <w:tcPr>
            <w:tcW w:w="3286"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80" w:lineRule="exact"/>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四川省司法厅</w:t>
            </w:r>
          </w:p>
        </w:tc>
        <w:tc>
          <w:tcPr>
            <w:tcW w:w="16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80" w:lineRule="exact"/>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实施单位</w:t>
            </w:r>
          </w:p>
        </w:tc>
        <w:tc>
          <w:tcPr>
            <w:tcW w:w="23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80" w:lineRule="exact"/>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四川司法警官职业学院</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615" w:hRule="atLeast"/>
          <w:jc w:val="center"/>
        </w:trPr>
        <w:tc>
          <w:tcPr>
            <w:tcW w:w="226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80" w:lineRule="exact"/>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项目预算</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执行情况</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（万元）</w:t>
            </w:r>
          </w:p>
        </w:tc>
        <w:tc>
          <w:tcPr>
            <w:tcW w:w="1852"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80" w:lineRule="exact"/>
              <w:ind w:firstLine="160" w:firstLineChars="100"/>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预算数：</w:t>
            </w:r>
          </w:p>
        </w:tc>
        <w:tc>
          <w:tcPr>
            <w:tcW w:w="14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8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200.00</w:t>
            </w:r>
          </w:p>
        </w:tc>
        <w:tc>
          <w:tcPr>
            <w:tcW w:w="16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80" w:lineRule="exact"/>
              <w:ind w:firstLine="160" w:firstLineChars="100"/>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执行数：</w:t>
            </w:r>
          </w:p>
        </w:tc>
        <w:tc>
          <w:tcPr>
            <w:tcW w:w="23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80" w:lineRule="exact"/>
              <w:jc w:val="righ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167.33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810" w:hRule="atLeast"/>
          <w:jc w:val="center"/>
        </w:trPr>
        <w:tc>
          <w:tcPr>
            <w:tcW w:w="226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80" w:lineRule="exact"/>
              <w:jc w:val="left"/>
              <w:rPr>
                <w:rFonts w:hint="eastAsia" w:ascii="宋体" w:hAnsi="宋体" w:eastAsia="宋体" w:cs="宋体"/>
                <w:color w:val="000000" w:themeColor="text1"/>
                <w:kern w:val="0"/>
                <w:sz w:val="16"/>
                <w:szCs w:val="16"/>
                <w14:textFill>
                  <w14:solidFill>
                    <w14:schemeClr w14:val="tx1"/>
                  </w14:solidFill>
                </w14:textFill>
              </w:rPr>
            </w:pPr>
          </w:p>
        </w:tc>
        <w:tc>
          <w:tcPr>
            <w:tcW w:w="1852"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8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其中：</w:t>
            </w:r>
          </w:p>
          <w:p>
            <w:pPr>
              <w:keepNext w:val="0"/>
              <w:keepLines w:val="0"/>
              <w:pageBreakBefore w:val="0"/>
              <w:widowControl/>
              <w:kinsoku/>
              <w:wordWrap/>
              <w:overflowPunct/>
              <w:topLinePunct w:val="0"/>
              <w:autoSpaceDE/>
              <w:autoSpaceDN/>
              <w:bidi w:val="0"/>
              <w:spacing w:line="28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财政拨款</w:t>
            </w:r>
          </w:p>
        </w:tc>
        <w:tc>
          <w:tcPr>
            <w:tcW w:w="14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8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50.00</w:t>
            </w:r>
          </w:p>
        </w:tc>
        <w:tc>
          <w:tcPr>
            <w:tcW w:w="16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8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其中：</w:t>
            </w:r>
          </w:p>
          <w:p>
            <w:pPr>
              <w:keepNext w:val="0"/>
              <w:keepLines w:val="0"/>
              <w:pageBreakBefore w:val="0"/>
              <w:widowControl/>
              <w:kinsoku/>
              <w:wordWrap/>
              <w:overflowPunct/>
              <w:topLinePunct w:val="0"/>
              <w:autoSpaceDE/>
              <w:autoSpaceDN/>
              <w:bidi w:val="0"/>
              <w:spacing w:line="28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财政拨款</w:t>
            </w:r>
          </w:p>
        </w:tc>
        <w:tc>
          <w:tcPr>
            <w:tcW w:w="23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80" w:lineRule="exact"/>
              <w:jc w:val="righ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49.85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73" w:hRule="atLeast"/>
          <w:jc w:val="center"/>
        </w:trPr>
        <w:tc>
          <w:tcPr>
            <w:tcW w:w="226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80" w:lineRule="exact"/>
              <w:jc w:val="left"/>
              <w:rPr>
                <w:rFonts w:hint="eastAsia" w:ascii="宋体" w:hAnsi="宋体" w:eastAsia="宋体" w:cs="宋体"/>
                <w:color w:val="000000" w:themeColor="text1"/>
                <w:kern w:val="0"/>
                <w:sz w:val="16"/>
                <w:szCs w:val="16"/>
                <w14:textFill>
                  <w14:solidFill>
                    <w14:schemeClr w14:val="tx1"/>
                  </w14:solidFill>
                </w14:textFill>
              </w:rPr>
            </w:pPr>
          </w:p>
        </w:tc>
        <w:tc>
          <w:tcPr>
            <w:tcW w:w="1852"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8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其他资金</w:t>
            </w:r>
          </w:p>
        </w:tc>
        <w:tc>
          <w:tcPr>
            <w:tcW w:w="14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8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150.00</w:t>
            </w:r>
          </w:p>
        </w:tc>
        <w:tc>
          <w:tcPr>
            <w:tcW w:w="16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8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xml:space="preserve">其他资金        </w:t>
            </w:r>
          </w:p>
        </w:tc>
        <w:tc>
          <w:tcPr>
            <w:tcW w:w="23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80" w:lineRule="exact"/>
              <w:jc w:val="righ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117.48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39" w:hRule="atLeast"/>
          <w:jc w:val="center"/>
        </w:trPr>
        <w:tc>
          <w:tcPr>
            <w:tcW w:w="112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80" w:lineRule="exact"/>
              <w:jc w:val="center"/>
              <w:textAlignment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年度总体目标完成情况</w:t>
            </w:r>
          </w:p>
        </w:tc>
        <w:tc>
          <w:tcPr>
            <w:tcW w:w="4434"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80" w:lineRule="exact"/>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预期目标</w:t>
            </w:r>
          </w:p>
        </w:tc>
        <w:tc>
          <w:tcPr>
            <w:tcW w:w="395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80" w:lineRule="exact"/>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目标实际完成情况</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2074" w:hRule="atLeast"/>
          <w:jc w:val="center"/>
        </w:trPr>
        <w:tc>
          <w:tcPr>
            <w:tcW w:w="1120"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80" w:lineRule="exact"/>
              <w:jc w:val="left"/>
              <w:rPr>
                <w:rFonts w:hint="eastAsia" w:ascii="宋体" w:hAnsi="宋体" w:eastAsia="宋体" w:cs="宋体"/>
                <w:color w:val="000000" w:themeColor="text1"/>
                <w:kern w:val="0"/>
                <w:sz w:val="16"/>
                <w:szCs w:val="16"/>
                <w14:textFill>
                  <w14:solidFill>
                    <w14:schemeClr w14:val="tx1"/>
                  </w14:solidFill>
                </w14:textFill>
              </w:rPr>
            </w:pPr>
          </w:p>
        </w:tc>
        <w:tc>
          <w:tcPr>
            <w:tcW w:w="4434" w:type="dxa"/>
            <w:gridSpan w:val="4"/>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80" w:lineRule="exact"/>
              <w:jc w:val="both"/>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加强大学生思想政治教育，弘扬社会主义核心价值观，建立“法治、人文、和谐、美丽、活力”德校园文化风貌，为学生提供更多更好的展示学生才艺、交流情感、促进学习的平台，开展丰富多彩的文艺、文化、体育活动，建设打造学生喜闻乐见的精品社团，为学生服务。</w:t>
            </w:r>
          </w:p>
        </w:tc>
        <w:tc>
          <w:tcPr>
            <w:tcW w:w="3959"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80" w:lineRule="exact"/>
              <w:jc w:val="both"/>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深入学习贯彻党的十九届六中全会精神、习近平总书记在庆祝中国共产党成立100周年大会上的讲话等系列重要精神，开展了“学四史”主题教育活动、庆祝建党一百周年“学党史 强信念 跟党走”系列活动。全年总计开展文化、艺术、体育、思政、志愿服务等活动109场。开展“青春心向党 永远跟党走”第三届大学生艺术节系列活动19场，学生覆盖率100%。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615" w:hRule="atLeast"/>
          <w:jc w:val="center"/>
        </w:trPr>
        <w:tc>
          <w:tcPr>
            <w:tcW w:w="1120" w:type="dxa"/>
            <w:vMerge w:val="restart"/>
            <w:tcBorders>
              <w:top w:val="nil"/>
              <w:left w:val="single" w:color="auto"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spacing w:line="28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年度绩效指标完成情况</w:t>
            </w:r>
          </w:p>
        </w:tc>
        <w:tc>
          <w:tcPr>
            <w:tcW w:w="1148" w:type="dxa"/>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8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一级指标</w:t>
            </w:r>
          </w:p>
        </w:tc>
        <w:tc>
          <w:tcPr>
            <w:tcW w:w="139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8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二级</w:t>
            </w:r>
          </w:p>
          <w:p>
            <w:pPr>
              <w:keepNext w:val="0"/>
              <w:keepLines w:val="0"/>
              <w:pageBreakBefore w:val="0"/>
              <w:widowControl/>
              <w:kinsoku/>
              <w:wordWrap/>
              <w:overflowPunct/>
              <w:topLinePunct w:val="0"/>
              <w:autoSpaceDE/>
              <w:autoSpaceDN/>
              <w:bidi w:val="0"/>
              <w:spacing w:line="28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指标</w:t>
            </w:r>
          </w:p>
        </w:tc>
        <w:tc>
          <w:tcPr>
            <w:tcW w:w="189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8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三级</w:t>
            </w:r>
          </w:p>
          <w:p>
            <w:pPr>
              <w:keepNext w:val="0"/>
              <w:keepLines w:val="0"/>
              <w:pageBreakBefore w:val="0"/>
              <w:widowControl/>
              <w:kinsoku/>
              <w:wordWrap/>
              <w:overflowPunct/>
              <w:topLinePunct w:val="0"/>
              <w:autoSpaceDE/>
              <w:autoSpaceDN/>
              <w:bidi w:val="0"/>
              <w:spacing w:line="28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指标</w:t>
            </w:r>
          </w:p>
        </w:tc>
        <w:tc>
          <w:tcPr>
            <w:tcW w:w="16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8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预期指</w:t>
            </w:r>
          </w:p>
          <w:p>
            <w:pPr>
              <w:keepNext w:val="0"/>
              <w:keepLines w:val="0"/>
              <w:pageBreakBefore w:val="0"/>
              <w:widowControl/>
              <w:kinsoku/>
              <w:wordWrap/>
              <w:overflowPunct/>
              <w:topLinePunct w:val="0"/>
              <w:autoSpaceDE/>
              <w:autoSpaceDN/>
              <w:bidi w:val="0"/>
              <w:spacing w:line="28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标值</w:t>
            </w:r>
          </w:p>
        </w:tc>
        <w:tc>
          <w:tcPr>
            <w:tcW w:w="23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28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实际完成指标值</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750" w:hRule="atLeast"/>
          <w:jc w:val="center"/>
        </w:trPr>
        <w:tc>
          <w:tcPr>
            <w:tcW w:w="1120" w:type="dxa"/>
            <w:vMerge w:val="continue"/>
            <w:tcBorders>
              <w:top w:val="nil"/>
              <w:left w:val="single" w:color="auto"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spacing w:line="28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1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8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完成指标</w:t>
            </w:r>
          </w:p>
        </w:tc>
        <w:tc>
          <w:tcPr>
            <w:tcW w:w="139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8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数量指标</w:t>
            </w:r>
          </w:p>
        </w:tc>
        <w:tc>
          <w:tcPr>
            <w:tcW w:w="189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8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开展二课堂,拓展学生综合素质能力</w:t>
            </w:r>
          </w:p>
        </w:tc>
        <w:tc>
          <w:tcPr>
            <w:tcW w:w="16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8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完成各类学生文化活动项目50个</w:t>
            </w:r>
          </w:p>
        </w:tc>
        <w:tc>
          <w:tcPr>
            <w:tcW w:w="23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8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完成各类学生文化活动项目109个</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59" w:hRule="atLeast"/>
          <w:jc w:val="center"/>
        </w:trPr>
        <w:tc>
          <w:tcPr>
            <w:tcW w:w="1120" w:type="dxa"/>
            <w:vMerge w:val="continue"/>
            <w:tcBorders>
              <w:top w:val="nil"/>
              <w:left w:val="single" w:color="auto"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spacing w:line="28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14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8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39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8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质量指标</w:t>
            </w:r>
          </w:p>
        </w:tc>
        <w:tc>
          <w:tcPr>
            <w:tcW w:w="189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8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6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8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23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8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57" w:hRule="atLeast"/>
          <w:jc w:val="center"/>
        </w:trPr>
        <w:tc>
          <w:tcPr>
            <w:tcW w:w="1120" w:type="dxa"/>
            <w:vMerge w:val="continue"/>
            <w:tcBorders>
              <w:top w:val="nil"/>
              <w:left w:val="single" w:color="auto"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spacing w:line="28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14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8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39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8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时效指标</w:t>
            </w:r>
          </w:p>
        </w:tc>
        <w:tc>
          <w:tcPr>
            <w:tcW w:w="189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8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6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8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23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8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94" w:hRule="atLeast"/>
          <w:jc w:val="center"/>
        </w:trPr>
        <w:tc>
          <w:tcPr>
            <w:tcW w:w="1120" w:type="dxa"/>
            <w:vMerge w:val="continue"/>
            <w:tcBorders>
              <w:top w:val="nil"/>
              <w:left w:val="single" w:color="auto"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spacing w:line="28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14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8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39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8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成本指标</w:t>
            </w:r>
          </w:p>
        </w:tc>
        <w:tc>
          <w:tcPr>
            <w:tcW w:w="189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8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按照项目预算控制成本</w:t>
            </w:r>
          </w:p>
        </w:tc>
        <w:tc>
          <w:tcPr>
            <w:tcW w:w="16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8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项目成本控制在150万以内</w:t>
            </w:r>
          </w:p>
        </w:tc>
        <w:tc>
          <w:tcPr>
            <w:tcW w:w="23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8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59.34万</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53" w:hRule="atLeast"/>
          <w:jc w:val="center"/>
        </w:trPr>
        <w:tc>
          <w:tcPr>
            <w:tcW w:w="1120" w:type="dxa"/>
            <w:vMerge w:val="continue"/>
            <w:tcBorders>
              <w:top w:val="nil"/>
              <w:left w:val="single" w:color="auto"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spacing w:line="28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1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8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效益指标</w:t>
            </w:r>
          </w:p>
        </w:tc>
        <w:tc>
          <w:tcPr>
            <w:tcW w:w="139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8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经济效益指标</w:t>
            </w:r>
          </w:p>
        </w:tc>
        <w:tc>
          <w:tcPr>
            <w:tcW w:w="189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8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6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8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23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8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21" w:hRule="atLeast"/>
          <w:jc w:val="center"/>
        </w:trPr>
        <w:tc>
          <w:tcPr>
            <w:tcW w:w="1120" w:type="dxa"/>
            <w:vMerge w:val="continue"/>
            <w:tcBorders>
              <w:top w:val="nil"/>
              <w:left w:val="single" w:color="auto"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spacing w:line="28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14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8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39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8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社会效益指标</w:t>
            </w:r>
          </w:p>
        </w:tc>
        <w:tc>
          <w:tcPr>
            <w:tcW w:w="189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8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职业教育受益学生</w:t>
            </w:r>
          </w:p>
        </w:tc>
        <w:tc>
          <w:tcPr>
            <w:tcW w:w="16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8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各类学生文化活动受益学生4000余名</w:t>
            </w:r>
          </w:p>
        </w:tc>
        <w:tc>
          <w:tcPr>
            <w:tcW w:w="23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8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各类学生文化活动受益学生4100余名</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09" w:hRule="atLeast"/>
          <w:jc w:val="center"/>
        </w:trPr>
        <w:tc>
          <w:tcPr>
            <w:tcW w:w="1120" w:type="dxa"/>
            <w:vMerge w:val="continue"/>
            <w:tcBorders>
              <w:top w:val="nil"/>
              <w:left w:val="single" w:color="auto"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spacing w:line="28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14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8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39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8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生态效益指标</w:t>
            </w:r>
          </w:p>
        </w:tc>
        <w:tc>
          <w:tcPr>
            <w:tcW w:w="189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8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6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8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23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8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04" w:hRule="atLeast"/>
          <w:jc w:val="center"/>
        </w:trPr>
        <w:tc>
          <w:tcPr>
            <w:tcW w:w="1120" w:type="dxa"/>
            <w:vMerge w:val="continue"/>
            <w:tcBorders>
              <w:top w:val="nil"/>
              <w:left w:val="single" w:color="auto"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spacing w:line="28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14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8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39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8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可持续影响指标</w:t>
            </w:r>
          </w:p>
        </w:tc>
        <w:tc>
          <w:tcPr>
            <w:tcW w:w="189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8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6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8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23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8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680" w:hRule="atLeast"/>
          <w:jc w:val="center"/>
        </w:trPr>
        <w:tc>
          <w:tcPr>
            <w:tcW w:w="1120" w:type="dxa"/>
            <w:vMerge w:val="continue"/>
            <w:tcBorders>
              <w:top w:val="nil"/>
              <w:left w:val="single" w:color="auto"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spacing w:line="28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14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8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满意度指标</w:t>
            </w:r>
          </w:p>
        </w:tc>
        <w:tc>
          <w:tcPr>
            <w:tcW w:w="139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8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满意度指标</w:t>
            </w:r>
          </w:p>
        </w:tc>
        <w:tc>
          <w:tcPr>
            <w:tcW w:w="189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8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师生综合满意度</w:t>
            </w:r>
          </w:p>
        </w:tc>
        <w:tc>
          <w:tcPr>
            <w:tcW w:w="16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8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学生活动师生满意度达到80%</w:t>
            </w:r>
          </w:p>
        </w:tc>
        <w:tc>
          <w:tcPr>
            <w:tcW w:w="23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8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学生活动师生满意度95%</w:t>
            </w:r>
          </w:p>
        </w:tc>
      </w:tr>
    </w:tbl>
    <w:p>
      <w:pPr>
        <w:rPr>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color w:val="000000" w:themeColor="text1"/>
          <w:spacing w:val="-11"/>
          <w:sz w:val="32"/>
          <w:szCs w:val="32"/>
          <w14:textFill>
            <w14:solidFill>
              <w14:schemeClr w14:val="tx1"/>
            </w14:solidFill>
          </w14:textFill>
        </w:rPr>
      </w:pPr>
      <w:r>
        <w:rPr>
          <w:rFonts w:hint="eastAsia" w:ascii="宋体" w:hAnsi="宋体" w:eastAsia="宋体" w:cs="宋体"/>
          <w:b/>
          <w:color w:val="000000" w:themeColor="text1"/>
          <w:spacing w:val="-11"/>
          <w:sz w:val="32"/>
          <w:szCs w:val="32"/>
          <w14:textFill>
            <w14:solidFill>
              <w14:schemeClr w14:val="tx1"/>
            </w14:solidFill>
          </w14:textFill>
        </w:rPr>
        <w:t>2021年100万元以上（含）特定目标类部门预算项目绩效目标自评</w:t>
      </w:r>
    </w:p>
    <w:p>
      <w:pPr>
        <w:bidi w:val="0"/>
        <w:rPr>
          <w:rFonts w:hint="eastAsia"/>
          <w:color w:val="000000" w:themeColor="text1"/>
          <w14:textFill>
            <w14:solidFill>
              <w14:schemeClr w14:val="tx1"/>
            </w14:solidFill>
          </w14:textFill>
        </w:rPr>
      </w:pPr>
    </w:p>
    <w:tbl>
      <w:tblPr>
        <w:tblStyle w:val="14"/>
        <w:tblpPr w:leftFromText="180" w:rightFromText="180" w:vertAnchor="text" w:horzAnchor="page" w:tblpX="1355" w:tblpY="313"/>
        <w:tblOverlap w:val="never"/>
        <w:tblW w:w="9500" w:type="dxa"/>
        <w:tblInd w:w="0" w:type="dxa"/>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Layout w:type="fixed"/>
        <w:tblCellMar>
          <w:top w:w="0" w:type="dxa"/>
          <w:left w:w="108" w:type="dxa"/>
          <w:bottom w:w="0" w:type="dxa"/>
          <w:right w:w="108" w:type="dxa"/>
        </w:tblCellMar>
      </w:tblPr>
      <w:tblGrid>
        <w:gridCol w:w="1120"/>
        <w:gridCol w:w="1300"/>
        <w:gridCol w:w="1480"/>
        <w:gridCol w:w="840"/>
        <w:gridCol w:w="960"/>
        <w:gridCol w:w="1403"/>
        <w:gridCol w:w="2397"/>
      </w:tblGrid>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Layout w:type="fixed"/>
          <w:tblCellMar>
            <w:top w:w="0" w:type="dxa"/>
            <w:left w:w="108" w:type="dxa"/>
            <w:bottom w:w="0" w:type="dxa"/>
            <w:right w:w="108" w:type="dxa"/>
          </w:tblCellMar>
        </w:tblPrEx>
        <w:trPr>
          <w:trHeight w:val="439" w:hRule="atLeast"/>
        </w:trPr>
        <w:tc>
          <w:tcPr>
            <w:tcW w:w="24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项目名称</w:t>
            </w:r>
          </w:p>
        </w:tc>
        <w:tc>
          <w:tcPr>
            <w:tcW w:w="708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教学活动及招生就业经费</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97" w:hRule="atLeast"/>
        </w:trPr>
        <w:tc>
          <w:tcPr>
            <w:tcW w:w="24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主管部门及代码</w:t>
            </w:r>
          </w:p>
        </w:tc>
        <w:tc>
          <w:tcPr>
            <w:tcW w:w="328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四川省司法厅</w:t>
            </w:r>
          </w:p>
        </w:tc>
        <w:tc>
          <w:tcPr>
            <w:tcW w:w="140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实施单位</w:t>
            </w:r>
          </w:p>
        </w:tc>
        <w:tc>
          <w:tcPr>
            <w:tcW w:w="239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四川司法警官职业学院</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70" w:hRule="atLeast"/>
        </w:trPr>
        <w:tc>
          <w:tcPr>
            <w:tcW w:w="242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项目预算</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执行情况</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（万元）</w:t>
            </w:r>
          </w:p>
        </w:tc>
        <w:tc>
          <w:tcPr>
            <w:tcW w:w="2320" w:type="dxa"/>
            <w:gridSpan w:val="2"/>
            <w:tcBorders>
              <w:top w:val="single" w:color="auto" w:sz="4" w:space="0"/>
              <w:left w:val="nil"/>
              <w:bottom w:val="single" w:color="auto" w:sz="4" w:space="0"/>
              <w:right w:val="single" w:color="000000" w:sz="4" w:space="0"/>
            </w:tcBorders>
            <w:shd w:val="clear" w:color="auto" w:fill="auto"/>
            <w:vAlign w:val="center"/>
          </w:tcPr>
          <w:p>
            <w:pPr>
              <w:widowControl/>
              <w:ind w:firstLine="160" w:firstLineChars="100"/>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预算数：</w:t>
            </w:r>
          </w:p>
        </w:tc>
        <w:tc>
          <w:tcPr>
            <w:tcW w:w="96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480.00</w:t>
            </w:r>
          </w:p>
        </w:tc>
        <w:tc>
          <w:tcPr>
            <w:tcW w:w="1403" w:type="dxa"/>
            <w:tcBorders>
              <w:top w:val="nil"/>
              <w:left w:val="nil"/>
              <w:bottom w:val="single" w:color="auto" w:sz="4" w:space="0"/>
              <w:right w:val="single" w:color="auto" w:sz="4" w:space="0"/>
            </w:tcBorders>
            <w:shd w:val="clear" w:color="auto" w:fill="auto"/>
            <w:vAlign w:val="center"/>
          </w:tcPr>
          <w:p>
            <w:pPr>
              <w:widowControl/>
              <w:ind w:firstLine="160" w:firstLineChars="100"/>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执行数：</w:t>
            </w:r>
          </w:p>
        </w:tc>
        <w:tc>
          <w:tcPr>
            <w:tcW w:w="2397"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221.19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90" w:hRule="atLeast"/>
        </w:trPr>
        <w:tc>
          <w:tcPr>
            <w:tcW w:w="242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p>
        </w:tc>
        <w:tc>
          <w:tcPr>
            <w:tcW w:w="232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其中：</w:t>
            </w:r>
          </w:p>
          <w:p>
            <w:pPr>
              <w:widowControl/>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财政拨款</w:t>
            </w:r>
          </w:p>
        </w:tc>
        <w:tc>
          <w:tcPr>
            <w:tcW w:w="96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183.00</w:t>
            </w:r>
          </w:p>
        </w:tc>
        <w:tc>
          <w:tcPr>
            <w:tcW w:w="1403"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其中：</w:t>
            </w:r>
          </w:p>
          <w:p>
            <w:pPr>
              <w:widowControl/>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财政拨款</w:t>
            </w:r>
          </w:p>
        </w:tc>
        <w:tc>
          <w:tcPr>
            <w:tcW w:w="2397"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182.99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42" w:hRule="atLeast"/>
        </w:trPr>
        <w:tc>
          <w:tcPr>
            <w:tcW w:w="242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p>
        </w:tc>
        <w:tc>
          <w:tcPr>
            <w:tcW w:w="232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其他资金</w:t>
            </w:r>
          </w:p>
        </w:tc>
        <w:tc>
          <w:tcPr>
            <w:tcW w:w="96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297.00</w:t>
            </w:r>
          </w:p>
        </w:tc>
        <w:tc>
          <w:tcPr>
            <w:tcW w:w="1403"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其他资金</w:t>
            </w:r>
          </w:p>
        </w:tc>
        <w:tc>
          <w:tcPr>
            <w:tcW w:w="2397"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38.20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39" w:hRule="atLeast"/>
        </w:trPr>
        <w:tc>
          <w:tcPr>
            <w:tcW w:w="11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年度总体目标完成情况</w:t>
            </w:r>
          </w:p>
        </w:tc>
        <w:tc>
          <w:tcPr>
            <w:tcW w:w="458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预期目标</w:t>
            </w:r>
          </w:p>
        </w:tc>
        <w:tc>
          <w:tcPr>
            <w:tcW w:w="38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目标实际完成情况</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996" w:hRule="atLeast"/>
        </w:trPr>
        <w:tc>
          <w:tcPr>
            <w:tcW w:w="11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458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完成在校4000余名学生的日常教学工作、招生就业工作，保证职业教育质量稳步提升</w:t>
            </w:r>
          </w:p>
        </w:tc>
        <w:tc>
          <w:tcPr>
            <w:tcW w:w="3800" w:type="dxa"/>
            <w:gridSpan w:val="2"/>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专业建设再上新台阶。积极申报四川省高水平高职学校和高水平专业群建设计划，成功入围四川省高水平高职学校建设培育单位，刑事执行专业群获建设立项。成功申报大数据技术和智能安防运营管理两个新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2.课程建设增添新硕果。《人民调解实务》被教育部评为国家级课程思政示范课，《强制隔离戒毒人员教育矫治》被行指委评为部级课程思政示范课。</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3.教学大赛取得新成绩。教师团队参加2021年四川省和全国司法职业院校教师教学能力大赛，荣获省赛二等奖2个、三等奖2个、行指委大赛二等奖2个、三等奖2个。</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人才培养取得新成效。2021年有323人“专升本”升入本科院校就读，与2020年同比增加32.38%，占毕业生总数22.2%，排在全省高职院校前八。学生荣获全国学生“学宪法、讲宪法”四川赛区高校总决赛冠军，全省大学生国家安全暨人民防线知识与技能竞赛一等奖，全国高校大学生讲思政课省级展示二等奖，全省大学生计算机作品大赛1个二等奖、1个三等奖等多项殊荣。学院刑事司法系立项为“三全育人”综合改革试点院（系）。</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1+X”证书试点取得新突破。完成智慧安防系统实施与运维职业技能等级证书的申报，学院成为教育部“1+X”证书试点院校，是该证书省内唯一考核站点。目前学院首批27人参加该证书的中级等级考试，26人通过，通过率为96.3%，居全国司法警官院校之首。</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6.教学成果奖实现零的突破。《司法行政警察类专业虚拟仿真实训教学探索与实践》、《"一战到底"式警务技能课程改革与实践》获得首届职业教育教学成果奖省级二等奖。</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7.首次承接行业技能大赛。组织申报全国司法职业教育实务技能大赛举办事宜，草拟行指委2021年全国司法职业教育实务大赛通知，完成了学院总方案设计和各个赛项的线上线下比赛方案，目前各项目仍在备赛中。</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8.提质培优稳步推进。提质培优行动计划学院共承接16个大项、21个小项的提质培优任务（项目），计划投入总金额4320万元。2021年已投入经费1087.97万元，完成百分比为25.18%。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Layout w:type="fixed"/>
          <w:tblCellMar>
            <w:top w:w="0" w:type="dxa"/>
            <w:left w:w="108" w:type="dxa"/>
            <w:bottom w:w="0" w:type="dxa"/>
            <w:right w:w="108" w:type="dxa"/>
          </w:tblCellMar>
        </w:tblPrEx>
        <w:trPr>
          <w:trHeight w:val="439" w:hRule="atLeast"/>
        </w:trPr>
        <w:tc>
          <w:tcPr>
            <w:tcW w:w="1120" w:type="dxa"/>
            <w:vMerge w:val="restart"/>
            <w:tcBorders>
              <w:top w:val="single" w:color="auto" w:sz="4" w:space="0"/>
              <w:left w:val="single" w:color="auto" w:sz="4" w:space="0"/>
              <w:bottom w:val="single" w:color="000000" w:sz="4" w:space="0"/>
              <w:right w:val="nil"/>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年度绩效指标完成情况</w:t>
            </w:r>
          </w:p>
        </w:tc>
        <w:tc>
          <w:tcPr>
            <w:tcW w:w="1300"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一级</w:t>
            </w:r>
          </w:p>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指标</w:t>
            </w:r>
          </w:p>
        </w:tc>
        <w:tc>
          <w:tcPr>
            <w:tcW w:w="148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二级</w:t>
            </w:r>
          </w:p>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指标</w:t>
            </w:r>
          </w:p>
        </w:tc>
        <w:tc>
          <w:tcPr>
            <w:tcW w:w="180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三级</w:t>
            </w:r>
          </w:p>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指标</w:t>
            </w:r>
          </w:p>
        </w:tc>
        <w:tc>
          <w:tcPr>
            <w:tcW w:w="1403"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预期指</w:t>
            </w:r>
          </w:p>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标值</w:t>
            </w:r>
          </w:p>
        </w:tc>
        <w:tc>
          <w:tcPr>
            <w:tcW w:w="2397"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实际完成指标值</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80" w:hRule="atLeast"/>
        </w:trPr>
        <w:tc>
          <w:tcPr>
            <w:tcW w:w="1120" w:type="dxa"/>
            <w:vMerge w:val="continue"/>
            <w:tcBorders>
              <w:top w:val="nil"/>
              <w:left w:val="single" w:color="auto" w:sz="4" w:space="0"/>
              <w:bottom w:val="single" w:color="000000" w:sz="4" w:space="0"/>
              <w:right w:val="nil"/>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30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完成</w:t>
            </w:r>
          </w:p>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指标</w:t>
            </w:r>
          </w:p>
        </w:tc>
        <w:tc>
          <w:tcPr>
            <w:tcW w:w="1480" w:type="dxa"/>
            <w:tcBorders>
              <w:top w:val="nil"/>
              <w:left w:val="nil"/>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数量指标</w:t>
            </w:r>
          </w:p>
        </w:tc>
        <w:tc>
          <w:tcPr>
            <w:tcW w:w="1800"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生均拨款</w:t>
            </w:r>
          </w:p>
        </w:tc>
        <w:tc>
          <w:tcPr>
            <w:tcW w:w="1403" w:type="dxa"/>
            <w:tcBorders>
              <w:top w:val="nil"/>
              <w:left w:val="nil"/>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生均拨款达到1.2万元</w:t>
            </w:r>
          </w:p>
        </w:tc>
        <w:tc>
          <w:tcPr>
            <w:tcW w:w="2397" w:type="dxa"/>
            <w:tcBorders>
              <w:top w:val="nil"/>
              <w:left w:val="nil"/>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生均拨款达到1.2万元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210" w:hRule="atLeast"/>
        </w:trPr>
        <w:tc>
          <w:tcPr>
            <w:tcW w:w="1120" w:type="dxa"/>
            <w:vMerge w:val="continue"/>
            <w:tcBorders>
              <w:top w:val="nil"/>
              <w:left w:val="single" w:color="auto" w:sz="4" w:space="0"/>
              <w:bottom w:val="single" w:color="000000" w:sz="4" w:space="0"/>
              <w:right w:val="nil"/>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30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480" w:type="dxa"/>
            <w:tcBorders>
              <w:top w:val="nil"/>
              <w:left w:val="nil"/>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质量指标</w:t>
            </w:r>
          </w:p>
        </w:tc>
        <w:tc>
          <w:tcPr>
            <w:tcW w:w="18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专业课程建设</w:t>
            </w:r>
          </w:p>
        </w:tc>
        <w:tc>
          <w:tcPr>
            <w:tcW w:w="140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对新建专业进行调研，完成院级精品课2门，编写教材2本</w:t>
            </w:r>
          </w:p>
        </w:tc>
        <w:tc>
          <w:tcPr>
            <w:tcW w:w="239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积极申报四川省高水平高职学校和高水平专业群建设计划，成功入围四川省高水平高职学校建设培育单位，刑事执行专业群获建设立项。成功申报大数据技术和智能安防运营管理2个新专业。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人民调解实务》被教育部评为国家级课程思政示范课，《强制隔离戒毒人员教育矫治》被行指委评为部级课程思政示范课。积极开展校企双元合作开发的职业教育教材建设工作，校监双元合作开发《监狱人民警察警务技能训练大纲》，完成《监狱人民警察警务技能训练教材（公共科目）》编制。</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80" w:hRule="atLeast"/>
        </w:trPr>
        <w:tc>
          <w:tcPr>
            <w:tcW w:w="1120" w:type="dxa"/>
            <w:vMerge w:val="continue"/>
            <w:tcBorders>
              <w:top w:val="nil"/>
              <w:left w:val="single" w:color="auto" w:sz="4" w:space="0"/>
              <w:bottom w:val="single" w:color="000000" w:sz="4" w:space="0"/>
              <w:right w:val="nil"/>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30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480" w:type="dxa"/>
            <w:tcBorders>
              <w:top w:val="nil"/>
              <w:left w:val="nil"/>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时效指标</w:t>
            </w:r>
          </w:p>
        </w:tc>
        <w:tc>
          <w:tcPr>
            <w:tcW w:w="18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40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239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645" w:hRule="atLeast"/>
        </w:trPr>
        <w:tc>
          <w:tcPr>
            <w:tcW w:w="1120" w:type="dxa"/>
            <w:vMerge w:val="continue"/>
            <w:tcBorders>
              <w:top w:val="nil"/>
              <w:left w:val="single" w:color="auto" w:sz="4" w:space="0"/>
              <w:bottom w:val="single" w:color="000000" w:sz="4" w:space="0"/>
              <w:right w:val="nil"/>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30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480" w:type="dxa"/>
            <w:tcBorders>
              <w:top w:val="nil"/>
              <w:left w:val="nil"/>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成本指标</w:t>
            </w:r>
          </w:p>
        </w:tc>
        <w:tc>
          <w:tcPr>
            <w:tcW w:w="18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按照项目预算控制</w:t>
            </w:r>
          </w:p>
          <w:p>
            <w:pPr>
              <w:keepNext w:val="0"/>
              <w:keepLines w:val="0"/>
              <w:pageBreakBefore w:val="0"/>
              <w:widowControl/>
              <w:kinsoku/>
              <w:wordWrap/>
              <w:overflowPunct/>
              <w:topLinePunct w:val="0"/>
              <w:autoSpaceDE/>
              <w:autoSpaceDN/>
              <w:bidi w:val="0"/>
              <w:adjustRightInd/>
              <w:snapToGrid/>
              <w:spacing w:line="28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成本</w:t>
            </w:r>
          </w:p>
        </w:tc>
        <w:tc>
          <w:tcPr>
            <w:tcW w:w="140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项目成本控制在242万以内</w:t>
            </w:r>
          </w:p>
        </w:tc>
        <w:tc>
          <w:tcPr>
            <w:tcW w:w="239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项目成本控制在242万以内</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40" w:hRule="atLeast"/>
        </w:trPr>
        <w:tc>
          <w:tcPr>
            <w:tcW w:w="1120" w:type="dxa"/>
            <w:vMerge w:val="continue"/>
            <w:tcBorders>
              <w:top w:val="nil"/>
              <w:left w:val="single" w:color="auto" w:sz="4" w:space="0"/>
              <w:bottom w:val="single" w:color="000000" w:sz="4" w:space="0"/>
              <w:right w:val="nil"/>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30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效益</w:t>
            </w:r>
          </w:p>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指标</w:t>
            </w:r>
          </w:p>
        </w:tc>
        <w:tc>
          <w:tcPr>
            <w:tcW w:w="1480" w:type="dxa"/>
            <w:tcBorders>
              <w:top w:val="nil"/>
              <w:left w:val="nil"/>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经济效益指标</w:t>
            </w:r>
          </w:p>
        </w:tc>
        <w:tc>
          <w:tcPr>
            <w:tcW w:w="18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为经济社会发展提供技术技能型人才</w:t>
            </w:r>
          </w:p>
        </w:tc>
        <w:tc>
          <w:tcPr>
            <w:tcW w:w="140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专业人才达到400余人</w:t>
            </w:r>
          </w:p>
        </w:tc>
        <w:tc>
          <w:tcPr>
            <w:tcW w:w="239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提供技术技能型人才450人</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765" w:hRule="atLeast"/>
        </w:trPr>
        <w:tc>
          <w:tcPr>
            <w:tcW w:w="1120" w:type="dxa"/>
            <w:vMerge w:val="continue"/>
            <w:tcBorders>
              <w:top w:val="nil"/>
              <w:left w:val="single" w:color="auto" w:sz="4" w:space="0"/>
              <w:bottom w:val="single" w:color="000000" w:sz="4" w:space="0"/>
              <w:right w:val="nil"/>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30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480" w:type="dxa"/>
            <w:tcBorders>
              <w:top w:val="nil"/>
              <w:left w:val="nil"/>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社会效益指标</w:t>
            </w:r>
          </w:p>
        </w:tc>
        <w:tc>
          <w:tcPr>
            <w:tcW w:w="18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职业教育受益学生</w:t>
            </w:r>
          </w:p>
        </w:tc>
        <w:tc>
          <w:tcPr>
            <w:tcW w:w="140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每年职业教育受益学生达到1300余人</w:t>
            </w:r>
          </w:p>
        </w:tc>
        <w:tc>
          <w:tcPr>
            <w:tcW w:w="239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每年职业教育受益学生达到1380人</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80" w:hRule="atLeast"/>
        </w:trPr>
        <w:tc>
          <w:tcPr>
            <w:tcW w:w="1120" w:type="dxa"/>
            <w:vMerge w:val="continue"/>
            <w:tcBorders>
              <w:top w:val="nil"/>
              <w:left w:val="single" w:color="auto" w:sz="4" w:space="0"/>
              <w:bottom w:val="single" w:color="000000" w:sz="4" w:space="0"/>
              <w:right w:val="nil"/>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30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480" w:type="dxa"/>
            <w:tcBorders>
              <w:top w:val="nil"/>
              <w:left w:val="nil"/>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生态效益指标</w:t>
            </w:r>
          </w:p>
        </w:tc>
        <w:tc>
          <w:tcPr>
            <w:tcW w:w="18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40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239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80" w:hRule="atLeast"/>
        </w:trPr>
        <w:tc>
          <w:tcPr>
            <w:tcW w:w="1120" w:type="dxa"/>
            <w:vMerge w:val="continue"/>
            <w:tcBorders>
              <w:top w:val="nil"/>
              <w:left w:val="single" w:color="auto" w:sz="4" w:space="0"/>
              <w:bottom w:val="single" w:color="000000" w:sz="4" w:space="0"/>
              <w:right w:val="nil"/>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30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480" w:type="dxa"/>
            <w:tcBorders>
              <w:top w:val="nil"/>
              <w:left w:val="nil"/>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可持续影响指标</w:t>
            </w:r>
          </w:p>
        </w:tc>
        <w:tc>
          <w:tcPr>
            <w:tcW w:w="18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影响青少年（学生）</w:t>
            </w:r>
          </w:p>
          <w:p>
            <w:pPr>
              <w:keepNext w:val="0"/>
              <w:keepLines w:val="0"/>
              <w:pageBreakBefore w:val="0"/>
              <w:widowControl/>
              <w:kinsoku/>
              <w:wordWrap/>
              <w:overflowPunct/>
              <w:topLinePunct w:val="0"/>
              <w:autoSpaceDE/>
              <w:autoSpaceDN/>
              <w:bidi w:val="0"/>
              <w:adjustRightInd/>
              <w:snapToGrid/>
              <w:spacing w:line="28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数量</w:t>
            </w:r>
          </w:p>
        </w:tc>
        <w:tc>
          <w:tcPr>
            <w:tcW w:w="1403"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影响学生人数4200余人</w:t>
            </w:r>
          </w:p>
        </w:tc>
        <w:tc>
          <w:tcPr>
            <w:tcW w:w="239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影响学生人数约4204人</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215" w:hRule="atLeast"/>
        </w:trPr>
        <w:tc>
          <w:tcPr>
            <w:tcW w:w="1120" w:type="dxa"/>
            <w:vMerge w:val="continue"/>
            <w:tcBorders>
              <w:top w:val="nil"/>
              <w:left w:val="single" w:color="auto" w:sz="4" w:space="0"/>
              <w:bottom w:val="single" w:color="000000" w:sz="4" w:space="0"/>
              <w:right w:val="nil"/>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300" w:type="dxa"/>
            <w:tcBorders>
              <w:top w:val="nil"/>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满意</w:t>
            </w:r>
          </w:p>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度指标</w:t>
            </w:r>
          </w:p>
        </w:tc>
        <w:tc>
          <w:tcPr>
            <w:tcW w:w="1480" w:type="dxa"/>
            <w:tcBorders>
              <w:top w:val="nil"/>
              <w:left w:val="nil"/>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满意度指标</w:t>
            </w:r>
          </w:p>
        </w:tc>
        <w:tc>
          <w:tcPr>
            <w:tcW w:w="1800"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学校师生及主管部门满意度</w:t>
            </w:r>
          </w:p>
        </w:tc>
        <w:tc>
          <w:tcPr>
            <w:tcW w:w="1403" w:type="dxa"/>
            <w:tcBorders>
              <w:top w:val="nil"/>
              <w:left w:val="nil"/>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师生及主管部门满意度达到80%</w:t>
            </w:r>
          </w:p>
        </w:tc>
        <w:tc>
          <w:tcPr>
            <w:tcW w:w="2397" w:type="dxa"/>
            <w:tcBorders>
              <w:top w:val="nil"/>
              <w:left w:val="nil"/>
              <w:bottom w:val="single" w:color="000000" w:sz="4" w:space="0"/>
              <w:right w:val="single" w:color="000000" w:sz="4" w:space="0"/>
            </w:tcBorders>
            <w:shd w:val="clear" w:color="auto" w:fill="auto"/>
            <w:vAlign w:val="center"/>
          </w:tcPr>
          <w:p>
            <w:pPr>
              <w:widowControl/>
              <w:spacing w:line="320" w:lineRule="exact"/>
              <w:jc w:val="both"/>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据第三方调研机构数据显示：在校生满意度85.60%；毕业生满意度80%；教职工满意度87.65%；用人单位满意度84.68；家长满意度85.62.</w:t>
            </w: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color w:val="000000" w:themeColor="text1"/>
          <w:spacing w:val="-11"/>
          <w:sz w:val="32"/>
          <w:szCs w:val="32"/>
          <w14:textFill>
            <w14:solidFill>
              <w14:schemeClr w14:val="tx1"/>
            </w14:solidFill>
          </w14:textFill>
        </w:rPr>
      </w:pPr>
      <w:r>
        <w:rPr>
          <w:rFonts w:hint="eastAsia" w:ascii="宋体" w:hAnsi="宋体" w:eastAsia="宋体" w:cs="宋体"/>
          <w:b/>
          <w:color w:val="000000" w:themeColor="text1"/>
          <w:spacing w:val="-11"/>
          <w:sz w:val="32"/>
          <w:szCs w:val="32"/>
          <w14:textFill>
            <w14:solidFill>
              <w14:schemeClr w14:val="tx1"/>
            </w14:solidFill>
          </w14:textFill>
        </w:rPr>
        <w:t>2021年100万元以上（含）特定目标类部门预算项目绩效目标自评</w:t>
      </w:r>
    </w:p>
    <w:p>
      <w:pPr>
        <w:bidi w:val="0"/>
        <w:rPr>
          <w:rFonts w:hint="eastAsia"/>
          <w:color w:val="000000" w:themeColor="text1"/>
          <w14:textFill>
            <w14:solidFill>
              <w14:schemeClr w14:val="tx1"/>
            </w14:solidFill>
          </w14:textFill>
        </w:rPr>
      </w:pPr>
    </w:p>
    <w:tbl>
      <w:tblPr>
        <w:tblStyle w:val="14"/>
        <w:tblW w:w="9654" w:type="dxa"/>
        <w:jc w:val="center"/>
        <w:tblInd w:w="93" w:type="dxa"/>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Layout w:type="fixed"/>
        <w:tblCellMar>
          <w:top w:w="0" w:type="dxa"/>
          <w:left w:w="108" w:type="dxa"/>
          <w:bottom w:w="0" w:type="dxa"/>
          <w:right w:w="108" w:type="dxa"/>
        </w:tblCellMar>
      </w:tblPr>
      <w:tblGrid>
        <w:gridCol w:w="1120"/>
        <w:gridCol w:w="1250"/>
        <w:gridCol w:w="1418"/>
        <w:gridCol w:w="622"/>
        <w:gridCol w:w="992"/>
        <w:gridCol w:w="1701"/>
        <w:gridCol w:w="2551"/>
      </w:tblGrid>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Layout w:type="fixed"/>
          <w:tblCellMar>
            <w:top w:w="0" w:type="dxa"/>
            <w:left w:w="108" w:type="dxa"/>
            <w:bottom w:w="0" w:type="dxa"/>
            <w:right w:w="108" w:type="dxa"/>
          </w:tblCellMar>
        </w:tblPrEx>
        <w:trPr>
          <w:trHeight w:val="1080" w:hRule="atLeast"/>
          <w:jc w:val="center"/>
        </w:trPr>
        <w:tc>
          <w:tcPr>
            <w:tcW w:w="23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项目名称</w:t>
            </w:r>
          </w:p>
        </w:tc>
        <w:tc>
          <w:tcPr>
            <w:tcW w:w="7284"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2021年现代质量教育提升计划——监所突发事件处置虚拟仿真实训中心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795" w:hRule="atLeast"/>
          <w:jc w:val="center"/>
        </w:trPr>
        <w:tc>
          <w:tcPr>
            <w:tcW w:w="23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主管部门及代码</w:t>
            </w:r>
          </w:p>
        </w:tc>
        <w:tc>
          <w:tcPr>
            <w:tcW w:w="3032"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四川省司法厅</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实施单位</w:t>
            </w:r>
          </w:p>
        </w:tc>
        <w:tc>
          <w:tcPr>
            <w:tcW w:w="255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四川司法警官职业学院</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39" w:hRule="atLeast"/>
          <w:jc w:val="center"/>
        </w:trPr>
        <w:tc>
          <w:tcPr>
            <w:tcW w:w="237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项目预算</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执行情况</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（万元）</w:t>
            </w:r>
          </w:p>
        </w:tc>
        <w:tc>
          <w:tcPr>
            <w:tcW w:w="2040"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xml:space="preserve"> 预算数：</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righ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110.00</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xml:space="preserve"> 执行数：</w:t>
            </w:r>
          </w:p>
        </w:tc>
        <w:tc>
          <w:tcPr>
            <w:tcW w:w="255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righ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109.80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39" w:hRule="atLeast"/>
          <w:jc w:val="center"/>
        </w:trPr>
        <w:tc>
          <w:tcPr>
            <w:tcW w:w="237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宋体" w:hAnsi="宋体" w:eastAsia="宋体" w:cs="宋体"/>
                <w:color w:val="000000" w:themeColor="text1"/>
                <w:kern w:val="0"/>
                <w:sz w:val="16"/>
                <w:szCs w:val="16"/>
                <w14:textFill>
                  <w14:solidFill>
                    <w14:schemeClr w14:val="tx1"/>
                  </w14:solidFill>
                </w14:textFill>
              </w:rPr>
            </w:pPr>
          </w:p>
        </w:tc>
        <w:tc>
          <w:tcPr>
            <w:tcW w:w="2040"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其中：</w:t>
            </w:r>
          </w:p>
          <w:p>
            <w:pPr>
              <w:keepNext w:val="0"/>
              <w:keepLines w:val="0"/>
              <w:pageBreakBefore w:val="0"/>
              <w:widowControl/>
              <w:kinsoku/>
              <w:wordWrap/>
              <w:overflowPunct/>
              <w:topLinePunct w:val="0"/>
              <w:autoSpaceDE/>
              <w:autoSpaceDN/>
              <w:bidi w:val="0"/>
              <w:adjustRightInd/>
              <w:snapToGrid/>
              <w:spacing w:line="32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财政拨款</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righ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110.00</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其中：</w:t>
            </w:r>
          </w:p>
          <w:p>
            <w:pPr>
              <w:keepNext w:val="0"/>
              <w:keepLines w:val="0"/>
              <w:pageBreakBefore w:val="0"/>
              <w:widowControl/>
              <w:kinsoku/>
              <w:wordWrap/>
              <w:overflowPunct/>
              <w:topLinePunct w:val="0"/>
              <w:autoSpaceDE/>
              <w:autoSpaceDN/>
              <w:bidi w:val="0"/>
              <w:adjustRightInd/>
              <w:snapToGrid/>
              <w:spacing w:line="32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财政拨款</w:t>
            </w:r>
          </w:p>
        </w:tc>
        <w:tc>
          <w:tcPr>
            <w:tcW w:w="255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righ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109.80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39" w:hRule="atLeast"/>
          <w:jc w:val="center"/>
        </w:trPr>
        <w:tc>
          <w:tcPr>
            <w:tcW w:w="237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宋体" w:hAnsi="宋体" w:eastAsia="宋体" w:cs="宋体"/>
                <w:color w:val="000000" w:themeColor="text1"/>
                <w:kern w:val="0"/>
                <w:sz w:val="16"/>
                <w:szCs w:val="16"/>
                <w14:textFill>
                  <w14:solidFill>
                    <w14:schemeClr w14:val="tx1"/>
                  </w14:solidFill>
                </w14:textFill>
              </w:rPr>
            </w:pPr>
          </w:p>
        </w:tc>
        <w:tc>
          <w:tcPr>
            <w:tcW w:w="2040"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其他资金</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320" w:firstLineChars="200"/>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0</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其他资金</w:t>
            </w:r>
          </w:p>
        </w:tc>
        <w:tc>
          <w:tcPr>
            <w:tcW w:w="255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righ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39" w:hRule="atLeast"/>
          <w:jc w:val="center"/>
        </w:trPr>
        <w:tc>
          <w:tcPr>
            <w:tcW w:w="112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年度总体目标完成情况</w:t>
            </w:r>
          </w:p>
        </w:tc>
        <w:tc>
          <w:tcPr>
            <w:tcW w:w="4282"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预期目标</w:t>
            </w:r>
          </w:p>
        </w:tc>
        <w:tc>
          <w:tcPr>
            <w:tcW w:w="425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目标实际完成情况</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793" w:hRule="atLeast"/>
          <w:jc w:val="center"/>
        </w:trPr>
        <w:tc>
          <w:tcPr>
            <w:tcW w:w="1120"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color w:val="000000" w:themeColor="text1"/>
                <w:kern w:val="0"/>
                <w:sz w:val="16"/>
                <w:szCs w:val="16"/>
                <w14:textFill>
                  <w14:solidFill>
                    <w14:schemeClr w14:val="tx1"/>
                  </w14:solidFill>
                </w14:textFill>
              </w:rPr>
            </w:pPr>
          </w:p>
        </w:tc>
        <w:tc>
          <w:tcPr>
            <w:tcW w:w="4282" w:type="dxa"/>
            <w:gridSpan w:val="4"/>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提质培优项目子项目虚拟仿真实训中心在2021年通过专家论证，招标建设，在12月31日前保质完成。项目以四川司法警官职业学院虚拟仿真中心为平台，联合全国14家司法警官学院，打造搭建全国司法类虚拟仿真共建共享中心，实现司法类虚拟仿真资源共建共享。</w:t>
            </w:r>
          </w:p>
        </w:tc>
        <w:tc>
          <w:tcPr>
            <w:tcW w:w="4252"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项目完成四川司法警官职业学院虚拟仿真中心平台建设，搭建了全国司法类虚拟仿真共建共享中心。已经联合4家司法警官学院，正在联系其余学院。初步实现司法类虚拟仿真资源共建共享。</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39" w:hRule="atLeast"/>
          <w:jc w:val="center"/>
        </w:trPr>
        <w:tc>
          <w:tcPr>
            <w:tcW w:w="1120" w:type="dxa"/>
            <w:vMerge w:val="restart"/>
            <w:tcBorders>
              <w:top w:val="nil"/>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年度绩效指标完成情况</w:t>
            </w:r>
          </w:p>
        </w:tc>
        <w:tc>
          <w:tcPr>
            <w:tcW w:w="12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一级</w:t>
            </w:r>
          </w:p>
          <w:p>
            <w:pPr>
              <w:keepNext w:val="0"/>
              <w:keepLines w:val="0"/>
              <w:pageBreakBefore w:val="0"/>
              <w:widowControl/>
              <w:kinsoku/>
              <w:wordWrap/>
              <w:overflowPunct/>
              <w:topLinePunct w:val="0"/>
              <w:autoSpaceDE/>
              <w:autoSpaceDN/>
              <w:bidi w:val="0"/>
              <w:adjustRightInd/>
              <w:snapToGrid/>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指标</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二级</w:t>
            </w:r>
          </w:p>
          <w:p>
            <w:pPr>
              <w:keepNext w:val="0"/>
              <w:keepLines w:val="0"/>
              <w:pageBreakBefore w:val="0"/>
              <w:widowControl/>
              <w:kinsoku/>
              <w:wordWrap/>
              <w:overflowPunct/>
              <w:topLinePunct w:val="0"/>
              <w:autoSpaceDE/>
              <w:autoSpaceDN/>
              <w:bidi w:val="0"/>
              <w:adjustRightInd/>
              <w:snapToGrid/>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指标</w:t>
            </w:r>
          </w:p>
        </w:tc>
        <w:tc>
          <w:tcPr>
            <w:tcW w:w="161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三级</w:t>
            </w:r>
          </w:p>
          <w:p>
            <w:pPr>
              <w:keepNext w:val="0"/>
              <w:keepLines w:val="0"/>
              <w:pageBreakBefore w:val="0"/>
              <w:widowControl/>
              <w:kinsoku/>
              <w:wordWrap/>
              <w:overflowPunct/>
              <w:topLinePunct w:val="0"/>
              <w:autoSpaceDE/>
              <w:autoSpaceDN/>
              <w:bidi w:val="0"/>
              <w:adjustRightInd/>
              <w:snapToGrid/>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指标</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预期指</w:t>
            </w:r>
          </w:p>
          <w:p>
            <w:pPr>
              <w:keepNext w:val="0"/>
              <w:keepLines w:val="0"/>
              <w:pageBreakBefore w:val="0"/>
              <w:widowControl/>
              <w:kinsoku/>
              <w:wordWrap/>
              <w:overflowPunct/>
              <w:topLinePunct w:val="0"/>
              <w:autoSpaceDE/>
              <w:autoSpaceDN/>
              <w:bidi w:val="0"/>
              <w:adjustRightInd/>
              <w:snapToGrid/>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标值</w:t>
            </w:r>
          </w:p>
        </w:tc>
        <w:tc>
          <w:tcPr>
            <w:tcW w:w="255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实际完成指标值</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80" w:hRule="atLeast"/>
          <w:jc w:val="center"/>
        </w:trPr>
        <w:tc>
          <w:tcPr>
            <w:tcW w:w="1120"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25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完成</w:t>
            </w:r>
          </w:p>
          <w:p>
            <w:pPr>
              <w:keepNext w:val="0"/>
              <w:keepLines w:val="0"/>
              <w:pageBreakBefore w:val="0"/>
              <w:widowControl/>
              <w:kinsoku/>
              <w:wordWrap/>
              <w:overflowPunct/>
              <w:topLinePunct w:val="0"/>
              <w:autoSpaceDE/>
              <w:autoSpaceDN/>
              <w:bidi w:val="0"/>
              <w:adjustRightInd/>
              <w:snapToGrid/>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指标</w:t>
            </w:r>
          </w:p>
        </w:tc>
        <w:tc>
          <w:tcPr>
            <w:tcW w:w="141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数量指标</w:t>
            </w:r>
          </w:p>
        </w:tc>
        <w:tc>
          <w:tcPr>
            <w:tcW w:w="1614"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建设实训室</w:t>
            </w:r>
          </w:p>
        </w:tc>
        <w:tc>
          <w:tcPr>
            <w:tcW w:w="170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建设虚拟仿真实训室</w:t>
            </w:r>
          </w:p>
        </w:tc>
        <w:tc>
          <w:tcPr>
            <w:tcW w:w="25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80" w:hRule="atLeast"/>
          <w:jc w:val="center"/>
        </w:trPr>
        <w:tc>
          <w:tcPr>
            <w:tcW w:w="1120"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250" w:type="dxa"/>
            <w:vMerge w:val="continue"/>
            <w:tcBorders>
              <w:top w:val="nil"/>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41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质量指标</w:t>
            </w:r>
          </w:p>
        </w:tc>
        <w:tc>
          <w:tcPr>
            <w:tcW w:w="1614"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教育教学改革加快推进信息技术与教育教学的深度融合</w:t>
            </w:r>
          </w:p>
        </w:tc>
        <w:tc>
          <w:tcPr>
            <w:tcW w:w="170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建设全国司法类虚拟仿真共建共享平台</w:t>
            </w:r>
          </w:p>
        </w:tc>
        <w:tc>
          <w:tcPr>
            <w:tcW w:w="25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80" w:hRule="atLeast"/>
          <w:jc w:val="center"/>
        </w:trPr>
        <w:tc>
          <w:tcPr>
            <w:tcW w:w="1120"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250"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41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时效指标</w:t>
            </w:r>
          </w:p>
        </w:tc>
        <w:tc>
          <w:tcPr>
            <w:tcW w:w="1614"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项目完成进度</w:t>
            </w:r>
          </w:p>
        </w:tc>
        <w:tc>
          <w:tcPr>
            <w:tcW w:w="170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完成时间12月31日</w:t>
            </w:r>
          </w:p>
        </w:tc>
        <w:tc>
          <w:tcPr>
            <w:tcW w:w="25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80" w:hRule="atLeast"/>
          <w:jc w:val="center"/>
        </w:trPr>
        <w:tc>
          <w:tcPr>
            <w:tcW w:w="1120"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250"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41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成本指标</w:t>
            </w:r>
          </w:p>
        </w:tc>
        <w:tc>
          <w:tcPr>
            <w:tcW w:w="1614"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70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25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80" w:hRule="atLeast"/>
          <w:jc w:val="center"/>
        </w:trPr>
        <w:tc>
          <w:tcPr>
            <w:tcW w:w="1120"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25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效益</w:t>
            </w:r>
          </w:p>
          <w:p>
            <w:pPr>
              <w:keepNext w:val="0"/>
              <w:keepLines w:val="0"/>
              <w:pageBreakBefore w:val="0"/>
              <w:widowControl/>
              <w:kinsoku/>
              <w:wordWrap/>
              <w:overflowPunct/>
              <w:topLinePunct w:val="0"/>
              <w:autoSpaceDE/>
              <w:autoSpaceDN/>
              <w:bidi w:val="0"/>
              <w:adjustRightInd/>
              <w:snapToGrid/>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指标</w:t>
            </w:r>
          </w:p>
        </w:tc>
        <w:tc>
          <w:tcPr>
            <w:tcW w:w="141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经济效益指标</w:t>
            </w:r>
          </w:p>
        </w:tc>
        <w:tc>
          <w:tcPr>
            <w:tcW w:w="1614"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为经济社会发展提供技术技能型人才</w:t>
            </w:r>
          </w:p>
        </w:tc>
        <w:tc>
          <w:tcPr>
            <w:tcW w:w="170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专业人才培训</w:t>
            </w:r>
          </w:p>
        </w:tc>
        <w:tc>
          <w:tcPr>
            <w:tcW w:w="25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80" w:hRule="atLeast"/>
          <w:jc w:val="center"/>
        </w:trPr>
        <w:tc>
          <w:tcPr>
            <w:tcW w:w="1120"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250"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41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社会效益指标</w:t>
            </w:r>
          </w:p>
        </w:tc>
        <w:tc>
          <w:tcPr>
            <w:tcW w:w="1614"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职业教育受益学生</w:t>
            </w:r>
          </w:p>
        </w:tc>
        <w:tc>
          <w:tcPr>
            <w:tcW w:w="170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spacing w:val="-6"/>
                <w:w w:val="99"/>
                <w:kern w:val="0"/>
                <w:sz w:val="16"/>
                <w:szCs w:val="16"/>
                <w14:textFill>
                  <w14:solidFill>
                    <w14:schemeClr w14:val="tx1"/>
                  </w14:solidFill>
                </w14:textFill>
              </w:rPr>
              <w:t>收益学生不低于1000人</w:t>
            </w:r>
          </w:p>
        </w:tc>
        <w:tc>
          <w:tcPr>
            <w:tcW w:w="25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80" w:hRule="atLeast"/>
          <w:jc w:val="center"/>
        </w:trPr>
        <w:tc>
          <w:tcPr>
            <w:tcW w:w="1120"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250"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41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生态效益指标</w:t>
            </w:r>
          </w:p>
        </w:tc>
        <w:tc>
          <w:tcPr>
            <w:tcW w:w="1614"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70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25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80" w:hRule="atLeast"/>
          <w:jc w:val="center"/>
        </w:trPr>
        <w:tc>
          <w:tcPr>
            <w:tcW w:w="1120"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250"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41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可持续影响指标</w:t>
            </w:r>
          </w:p>
        </w:tc>
        <w:tc>
          <w:tcPr>
            <w:tcW w:w="1614"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影响青少年（学生）数量</w:t>
            </w:r>
          </w:p>
        </w:tc>
        <w:tc>
          <w:tcPr>
            <w:tcW w:w="170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spacing w:val="-6"/>
                <w:w w:val="99"/>
                <w:kern w:val="0"/>
                <w:sz w:val="16"/>
                <w:szCs w:val="16"/>
                <w14:textFill>
                  <w14:solidFill>
                    <w14:schemeClr w14:val="tx1"/>
                  </w14:solidFill>
                </w14:textFill>
              </w:rPr>
              <w:t>收益学生不低于1000人</w:t>
            </w:r>
          </w:p>
        </w:tc>
        <w:tc>
          <w:tcPr>
            <w:tcW w:w="25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80" w:hRule="atLeast"/>
          <w:jc w:val="center"/>
        </w:trPr>
        <w:tc>
          <w:tcPr>
            <w:tcW w:w="1120" w:type="dxa"/>
            <w:vMerge w:val="continue"/>
            <w:tcBorders>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25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满意</w:t>
            </w:r>
          </w:p>
          <w:p>
            <w:pPr>
              <w:keepNext w:val="0"/>
              <w:keepLines w:val="0"/>
              <w:pageBreakBefore w:val="0"/>
              <w:widowControl/>
              <w:kinsoku/>
              <w:wordWrap/>
              <w:overflowPunct/>
              <w:topLinePunct w:val="0"/>
              <w:autoSpaceDE/>
              <w:autoSpaceDN/>
              <w:bidi w:val="0"/>
              <w:adjustRightInd/>
              <w:snapToGrid/>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度指标</w:t>
            </w:r>
          </w:p>
        </w:tc>
        <w:tc>
          <w:tcPr>
            <w:tcW w:w="141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满意度指标</w:t>
            </w:r>
          </w:p>
        </w:tc>
        <w:tc>
          <w:tcPr>
            <w:tcW w:w="1614"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师生综合满意度</w:t>
            </w:r>
          </w:p>
        </w:tc>
        <w:tc>
          <w:tcPr>
            <w:tcW w:w="170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师生综合满意度不低于95%</w:t>
            </w:r>
          </w:p>
        </w:tc>
        <w:tc>
          <w:tcPr>
            <w:tcW w:w="255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100%</w:t>
            </w: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color w:val="000000" w:themeColor="text1"/>
          <w:spacing w:val="-11"/>
          <w:sz w:val="32"/>
          <w:szCs w:val="32"/>
          <w14:textFill>
            <w14:solidFill>
              <w14:schemeClr w14:val="tx1"/>
            </w14:solidFill>
          </w14:textFill>
        </w:rPr>
      </w:pPr>
      <w:r>
        <w:rPr>
          <w:rFonts w:hint="eastAsia" w:ascii="宋体" w:hAnsi="宋体" w:eastAsia="宋体" w:cs="宋体"/>
          <w:b/>
          <w:color w:val="000000" w:themeColor="text1"/>
          <w:spacing w:val="-11"/>
          <w:sz w:val="32"/>
          <w:szCs w:val="32"/>
          <w14:textFill>
            <w14:solidFill>
              <w14:schemeClr w14:val="tx1"/>
            </w14:solidFill>
          </w14:textFill>
        </w:rPr>
        <w:t>2021年100万元以上（含）特定目标类部门预算项目绩效目标自评</w:t>
      </w:r>
    </w:p>
    <w:p>
      <w:pPr>
        <w:bidi w:val="0"/>
        <w:rPr>
          <w:rFonts w:hint="eastAsia"/>
          <w:color w:val="000000" w:themeColor="text1"/>
          <w14:textFill>
            <w14:solidFill>
              <w14:schemeClr w14:val="tx1"/>
            </w14:solidFill>
          </w14:textFill>
        </w:rPr>
      </w:pPr>
    </w:p>
    <w:tbl>
      <w:tblPr>
        <w:tblStyle w:val="14"/>
        <w:tblW w:w="9480" w:type="dxa"/>
        <w:jc w:val="center"/>
        <w:tblInd w:w="93" w:type="dxa"/>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Layout w:type="fixed"/>
        <w:tblCellMar>
          <w:top w:w="0" w:type="dxa"/>
          <w:left w:w="108" w:type="dxa"/>
          <w:bottom w:w="0" w:type="dxa"/>
          <w:right w:w="108" w:type="dxa"/>
        </w:tblCellMar>
      </w:tblPr>
      <w:tblGrid>
        <w:gridCol w:w="1074"/>
        <w:gridCol w:w="1074"/>
        <w:gridCol w:w="1310"/>
        <w:gridCol w:w="785"/>
        <w:gridCol w:w="936"/>
        <w:gridCol w:w="1957"/>
        <w:gridCol w:w="2344"/>
      </w:tblGrid>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Layout w:type="fixed"/>
          <w:tblCellMar>
            <w:top w:w="0" w:type="dxa"/>
            <w:left w:w="108" w:type="dxa"/>
            <w:bottom w:w="0" w:type="dxa"/>
            <w:right w:w="108" w:type="dxa"/>
          </w:tblCellMar>
        </w:tblPrEx>
        <w:trPr>
          <w:trHeight w:val="439" w:hRule="atLeast"/>
          <w:jc w:val="center"/>
        </w:trPr>
        <w:tc>
          <w:tcPr>
            <w:tcW w:w="21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项目名称</w:t>
            </w:r>
          </w:p>
        </w:tc>
        <w:tc>
          <w:tcPr>
            <w:tcW w:w="733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2021年现代质量教育提升计划</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645" w:hRule="atLeast"/>
          <w:jc w:val="center"/>
        </w:trPr>
        <w:tc>
          <w:tcPr>
            <w:tcW w:w="21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主管部门及代码</w:t>
            </w:r>
          </w:p>
        </w:tc>
        <w:tc>
          <w:tcPr>
            <w:tcW w:w="3031"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四川省司法厅</w:t>
            </w:r>
          </w:p>
        </w:tc>
        <w:tc>
          <w:tcPr>
            <w:tcW w:w="195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实施单位</w:t>
            </w:r>
          </w:p>
        </w:tc>
        <w:tc>
          <w:tcPr>
            <w:tcW w:w="234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四川司法警官职业学院</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39" w:hRule="atLeast"/>
          <w:jc w:val="center"/>
        </w:trPr>
        <w:tc>
          <w:tcPr>
            <w:tcW w:w="21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项目预算</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执行情况</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（万元）</w:t>
            </w:r>
          </w:p>
        </w:tc>
        <w:tc>
          <w:tcPr>
            <w:tcW w:w="2095"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xml:space="preserve"> 预算数：</w:t>
            </w:r>
          </w:p>
        </w:tc>
        <w:tc>
          <w:tcPr>
            <w:tcW w:w="93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109.00</w:t>
            </w:r>
          </w:p>
        </w:tc>
        <w:tc>
          <w:tcPr>
            <w:tcW w:w="195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xml:space="preserve"> 执行数：</w:t>
            </w:r>
          </w:p>
        </w:tc>
        <w:tc>
          <w:tcPr>
            <w:tcW w:w="2344"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38.87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39" w:hRule="atLeast"/>
          <w:jc w:val="center"/>
        </w:trPr>
        <w:tc>
          <w:tcPr>
            <w:tcW w:w="21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p>
        </w:tc>
        <w:tc>
          <w:tcPr>
            <w:tcW w:w="2095"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xml:space="preserve"> 其中：</w:t>
            </w:r>
          </w:p>
          <w:p>
            <w:pPr>
              <w:widowControl/>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财政拨款</w:t>
            </w:r>
          </w:p>
        </w:tc>
        <w:tc>
          <w:tcPr>
            <w:tcW w:w="93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109.00</w:t>
            </w:r>
          </w:p>
        </w:tc>
        <w:tc>
          <w:tcPr>
            <w:tcW w:w="195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其中：</w:t>
            </w:r>
          </w:p>
          <w:p>
            <w:pPr>
              <w:widowControl/>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财政拨款</w:t>
            </w:r>
          </w:p>
        </w:tc>
        <w:tc>
          <w:tcPr>
            <w:tcW w:w="2344"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38.87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39" w:hRule="atLeast"/>
          <w:jc w:val="center"/>
        </w:trPr>
        <w:tc>
          <w:tcPr>
            <w:tcW w:w="21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p>
        </w:tc>
        <w:tc>
          <w:tcPr>
            <w:tcW w:w="2095"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其他资金</w:t>
            </w:r>
          </w:p>
        </w:tc>
        <w:tc>
          <w:tcPr>
            <w:tcW w:w="936" w:type="dxa"/>
            <w:tcBorders>
              <w:top w:val="nil"/>
              <w:left w:val="nil"/>
              <w:bottom w:val="single" w:color="auto" w:sz="4" w:space="0"/>
              <w:right w:val="single" w:color="auto" w:sz="4" w:space="0"/>
            </w:tcBorders>
            <w:shd w:val="clear" w:color="auto" w:fill="auto"/>
            <w:vAlign w:val="center"/>
          </w:tcPr>
          <w:p>
            <w:pPr>
              <w:widowControl/>
              <w:ind w:firstLine="320" w:firstLineChars="200"/>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0</w:t>
            </w:r>
          </w:p>
        </w:tc>
        <w:tc>
          <w:tcPr>
            <w:tcW w:w="195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其他资金</w:t>
            </w:r>
          </w:p>
        </w:tc>
        <w:tc>
          <w:tcPr>
            <w:tcW w:w="2344"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39" w:hRule="atLeast"/>
          <w:jc w:val="center"/>
        </w:trPr>
        <w:tc>
          <w:tcPr>
            <w:tcW w:w="107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年</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度</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总</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体</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目</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标</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成</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情</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况</w:t>
            </w:r>
          </w:p>
        </w:tc>
        <w:tc>
          <w:tcPr>
            <w:tcW w:w="4105"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预期目标</w:t>
            </w:r>
          </w:p>
        </w:tc>
        <w:tc>
          <w:tcPr>
            <w:tcW w:w="430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目标实际完成情况</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2715" w:hRule="atLeast"/>
          <w:jc w:val="center"/>
        </w:trPr>
        <w:tc>
          <w:tcPr>
            <w:tcW w:w="107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4105"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both"/>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提质培优项目子项目虚拟仿真实训中心在2021年通过专家论证，招标建设，在12月31日前保质完成。项目以四川司法警官职业学院虚拟仿真中心为平台，联合全国14家司法警官学院，打造搭建全国司法类虚拟仿真共建共享中心，实现司法类虚拟仿真资源共建共享。</w:t>
            </w:r>
          </w:p>
        </w:tc>
        <w:tc>
          <w:tcPr>
            <w:tcW w:w="4301"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both"/>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项目完成四川司法警官职业学院虚拟仿真中心平台建设，搭建了全国司法类虚拟仿真共建共享中心。已经联合4家司法警官学院，正在联系其余学院。初步实现司法类虚拟仿真资源共建共享。</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39" w:hRule="atLeast"/>
          <w:jc w:val="center"/>
        </w:trPr>
        <w:tc>
          <w:tcPr>
            <w:tcW w:w="1074" w:type="dxa"/>
            <w:vMerge w:val="restart"/>
            <w:tcBorders>
              <w:top w:val="nil"/>
              <w:left w:val="single" w:color="auto" w:sz="4" w:space="0"/>
              <w:right w:val="single" w:color="auto"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年度绩效指标完成情况</w:t>
            </w:r>
          </w:p>
        </w:tc>
        <w:tc>
          <w:tcPr>
            <w:tcW w:w="107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一级</w:t>
            </w:r>
          </w:p>
          <w:p>
            <w:pPr>
              <w:keepNext w:val="0"/>
              <w:keepLines w:val="0"/>
              <w:pageBreakBefore w:val="0"/>
              <w:widowControl/>
              <w:kinsoku/>
              <w:wordWrap/>
              <w:overflowPunct/>
              <w:topLinePunct w:val="0"/>
              <w:autoSpaceDE/>
              <w:autoSpaceDN/>
              <w:bidi w:val="0"/>
              <w:adjustRightInd/>
              <w:snapToGrid/>
              <w:spacing w:line="30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指标</w:t>
            </w:r>
          </w:p>
        </w:tc>
        <w:tc>
          <w:tcPr>
            <w:tcW w:w="13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二级</w:t>
            </w:r>
          </w:p>
          <w:p>
            <w:pPr>
              <w:keepNext w:val="0"/>
              <w:keepLines w:val="0"/>
              <w:pageBreakBefore w:val="0"/>
              <w:widowControl/>
              <w:kinsoku/>
              <w:wordWrap/>
              <w:overflowPunct/>
              <w:topLinePunct w:val="0"/>
              <w:autoSpaceDE/>
              <w:autoSpaceDN/>
              <w:bidi w:val="0"/>
              <w:adjustRightInd/>
              <w:snapToGrid/>
              <w:spacing w:line="30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指标</w:t>
            </w:r>
          </w:p>
        </w:tc>
        <w:tc>
          <w:tcPr>
            <w:tcW w:w="172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三级</w:t>
            </w:r>
          </w:p>
          <w:p>
            <w:pPr>
              <w:keepNext w:val="0"/>
              <w:keepLines w:val="0"/>
              <w:pageBreakBefore w:val="0"/>
              <w:widowControl/>
              <w:kinsoku/>
              <w:wordWrap/>
              <w:overflowPunct/>
              <w:topLinePunct w:val="0"/>
              <w:autoSpaceDE/>
              <w:autoSpaceDN/>
              <w:bidi w:val="0"/>
              <w:adjustRightInd/>
              <w:snapToGrid/>
              <w:spacing w:line="30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指标</w:t>
            </w:r>
          </w:p>
        </w:tc>
        <w:tc>
          <w:tcPr>
            <w:tcW w:w="195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预期指</w:t>
            </w:r>
          </w:p>
          <w:p>
            <w:pPr>
              <w:keepNext w:val="0"/>
              <w:keepLines w:val="0"/>
              <w:pageBreakBefore w:val="0"/>
              <w:widowControl/>
              <w:kinsoku/>
              <w:wordWrap/>
              <w:overflowPunct/>
              <w:topLinePunct w:val="0"/>
              <w:autoSpaceDE/>
              <w:autoSpaceDN/>
              <w:bidi w:val="0"/>
              <w:adjustRightInd/>
              <w:snapToGrid/>
              <w:spacing w:line="30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标值</w:t>
            </w:r>
          </w:p>
        </w:tc>
        <w:tc>
          <w:tcPr>
            <w:tcW w:w="234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实际完成指标值</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80" w:hRule="atLeast"/>
          <w:jc w:val="center"/>
        </w:trPr>
        <w:tc>
          <w:tcPr>
            <w:tcW w:w="1074" w:type="dxa"/>
            <w:vMerge w:val="continue"/>
            <w:tcBorders>
              <w:left w:val="single" w:color="auto" w:sz="4" w:space="0"/>
              <w:right w:val="single" w:color="auto"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074"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完成</w:t>
            </w:r>
          </w:p>
          <w:p>
            <w:pPr>
              <w:keepNext w:val="0"/>
              <w:keepLines w:val="0"/>
              <w:pageBreakBefore w:val="0"/>
              <w:widowControl/>
              <w:kinsoku/>
              <w:wordWrap/>
              <w:overflowPunct/>
              <w:topLinePunct w:val="0"/>
              <w:autoSpaceDE/>
              <w:autoSpaceDN/>
              <w:bidi w:val="0"/>
              <w:adjustRightInd/>
              <w:snapToGrid/>
              <w:spacing w:line="30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指标</w:t>
            </w:r>
          </w:p>
        </w:tc>
        <w:tc>
          <w:tcPr>
            <w:tcW w:w="131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数量指标</w:t>
            </w:r>
          </w:p>
        </w:tc>
        <w:tc>
          <w:tcPr>
            <w:tcW w:w="172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建设实训室</w:t>
            </w:r>
          </w:p>
        </w:tc>
        <w:tc>
          <w:tcPr>
            <w:tcW w:w="195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建设虚拟仿真实训室</w:t>
            </w:r>
          </w:p>
        </w:tc>
        <w:tc>
          <w:tcPr>
            <w:tcW w:w="234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720" w:hRule="atLeast"/>
          <w:jc w:val="center"/>
        </w:trPr>
        <w:tc>
          <w:tcPr>
            <w:tcW w:w="1074" w:type="dxa"/>
            <w:vMerge w:val="continue"/>
            <w:tcBorders>
              <w:left w:val="single" w:color="auto" w:sz="4" w:space="0"/>
              <w:right w:val="single" w:color="auto"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074" w:type="dxa"/>
            <w:vMerge w:val="continue"/>
            <w:tcBorders>
              <w:top w:val="nil"/>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31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质量指标</w:t>
            </w:r>
          </w:p>
        </w:tc>
        <w:tc>
          <w:tcPr>
            <w:tcW w:w="172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教育教学改革加快推进信息技术与教育教学的深度融合</w:t>
            </w:r>
          </w:p>
        </w:tc>
        <w:tc>
          <w:tcPr>
            <w:tcW w:w="195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建设全国司法类虚拟仿真共建共享平台</w:t>
            </w:r>
          </w:p>
        </w:tc>
        <w:tc>
          <w:tcPr>
            <w:tcW w:w="234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80" w:hRule="atLeast"/>
          <w:jc w:val="center"/>
        </w:trPr>
        <w:tc>
          <w:tcPr>
            <w:tcW w:w="1074" w:type="dxa"/>
            <w:vMerge w:val="continue"/>
            <w:tcBorders>
              <w:left w:val="single" w:color="auto" w:sz="4" w:space="0"/>
              <w:right w:val="single" w:color="auto"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074"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31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时效指标</w:t>
            </w:r>
          </w:p>
        </w:tc>
        <w:tc>
          <w:tcPr>
            <w:tcW w:w="172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项目完成进度</w:t>
            </w:r>
          </w:p>
        </w:tc>
        <w:tc>
          <w:tcPr>
            <w:tcW w:w="195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完成时间12月31日</w:t>
            </w:r>
          </w:p>
        </w:tc>
        <w:tc>
          <w:tcPr>
            <w:tcW w:w="234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80" w:hRule="atLeast"/>
          <w:jc w:val="center"/>
        </w:trPr>
        <w:tc>
          <w:tcPr>
            <w:tcW w:w="1074" w:type="dxa"/>
            <w:vMerge w:val="continue"/>
            <w:tcBorders>
              <w:left w:val="single" w:color="auto" w:sz="4" w:space="0"/>
              <w:right w:val="single" w:color="auto"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074"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31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成本指标</w:t>
            </w:r>
          </w:p>
        </w:tc>
        <w:tc>
          <w:tcPr>
            <w:tcW w:w="172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95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234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615" w:hRule="atLeast"/>
          <w:jc w:val="center"/>
        </w:trPr>
        <w:tc>
          <w:tcPr>
            <w:tcW w:w="1074" w:type="dxa"/>
            <w:vMerge w:val="continue"/>
            <w:tcBorders>
              <w:left w:val="single" w:color="auto" w:sz="4" w:space="0"/>
              <w:right w:val="single" w:color="auto"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074"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效益</w:t>
            </w:r>
          </w:p>
          <w:p>
            <w:pPr>
              <w:keepNext w:val="0"/>
              <w:keepLines w:val="0"/>
              <w:pageBreakBefore w:val="0"/>
              <w:widowControl/>
              <w:kinsoku/>
              <w:wordWrap/>
              <w:overflowPunct/>
              <w:topLinePunct w:val="0"/>
              <w:autoSpaceDE/>
              <w:autoSpaceDN/>
              <w:bidi w:val="0"/>
              <w:adjustRightInd/>
              <w:snapToGrid/>
              <w:spacing w:line="30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指标</w:t>
            </w:r>
          </w:p>
        </w:tc>
        <w:tc>
          <w:tcPr>
            <w:tcW w:w="131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经济效益指标</w:t>
            </w:r>
          </w:p>
        </w:tc>
        <w:tc>
          <w:tcPr>
            <w:tcW w:w="172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为经济社会发展提供技术技能型人才</w:t>
            </w:r>
          </w:p>
        </w:tc>
        <w:tc>
          <w:tcPr>
            <w:tcW w:w="195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专业人才培训</w:t>
            </w:r>
          </w:p>
        </w:tc>
        <w:tc>
          <w:tcPr>
            <w:tcW w:w="234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80" w:hRule="atLeast"/>
          <w:jc w:val="center"/>
        </w:trPr>
        <w:tc>
          <w:tcPr>
            <w:tcW w:w="1074" w:type="dxa"/>
            <w:vMerge w:val="continue"/>
            <w:tcBorders>
              <w:left w:val="single" w:color="auto" w:sz="4" w:space="0"/>
              <w:right w:val="single" w:color="auto"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074"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31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社会效益指标</w:t>
            </w:r>
          </w:p>
        </w:tc>
        <w:tc>
          <w:tcPr>
            <w:tcW w:w="172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职业教育受益学生</w:t>
            </w:r>
          </w:p>
        </w:tc>
        <w:tc>
          <w:tcPr>
            <w:tcW w:w="195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收益学生不低于1000人</w:t>
            </w:r>
          </w:p>
        </w:tc>
        <w:tc>
          <w:tcPr>
            <w:tcW w:w="234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80" w:hRule="atLeast"/>
          <w:jc w:val="center"/>
        </w:trPr>
        <w:tc>
          <w:tcPr>
            <w:tcW w:w="1074" w:type="dxa"/>
            <w:vMerge w:val="continue"/>
            <w:tcBorders>
              <w:left w:val="single" w:color="auto" w:sz="4" w:space="0"/>
              <w:right w:val="single" w:color="auto"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074"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310" w:type="dxa"/>
            <w:tcBorders>
              <w:top w:val="nil"/>
              <w:left w:val="nil"/>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生态效益指标</w:t>
            </w:r>
          </w:p>
        </w:tc>
        <w:tc>
          <w:tcPr>
            <w:tcW w:w="1721"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957" w:type="dxa"/>
            <w:tcBorders>
              <w:top w:val="nil"/>
              <w:left w:val="nil"/>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2344" w:type="dxa"/>
            <w:tcBorders>
              <w:top w:val="nil"/>
              <w:left w:val="nil"/>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80" w:hRule="atLeast"/>
          <w:jc w:val="center"/>
        </w:trPr>
        <w:tc>
          <w:tcPr>
            <w:tcW w:w="1074" w:type="dxa"/>
            <w:vMerge w:val="continue"/>
            <w:tcBorders>
              <w:left w:val="single" w:color="auto" w:sz="4" w:space="0"/>
              <w:right w:val="single" w:color="auto"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074"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310" w:type="dxa"/>
            <w:tcBorders>
              <w:top w:val="nil"/>
              <w:left w:val="nil"/>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可持续影响</w:t>
            </w:r>
          </w:p>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指标</w:t>
            </w:r>
          </w:p>
        </w:tc>
        <w:tc>
          <w:tcPr>
            <w:tcW w:w="1721"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影响青少年（学生）数量</w:t>
            </w:r>
          </w:p>
        </w:tc>
        <w:tc>
          <w:tcPr>
            <w:tcW w:w="1957" w:type="dxa"/>
            <w:tcBorders>
              <w:top w:val="nil"/>
              <w:left w:val="nil"/>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收益学生不低于1000人</w:t>
            </w:r>
          </w:p>
        </w:tc>
        <w:tc>
          <w:tcPr>
            <w:tcW w:w="2344" w:type="dxa"/>
            <w:tcBorders>
              <w:top w:val="nil"/>
              <w:left w:val="nil"/>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80" w:hRule="atLeast"/>
          <w:jc w:val="center"/>
        </w:trPr>
        <w:tc>
          <w:tcPr>
            <w:tcW w:w="1074" w:type="dxa"/>
            <w:vMerge w:val="continue"/>
            <w:tcBorders>
              <w:left w:val="single" w:color="auto" w:sz="4" w:space="0"/>
              <w:bottom w:val="single" w:color="000000" w:sz="4" w:space="0"/>
              <w:right w:val="single" w:color="auto"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074" w:type="dxa"/>
            <w:tcBorders>
              <w:top w:val="nil"/>
              <w:left w:val="nil"/>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满意度指标</w:t>
            </w:r>
          </w:p>
        </w:tc>
        <w:tc>
          <w:tcPr>
            <w:tcW w:w="1310" w:type="dxa"/>
            <w:tcBorders>
              <w:top w:val="nil"/>
              <w:left w:val="nil"/>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满意度指标</w:t>
            </w:r>
          </w:p>
        </w:tc>
        <w:tc>
          <w:tcPr>
            <w:tcW w:w="1721"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师生综合满意度</w:t>
            </w:r>
          </w:p>
        </w:tc>
        <w:tc>
          <w:tcPr>
            <w:tcW w:w="1957" w:type="dxa"/>
            <w:tcBorders>
              <w:top w:val="nil"/>
              <w:left w:val="nil"/>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师生综合满意度不低于95%</w:t>
            </w:r>
          </w:p>
        </w:tc>
        <w:tc>
          <w:tcPr>
            <w:tcW w:w="2344" w:type="dxa"/>
            <w:tcBorders>
              <w:top w:val="nil"/>
              <w:left w:val="nil"/>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100%</w:t>
            </w: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color w:val="000000" w:themeColor="text1"/>
          <w:spacing w:val="-11"/>
          <w:sz w:val="32"/>
          <w:szCs w:val="32"/>
          <w14:textFill>
            <w14:solidFill>
              <w14:schemeClr w14:val="tx1"/>
            </w14:solidFill>
          </w14:textFill>
        </w:rPr>
      </w:pPr>
      <w:r>
        <w:rPr>
          <w:rFonts w:hint="eastAsia" w:ascii="宋体" w:hAnsi="宋体" w:eastAsia="宋体" w:cs="宋体"/>
          <w:b/>
          <w:color w:val="000000" w:themeColor="text1"/>
          <w:spacing w:val="-11"/>
          <w:sz w:val="32"/>
          <w:szCs w:val="32"/>
          <w14:textFill>
            <w14:solidFill>
              <w14:schemeClr w14:val="tx1"/>
            </w14:solidFill>
          </w14:textFill>
        </w:rPr>
        <w:t>2021年100万元以上（含）特定目标类部门预算项目绩效目标自评</w:t>
      </w:r>
    </w:p>
    <w:p>
      <w:pPr>
        <w:bidi w:val="0"/>
        <w:rPr>
          <w:rFonts w:hint="eastAsia"/>
          <w:color w:val="000000" w:themeColor="text1"/>
          <w14:textFill>
            <w14:solidFill>
              <w14:schemeClr w14:val="tx1"/>
            </w14:solidFill>
          </w14:textFill>
        </w:rPr>
      </w:pPr>
    </w:p>
    <w:tbl>
      <w:tblPr>
        <w:tblStyle w:val="14"/>
        <w:tblW w:w="9988" w:type="dxa"/>
        <w:jc w:val="center"/>
        <w:tblInd w:w="-435" w:type="dxa"/>
        <w:tblLayout w:type="fixed"/>
        <w:tblCellMar>
          <w:top w:w="0" w:type="dxa"/>
          <w:left w:w="108" w:type="dxa"/>
          <w:bottom w:w="0" w:type="dxa"/>
          <w:right w:w="108" w:type="dxa"/>
        </w:tblCellMar>
      </w:tblPr>
      <w:tblGrid>
        <w:gridCol w:w="1648"/>
        <w:gridCol w:w="1224"/>
        <w:gridCol w:w="1389"/>
        <w:gridCol w:w="567"/>
        <w:gridCol w:w="936"/>
        <w:gridCol w:w="1625"/>
        <w:gridCol w:w="2599"/>
      </w:tblGrid>
      <w:tr>
        <w:tblPrEx>
          <w:tblLayout w:type="fixed"/>
          <w:tblCellMar>
            <w:top w:w="0" w:type="dxa"/>
            <w:left w:w="108" w:type="dxa"/>
            <w:bottom w:w="0" w:type="dxa"/>
            <w:right w:w="108" w:type="dxa"/>
          </w:tblCellMar>
        </w:tblPrEx>
        <w:trPr>
          <w:trHeight w:val="439" w:hRule="atLeast"/>
          <w:jc w:val="center"/>
        </w:trPr>
        <w:tc>
          <w:tcPr>
            <w:tcW w:w="28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项目名称</w:t>
            </w:r>
          </w:p>
        </w:tc>
        <w:tc>
          <w:tcPr>
            <w:tcW w:w="7116"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教学改革及研究经费</w:t>
            </w:r>
          </w:p>
        </w:tc>
      </w:tr>
      <w:tr>
        <w:tblPrEx>
          <w:tblLayout w:type="fixed"/>
          <w:tblCellMar>
            <w:top w:w="0" w:type="dxa"/>
            <w:left w:w="108" w:type="dxa"/>
            <w:bottom w:w="0" w:type="dxa"/>
            <w:right w:w="108" w:type="dxa"/>
          </w:tblCellMar>
        </w:tblPrEx>
        <w:trPr>
          <w:trHeight w:val="810" w:hRule="atLeast"/>
          <w:jc w:val="center"/>
        </w:trPr>
        <w:tc>
          <w:tcPr>
            <w:tcW w:w="28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主管部门及代码</w:t>
            </w:r>
          </w:p>
        </w:tc>
        <w:tc>
          <w:tcPr>
            <w:tcW w:w="2892"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四川省司法厅</w:t>
            </w:r>
          </w:p>
        </w:tc>
        <w:tc>
          <w:tcPr>
            <w:tcW w:w="162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实施单位</w:t>
            </w:r>
          </w:p>
        </w:tc>
        <w:tc>
          <w:tcPr>
            <w:tcW w:w="259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四川司法警官职业学院</w:t>
            </w:r>
          </w:p>
        </w:tc>
      </w:tr>
      <w:tr>
        <w:tblPrEx>
          <w:tblLayout w:type="fixed"/>
          <w:tblCellMar>
            <w:top w:w="0" w:type="dxa"/>
            <w:left w:w="108" w:type="dxa"/>
            <w:bottom w:w="0" w:type="dxa"/>
            <w:right w:w="108" w:type="dxa"/>
          </w:tblCellMar>
        </w:tblPrEx>
        <w:trPr>
          <w:trHeight w:val="439" w:hRule="atLeast"/>
          <w:jc w:val="center"/>
        </w:trPr>
        <w:tc>
          <w:tcPr>
            <w:tcW w:w="2872"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项目预算</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执行情况</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（万元）</w:t>
            </w:r>
          </w:p>
        </w:tc>
        <w:tc>
          <w:tcPr>
            <w:tcW w:w="1956"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xml:space="preserve"> 预算数：</w:t>
            </w:r>
          </w:p>
        </w:tc>
        <w:tc>
          <w:tcPr>
            <w:tcW w:w="93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110.00</w:t>
            </w:r>
          </w:p>
        </w:tc>
        <w:tc>
          <w:tcPr>
            <w:tcW w:w="162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xml:space="preserve"> 执行数：</w:t>
            </w:r>
          </w:p>
        </w:tc>
        <w:tc>
          <w:tcPr>
            <w:tcW w:w="2599"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73.85</w:t>
            </w:r>
          </w:p>
        </w:tc>
      </w:tr>
      <w:tr>
        <w:tblPrEx>
          <w:tblLayout w:type="fixed"/>
          <w:tblCellMar>
            <w:top w:w="0" w:type="dxa"/>
            <w:left w:w="108" w:type="dxa"/>
            <w:bottom w:w="0" w:type="dxa"/>
            <w:right w:w="108" w:type="dxa"/>
          </w:tblCellMar>
        </w:tblPrEx>
        <w:trPr>
          <w:trHeight w:val="439" w:hRule="atLeast"/>
          <w:jc w:val="center"/>
        </w:trPr>
        <w:tc>
          <w:tcPr>
            <w:tcW w:w="287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p>
        </w:tc>
        <w:tc>
          <w:tcPr>
            <w:tcW w:w="1956"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其中：</w:t>
            </w:r>
          </w:p>
          <w:p>
            <w:pPr>
              <w:widowControl/>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财政拨款</w:t>
            </w:r>
          </w:p>
        </w:tc>
        <w:tc>
          <w:tcPr>
            <w:tcW w:w="936" w:type="dxa"/>
            <w:tcBorders>
              <w:top w:val="nil"/>
              <w:left w:val="nil"/>
              <w:bottom w:val="single" w:color="auto" w:sz="4" w:space="0"/>
              <w:right w:val="single" w:color="auto" w:sz="4" w:space="0"/>
            </w:tcBorders>
            <w:shd w:val="clear" w:color="auto" w:fill="auto"/>
            <w:vAlign w:val="center"/>
          </w:tcPr>
          <w:p>
            <w:pPr>
              <w:widowControl/>
              <w:ind w:firstLine="320" w:firstLineChars="200"/>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xml:space="preserve"> 0</w:t>
            </w:r>
          </w:p>
        </w:tc>
        <w:tc>
          <w:tcPr>
            <w:tcW w:w="162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其中：</w:t>
            </w:r>
          </w:p>
          <w:p>
            <w:pPr>
              <w:widowControl/>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财政拨款</w:t>
            </w:r>
          </w:p>
        </w:tc>
        <w:tc>
          <w:tcPr>
            <w:tcW w:w="2599"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0　</w:t>
            </w:r>
          </w:p>
        </w:tc>
      </w:tr>
      <w:tr>
        <w:tblPrEx>
          <w:tblLayout w:type="fixed"/>
          <w:tblCellMar>
            <w:top w:w="0" w:type="dxa"/>
            <w:left w:w="108" w:type="dxa"/>
            <w:bottom w:w="0" w:type="dxa"/>
            <w:right w:w="108" w:type="dxa"/>
          </w:tblCellMar>
        </w:tblPrEx>
        <w:trPr>
          <w:trHeight w:val="439" w:hRule="atLeast"/>
          <w:jc w:val="center"/>
        </w:trPr>
        <w:tc>
          <w:tcPr>
            <w:tcW w:w="287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p>
        </w:tc>
        <w:tc>
          <w:tcPr>
            <w:tcW w:w="1956"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其他资金</w:t>
            </w:r>
          </w:p>
        </w:tc>
        <w:tc>
          <w:tcPr>
            <w:tcW w:w="93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110.00</w:t>
            </w:r>
          </w:p>
        </w:tc>
        <w:tc>
          <w:tcPr>
            <w:tcW w:w="162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其他资金</w:t>
            </w:r>
          </w:p>
        </w:tc>
        <w:tc>
          <w:tcPr>
            <w:tcW w:w="2599"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73.85</w:t>
            </w:r>
          </w:p>
        </w:tc>
      </w:tr>
      <w:tr>
        <w:tblPrEx>
          <w:tblLayout w:type="fixed"/>
          <w:tblCellMar>
            <w:top w:w="0" w:type="dxa"/>
            <w:left w:w="108" w:type="dxa"/>
            <w:bottom w:w="0" w:type="dxa"/>
            <w:right w:w="108" w:type="dxa"/>
          </w:tblCellMar>
        </w:tblPrEx>
        <w:trPr>
          <w:trHeight w:val="439" w:hRule="atLeast"/>
          <w:jc w:val="center"/>
        </w:trPr>
        <w:tc>
          <w:tcPr>
            <w:tcW w:w="164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年度总体目标完成情况</w:t>
            </w:r>
          </w:p>
        </w:tc>
        <w:tc>
          <w:tcPr>
            <w:tcW w:w="4116"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预期目标</w:t>
            </w:r>
          </w:p>
        </w:tc>
        <w:tc>
          <w:tcPr>
            <w:tcW w:w="422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目标实际完成情况</w:t>
            </w:r>
          </w:p>
        </w:tc>
      </w:tr>
      <w:tr>
        <w:tblPrEx>
          <w:tblLayout w:type="fixed"/>
          <w:tblCellMar>
            <w:top w:w="0" w:type="dxa"/>
            <w:left w:w="108" w:type="dxa"/>
            <w:bottom w:w="0" w:type="dxa"/>
            <w:right w:w="108" w:type="dxa"/>
          </w:tblCellMar>
        </w:tblPrEx>
        <w:trPr>
          <w:trHeight w:val="2347" w:hRule="atLeast"/>
          <w:jc w:val="center"/>
        </w:trPr>
        <w:tc>
          <w:tcPr>
            <w:tcW w:w="164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p>
        </w:tc>
        <w:tc>
          <w:tcPr>
            <w:tcW w:w="4116"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both"/>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完成学院课题调研，提高学院教师教学质量水平，完成学院内部教学信息化质量管理平台建设，顺利通过教育厅教育工作诊断与改进复核。</w:t>
            </w:r>
          </w:p>
        </w:tc>
        <w:tc>
          <w:tcPr>
            <w:tcW w:w="422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both"/>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完成学院课题调研56项，显著提高学院教师教学质量水平，已经建成学院内部教学信息化质量管理平台1个，科研项目100%过教育厅教育工作诊断与改进复核。</w:t>
            </w:r>
          </w:p>
        </w:tc>
      </w:tr>
      <w:tr>
        <w:tblPrEx>
          <w:tblLayout w:type="fixed"/>
          <w:tblCellMar>
            <w:top w:w="0" w:type="dxa"/>
            <w:left w:w="108" w:type="dxa"/>
            <w:bottom w:w="0" w:type="dxa"/>
            <w:right w:w="108" w:type="dxa"/>
          </w:tblCellMar>
        </w:tblPrEx>
        <w:trPr>
          <w:trHeight w:val="439" w:hRule="atLeast"/>
          <w:jc w:val="center"/>
        </w:trPr>
        <w:tc>
          <w:tcPr>
            <w:tcW w:w="1648"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年度绩效指标完成情况</w:t>
            </w:r>
          </w:p>
        </w:tc>
        <w:tc>
          <w:tcPr>
            <w:tcW w:w="12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一级</w:t>
            </w:r>
          </w:p>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指标</w:t>
            </w:r>
          </w:p>
        </w:tc>
        <w:tc>
          <w:tcPr>
            <w:tcW w:w="138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二级</w:t>
            </w:r>
          </w:p>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指标</w:t>
            </w:r>
          </w:p>
        </w:tc>
        <w:tc>
          <w:tcPr>
            <w:tcW w:w="150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三级</w:t>
            </w:r>
          </w:p>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指标</w:t>
            </w:r>
          </w:p>
        </w:tc>
        <w:tc>
          <w:tcPr>
            <w:tcW w:w="162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预期指</w:t>
            </w:r>
          </w:p>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标值</w:t>
            </w:r>
          </w:p>
        </w:tc>
        <w:tc>
          <w:tcPr>
            <w:tcW w:w="259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实际完成指标值</w:t>
            </w:r>
          </w:p>
        </w:tc>
      </w:tr>
      <w:tr>
        <w:tblPrEx>
          <w:tblLayout w:type="fixed"/>
          <w:tblCellMar>
            <w:top w:w="0" w:type="dxa"/>
            <w:left w:w="108" w:type="dxa"/>
            <w:bottom w:w="0" w:type="dxa"/>
            <w:right w:w="108" w:type="dxa"/>
          </w:tblCellMar>
        </w:tblPrEx>
        <w:trPr>
          <w:trHeight w:val="525" w:hRule="atLeast"/>
          <w:jc w:val="center"/>
        </w:trPr>
        <w:tc>
          <w:tcPr>
            <w:tcW w:w="1648"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224" w:type="dxa"/>
            <w:vMerge w:val="restart"/>
            <w:tcBorders>
              <w:top w:val="nil"/>
              <w:left w:val="single" w:color="auto"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完成</w:t>
            </w:r>
          </w:p>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指标</w:t>
            </w:r>
          </w:p>
        </w:tc>
        <w:tc>
          <w:tcPr>
            <w:tcW w:w="1389" w:type="dxa"/>
            <w:tcBorders>
              <w:top w:val="nil"/>
              <w:left w:val="nil"/>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数量指标</w:t>
            </w:r>
          </w:p>
        </w:tc>
        <w:tc>
          <w:tcPr>
            <w:tcW w:w="1503"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完成科研项目</w:t>
            </w:r>
          </w:p>
        </w:tc>
        <w:tc>
          <w:tcPr>
            <w:tcW w:w="1625" w:type="dxa"/>
            <w:tcBorders>
              <w:top w:val="nil"/>
              <w:left w:val="nil"/>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完成科研课题项目40个</w:t>
            </w:r>
          </w:p>
        </w:tc>
        <w:tc>
          <w:tcPr>
            <w:tcW w:w="2599" w:type="dxa"/>
            <w:tcBorders>
              <w:top w:val="nil"/>
              <w:left w:val="nil"/>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完成科研课题项目56个</w:t>
            </w:r>
          </w:p>
        </w:tc>
      </w:tr>
      <w:tr>
        <w:tblPrEx>
          <w:tblLayout w:type="fixed"/>
          <w:tblCellMar>
            <w:top w:w="0" w:type="dxa"/>
            <w:left w:w="108" w:type="dxa"/>
            <w:bottom w:w="0" w:type="dxa"/>
            <w:right w:w="108" w:type="dxa"/>
          </w:tblCellMar>
        </w:tblPrEx>
        <w:trPr>
          <w:trHeight w:val="480" w:hRule="atLeast"/>
          <w:jc w:val="center"/>
        </w:trPr>
        <w:tc>
          <w:tcPr>
            <w:tcW w:w="1648"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224" w:type="dxa"/>
            <w:vMerge w:val="continue"/>
            <w:tcBorders>
              <w:top w:val="nil"/>
              <w:left w:val="single" w:color="auto" w:sz="4" w:space="0"/>
              <w:bottom w:val="single" w:color="000000" w:sz="4" w:space="0"/>
              <w:right w:val="single" w:color="000000" w:sz="4" w:space="0"/>
            </w:tcBorders>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389" w:type="dxa"/>
            <w:tcBorders>
              <w:top w:val="nil"/>
              <w:left w:val="nil"/>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质量指标</w:t>
            </w:r>
          </w:p>
        </w:tc>
        <w:tc>
          <w:tcPr>
            <w:tcW w:w="1503"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625" w:type="dxa"/>
            <w:tcBorders>
              <w:top w:val="nil"/>
              <w:left w:val="nil"/>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2599" w:type="dxa"/>
            <w:tcBorders>
              <w:top w:val="nil"/>
              <w:left w:val="nil"/>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108" w:type="dxa"/>
            <w:bottom w:w="0" w:type="dxa"/>
            <w:right w:w="108" w:type="dxa"/>
          </w:tblCellMar>
        </w:tblPrEx>
        <w:trPr>
          <w:trHeight w:val="480" w:hRule="atLeast"/>
          <w:jc w:val="center"/>
        </w:trPr>
        <w:tc>
          <w:tcPr>
            <w:tcW w:w="1648"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224" w:type="dxa"/>
            <w:vMerge w:val="continue"/>
            <w:tcBorders>
              <w:top w:val="nil"/>
              <w:left w:val="single" w:color="auto" w:sz="4" w:space="0"/>
              <w:bottom w:val="single" w:color="000000" w:sz="4" w:space="0"/>
              <w:right w:val="single" w:color="000000" w:sz="4" w:space="0"/>
            </w:tcBorders>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389" w:type="dxa"/>
            <w:tcBorders>
              <w:top w:val="nil"/>
              <w:left w:val="nil"/>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时效指标</w:t>
            </w:r>
          </w:p>
        </w:tc>
        <w:tc>
          <w:tcPr>
            <w:tcW w:w="1503"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评审工作</w:t>
            </w:r>
          </w:p>
        </w:tc>
        <w:tc>
          <w:tcPr>
            <w:tcW w:w="1625" w:type="dxa"/>
            <w:tcBorders>
              <w:top w:val="nil"/>
              <w:left w:val="nil"/>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科研课题评审工作在1个月内完成</w:t>
            </w:r>
          </w:p>
        </w:tc>
        <w:tc>
          <w:tcPr>
            <w:tcW w:w="2599" w:type="dxa"/>
            <w:tcBorders>
              <w:top w:val="nil"/>
              <w:left w:val="nil"/>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1个月内完成科研课题评审工作281项</w:t>
            </w:r>
          </w:p>
        </w:tc>
      </w:tr>
      <w:tr>
        <w:tblPrEx>
          <w:tblLayout w:type="fixed"/>
          <w:tblCellMar>
            <w:top w:w="0" w:type="dxa"/>
            <w:left w:w="108" w:type="dxa"/>
            <w:bottom w:w="0" w:type="dxa"/>
            <w:right w:w="108" w:type="dxa"/>
          </w:tblCellMar>
        </w:tblPrEx>
        <w:trPr>
          <w:trHeight w:val="480" w:hRule="atLeast"/>
          <w:jc w:val="center"/>
        </w:trPr>
        <w:tc>
          <w:tcPr>
            <w:tcW w:w="1648"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224" w:type="dxa"/>
            <w:vMerge w:val="continue"/>
            <w:tcBorders>
              <w:top w:val="nil"/>
              <w:left w:val="single" w:color="auto" w:sz="4" w:space="0"/>
              <w:bottom w:val="single" w:color="000000" w:sz="4" w:space="0"/>
              <w:right w:val="single" w:color="000000" w:sz="4" w:space="0"/>
            </w:tcBorders>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389" w:type="dxa"/>
            <w:tcBorders>
              <w:top w:val="nil"/>
              <w:left w:val="nil"/>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成本指标</w:t>
            </w:r>
          </w:p>
        </w:tc>
        <w:tc>
          <w:tcPr>
            <w:tcW w:w="1503"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625" w:type="dxa"/>
            <w:tcBorders>
              <w:top w:val="nil"/>
              <w:left w:val="nil"/>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2599" w:type="dxa"/>
            <w:tcBorders>
              <w:top w:val="nil"/>
              <w:left w:val="nil"/>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108" w:type="dxa"/>
            <w:bottom w:w="0" w:type="dxa"/>
            <w:right w:w="108" w:type="dxa"/>
          </w:tblCellMar>
        </w:tblPrEx>
        <w:trPr>
          <w:trHeight w:val="480" w:hRule="atLeast"/>
          <w:jc w:val="center"/>
        </w:trPr>
        <w:tc>
          <w:tcPr>
            <w:tcW w:w="1648"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224" w:type="dxa"/>
            <w:vMerge w:val="restart"/>
            <w:tcBorders>
              <w:top w:val="nil"/>
              <w:left w:val="single" w:color="auto"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效益</w:t>
            </w:r>
          </w:p>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指标</w:t>
            </w:r>
          </w:p>
        </w:tc>
        <w:tc>
          <w:tcPr>
            <w:tcW w:w="1389" w:type="dxa"/>
            <w:tcBorders>
              <w:top w:val="nil"/>
              <w:left w:val="nil"/>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经济效益指标</w:t>
            </w:r>
          </w:p>
        </w:tc>
        <w:tc>
          <w:tcPr>
            <w:tcW w:w="1503"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625" w:type="dxa"/>
            <w:tcBorders>
              <w:top w:val="nil"/>
              <w:left w:val="nil"/>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2599" w:type="dxa"/>
            <w:tcBorders>
              <w:top w:val="nil"/>
              <w:left w:val="nil"/>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108" w:type="dxa"/>
            <w:bottom w:w="0" w:type="dxa"/>
            <w:right w:w="108" w:type="dxa"/>
          </w:tblCellMar>
        </w:tblPrEx>
        <w:trPr>
          <w:trHeight w:val="480" w:hRule="atLeast"/>
          <w:jc w:val="center"/>
        </w:trPr>
        <w:tc>
          <w:tcPr>
            <w:tcW w:w="1648"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224" w:type="dxa"/>
            <w:vMerge w:val="continue"/>
            <w:tcBorders>
              <w:top w:val="nil"/>
              <w:left w:val="single" w:color="auto" w:sz="4" w:space="0"/>
              <w:bottom w:val="single" w:color="000000" w:sz="4" w:space="0"/>
              <w:right w:val="single" w:color="000000" w:sz="4" w:space="0"/>
            </w:tcBorders>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389" w:type="dxa"/>
            <w:tcBorders>
              <w:top w:val="nil"/>
              <w:left w:val="nil"/>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社会效益指标</w:t>
            </w:r>
          </w:p>
        </w:tc>
        <w:tc>
          <w:tcPr>
            <w:tcW w:w="1503"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625" w:type="dxa"/>
            <w:tcBorders>
              <w:top w:val="nil"/>
              <w:left w:val="nil"/>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2599" w:type="dxa"/>
            <w:tcBorders>
              <w:top w:val="nil"/>
              <w:left w:val="nil"/>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108" w:type="dxa"/>
            <w:bottom w:w="0" w:type="dxa"/>
            <w:right w:w="108" w:type="dxa"/>
          </w:tblCellMar>
        </w:tblPrEx>
        <w:trPr>
          <w:trHeight w:val="480" w:hRule="atLeast"/>
          <w:jc w:val="center"/>
        </w:trPr>
        <w:tc>
          <w:tcPr>
            <w:tcW w:w="1648"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224" w:type="dxa"/>
            <w:vMerge w:val="continue"/>
            <w:tcBorders>
              <w:top w:val="nil"/>
              <w:left w:val="single" w:color="auto" w:sz="4" w:space="0"/>
              <w:bottom w:val="single" w:color="000000" w:sz="4" w:space="0"/>
              <w:right w:val="single" w:color="000000" w:sz="4" w:space="0"/>
            </w:tcBorders>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389" w:type="dxa"/>
            <w:tcBorders>
              <w:top w:val="nil"/>
              <w:left w:val="nil"/>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生态效益指标</w:t>
            </w:r>
          </w:p>
        </w:tc>
        <w:tc>
          <w:tcPr>
            <w:tcW w:w="1503"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625" w:type="dxa"/>
            <w:tcBorders>
              <w:top w:val="nil"/>
              <w:left w:val="nil"/>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2599" w:type="dxa"/>
            <w:tcBorders>
              <w:top w:val="nil"/>
              <w:left w:val="nil"/>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108" w:type="dxa"/>
            <w:bottom w:w="0" w:type="dxa"/>
            <w:right w:w="108" w:type="dxa"/>
          </w:tblCellMar>
        </w:tblPrEx>
        <w:trPr>
          <w:trHeight w:val="1380" w:hRule="atLeast"/>
          <w:jc w:val="center"/>
        </w:trPr>
        <w:tc>
          <w:tcPr>
            <w:tcW w:w="1648"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224" w:type="dxa"/>
            <w:vMerge w:val="continue"/>
            <w:tcBorders>
              <w:top w:val="nil"/>
              <w:left w:val="single" w:color="auto" w:sz="4" w:space="0"/>
              <w:bottom w:val="single" w:color="000000" w:sz="4" w:space="0"/>
              <w:right w:val="single" w:color="000000" w:sz="4" w:space="0"/>
            </w:tcBorders>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389" w:type="dxa"/>
            <w:tcBorders>
              <w:top w:val="nil"/>
              <w:left w:val="nil"/>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可持续影响指标</w:t>
            </w:r>
          </w:p>
        </w:tc>
        <w:tc>
          <w:tcPr>
            <w:tcW w:w="1503"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提升公共文化服务效能</w:t>
            </w:r>
          </w:p>
        </w:tc>
        <w:tc>
          <w:tcPr>
            <w:tcW w:w="1625" w:type="dxa"/>
            <w:tcBorders>
              <w:top w:val="nil"/>
              <w:left w:val="nil"/>
              <w:bottom w:val="single" w:color="000000" w:sz="4" w:space="0"/>
              <w:right w:val="single" w:color="000000" w:sz="4" w:space="0"/>
            </w:tcBorders>
            <w:shd w:val="clear" w:color="auto" w:fill="auto"/>
            <w:vAlign w:val="center"/>
          </w:tcPr>
          <w:p>
            <w:pPr>
              <w:widowControl/>
              <w:spacing w:line="320" w:lineRule="exact"/>
              <w:jc w:val="both"/>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有效促进司法行政系统的理论研究工作，有效提高司法行政的工资效率</w:t>
            </w:r>
          </w:p>
        </w:tc>
        <w:tc>
          <w:tcPr>
            <w:tcW w:w="2599" w:type="dxa"/>
            <w:tcBorders>
              <w:top w:val="nil"/>
              <w:left w:val="nil"/>
              <w:bottom w:val="single" w:color="000000" w:sz="4" w:space="0"/>
              <w:right w:val="single" w:color="000000" w:sz="4" w:space="0"/>
            </w:tcBorders>
            <w:shd w:val="clear" w:color="auto" w:fill="auto"/>
            <w:vAlign w:val="center"/>
          </w:tcPr>
          <w:p>
            <w:pPr>
              <w:widowControl/>
              <w:spacing w:line="320" w:lineRule="exact"/>
              <w:jc w:val="both"/>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有效促进司法行政系统的理论研究工作，司法行政研究共39项，超过研究项目总数的70%。有效提高司法行政的工资效率</w:t>
            </w:r>
          </w:p>
        </w:tc>
      </w:tr>
      <w:tr>
        <w:tblPrEx>
          <w:tblLayout w:type="fixed"/>
          <w:tblCellMar>
            <w:top w:w="0" w:type="dxa"/>
            <w:left w:w="108" w:type="dxa"/>
            <w:bottom w:w="0" w:type="dxa"/>
            <w:right w:w="108" w:type="dxa"/>
          </w:tblCellMar>
        </w:tblPrEx>
        <w:trPr>
          <w:trHeight w:val="480" w:hRule="atLeast"/>
          <w:jc w:val="center"/>
        </w:trPr>
        <w:tc>
          <w:tcPr>
            <w:tcW w:w="1648"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224" w:type="dxa"/>
            <w:tcBorders>
              <w:top w:val="nil"/>
              <w:left w:val="single" w:color="auto"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满意</w:t>
            </w:r>
          </w:p>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度指标</w:t>
            </w:r>
          </w:p>
        </w:tc>
        <w:tc>
          <w:tcPr>
            <w:tcW w:w="1389" w:type="dxa"/>
            <w:tcBorders>
              <w:top w:val="nil"/>
              <w:left w:val="nil"/>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满意度</w:t>
            </w:r>
          </w:p>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指标</w:t>
            </w:r>
          </w:p>
        </w:tc>
        <w:tc>
          <w:tcPr>
            <w:tcW w:w="1503"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625" w:type="dxa"/>
            <w:tcBorders>
              <w:top w:val="nil"/>
              <w:left w:val="nil"/>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2599" w:type="dxa"/>
            <w:tcBorders>
              <w:top w:val="nil"/>
              <w:left w:val="nil"/>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color w:val="000000" w:themeColor="text1"/>
          <w:spacing w:val="-11"/>
          <w:sz w:val="32"/>
          <w:szCs w:val="32"/>
          <w14:textFill>
            <w14:solidFill>
              <w14:schemeClr w14:val="tx1"/>
            </w14:solidFill>
          </w14:textFill>
        </w:rPr>
      </w:pPr>
      <w:r>
        <w:rPr>
          <w:rFonts w:hint="eastAsia" w:ascii="宋体" w:hAnsi="宋体" w:eastAsia="宋体" w:cs="宋体"/>
          <w:b/>
          <w:color w:val="000000" w:themeColor="text1"/>
          <w:spacing w:val="-11"/>
          <w:sz w:val="32"/>
          <w:szCs w:val="32"/>
          <w14:textFill>
            <w14:solidFill>
              <w14:schemeClr w14:val="tx1"/>
            </w14:solidFill>
          </w14:textFill>
        </w:rPr>
        <w:t>2021年100万元以上（含）特定目标类部门预算项目绩效目标自评</w:t>
      </w:r>
    </w:p>
    <w:p>
      <w:pPr>
        <w:bidi w:val="0"/>
        <w:rPr>
          <w:rFonts w:hint="eastAsia"/>
          <w:color w:val="000000" w:themeColor="text1"/>
          <w14:textFill>
            <w14:solidFill>
              <w14:schemeClr w14:val="tx1"/>
            </w14:solidFill>
          </w14:textFill>
        </w:rPr>
      </w:pPr>
    </w:p>
    <w:tbl>
      <w:tblPr>
        <w:tblStyle w:val="14"/>
        <w:tblW w:w="10037" w:type="dxa"/>
        <w:jc w:val="center"/>
        <w:tblInd w:w="-435" w:type="dxa"/>
        <w:tblLayout w:type="fixed"/>
        <w:tblCellMar>
          <w:top w:w="0" w:type="dxa"/>
          <w:left w:w="108" w:type="dxa"/>
          <w:bottom w:w="0" w:type="dxa"/>
          <w:right w:w="108" w:type="dxa"/>
        </w:tblCellMar>
      </w:tblPr>
      <w:tblGrid>
        <w:gridCol w:w="1648"/>
        <w:gridCol w:w="1199"/>
        <w:gridCol w:w="1357"/>
        <w:gridCol w:w="1184"/>
        <w:gridCol w:w="1056"/>
        <w:gridCol w:w="1752"/>
        <w:gridCol w:w="1841"/>
      </w:tblGrid>
      <w:tr>
        <w:tblPrEx>
          <w:tblLayout w:type="fixed"/>
          <w:tblCellMar>
            <w:top w:w="0" w:type="dxa"/>
            <w:left w:w="108" w:type="dxa"/>
            <w:bottom w:w="0" w:type="dxa"/>
            <w:right w:w="108" w:type="dxa"/>
          </w:tblCellMar>
        </w:tblPrEx>
        <w:trPr>
          <w:trHeight w:val="320" w:hRule="atLeast"/>
          <w:jc w:val="center"/>
        </w:trPr>
        <w:tc>
          <w:tcPr>
            <w:tcW w:w="284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项目名称</w:t>
            </w:r>
          </w:p>
        </w:tc>
        <w:tc>
          <w:tcPr>
            <w:tcW w:w="7190"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迁扩建项目</w:t>
            </w:r>
          </w:p>
        </w:tc>
      </w:tr>
      <w:tr>
        <w:tblPrEx>
          <w:tblLayout w:type="fixed"/>
          <w:tblCellMar>
            <w:top w:w="0" w:type="dxa"/>
            <w:left w:w="108" w:type="dxa"/>
            <w:bottom w:w="0" w:type="dxa"/>
            <w:right w:w="108" w:type="dxa"/>
          </w:tblCellMar>
        </w:tblPrEx>
        <w:trPr>
          <w:trHeight w:val="313" w:hRule="atLeast"/>
          <w:jc w:val="center"/>
        </w:trPr>
        <w:tc>
          <w:tcPr>
            <w:tcW w:w="284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主管部门及代码</w:t>
            </w:r>
          </w:p>
        </w:tc>
        <w:tc>
          <w:tcPr>
            <w:tcW w:w="3597"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四川省司法厅</w:t>
            </w:r>
          </w:p>
        </w:tc>
        <w:tc>
          <w:tcPr>
            <w:tcW w:w="175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实施单位</w:t>
            </w:r>
          </w:p>
        </w:tc>
        <w:tc>
          <w:tcPr>
            <w:tcW w:w="184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四川司法警官职业学院</w:t>
            </w:r>
          </w:p>
        </w:tc>
      </w:tr>
      <w:tr>
        <w:tblPrEx>
          <w:tblLayout w:type="fixed"/>
          <w:tblCellMar>
            <w:top w:w="0" w:type="dxa"/>
            <w:left w:w="108" w:type="dxa"/>
            <w:bottom w:w="0" w:type="dxa"/>
            <w:right w:w="108" w:type="dxa"/>
          </w:tblCellMar>
        </w:tblPrEx>
        <w:trPr>
          <w:trHeight w:val="439" w:hRule="atLeast"/>
          <w:jc w:val="center"/>
        </w:trPr>
        <w:tc>
          <w:tcPr>
            <w:tcW w:w="284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项目预算</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执行情况</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（万元）</w:t>
            </w:r>
          </w:p>
        </w:tc>
        <w:tc>
          <w:tcPr>
            <w:tcW w:w="2541"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xml:space="preserve"> 预算数：</w:t>
            </w:r>
          </w:p>
        </w:tc>
        <w:tc>
          <w:tcPr>
            <w:tcW w:w="105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2352.00</w:t>
            </w:r>
          </w:p>
        </w:tc>
        <w:tc>
          <w:tcPr>
            <w:tcW w:w="175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xml:space="preserve"> 执行数：</w:t>
            </w:r>
          </w:p>
        </w:tc>
        <w:tc>
          <w:tcPr>
            <w:tcW w:w="184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1609.46</w:t>
            </w:r>
          </w:p>
        </w:tc>
      </w:tr>
      <w:tr>
        <w:tblPrEx>
          <w:tblLayout w:type="fixed"/>
          <w:tblCellMar>
            <w:top w:w="0" w:type="dxa"/>
            <w:left w:w="108" w:type="dxa"/>
            <w:bottom w:w="0" w:type="dxa"/>
            <w:right w:w="108" w:type="dxa"/>
          </w:tblCellMar>
        </w:tblPrEx>
        <w:trPr>
          <w:trHeight w:val="439" w:hRule="atLeast"/>
          <w:jc w:val="center"/>
        </w:trPr>
        <w:tc>
          <w:tcPr>
            <w:tcW w:w="2847"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000000" w:themeColor="text1"/>
                <w:kern w:val="0"/>
                <w:sz w:val="16"/>
                <w:szCs w:val="16"/>
                <w14:textFill>
                  <w14:solidFill>
                    <w14:schemeClr w14:val="tx1"/>
                  </w14:solidFill>
                </w14:textFill>
              </w:rPr>
            </w:pPr>
          </w:p>
        </w:tc>
        <w:tc>
          <w:tcPr>
            <w:tcW w:w="2541"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xml:space="preserve"> 其中：</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财政拨款</w:t>
            </w:r>
          </w:p>
        </w:tc>
        <w:tc>
          <w:tcPr>
            <w:tcW w:w="105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ind w:firstLine="480" w:firstLineChars="300"/>
              <w:jc w:val="left"/>
              <w:textAlignment w:val="auto"/>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0</w:t>
            </w:r>
          </w:p>
        </w:tc>
        <w:tc>
          <w:tcPr>
            <w:tcW w:w="175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xml:space="preserve"> 其中：</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财政拨款</w:t>
            </w:r>
          </w:p>
        </w:tc>
        <w:tc>
          <w:tcPr>
            <w:tcW w:w="184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0　</w:t>
            </w:r>
          </w:p>
        </w:tc>
      </w:tr>
      <w:tr>
        <w:tblPrEx>
          <w:tblLayout w:type="fixed"/>
          <w:tblCellMar>
            <w:top w:w="0" w:type="dxa"/>
            <w:left w:w="108" w:type="dxa"/>
            <w:bottom w:w="0" w:type="dxa"/>
            <w:right w:w="108" w:type="dxa"/>
          </w:tblCellMar>
        </w:tblPrEx>
        <w:trPr>
          <w:trHeight w:val="330" w:hRule="atLeast"/>
          <w:jc w:val="center"/>
        </w:trPr>
        <w:tc>
          <w:tcPr>
            <w:tcW w:w="2847"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000000" w:themeColor="text1"/>
                <w:kern w:val="0"/>
                <w:sz w:val="16"/>
                <w:szCs w:val="16"/>
                <w14:textFill>
                  <w14:solidFill>
                    <w14:schemeClr w14:val="tx1"/>
                  </w14:solidFill>
                </w14:textFill>
              </w:rPr>
            </w:pPr>
          </w:p>
        </w:tc>
        <w:tc>
          <w:tcPr>
            <w:tcW w:w="2541"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其他资金</w:t>
            </w:r>
          </w:p>
        </w:tc>
        <w:tc>
          <w:tcPr>
            <w:tcW w:w="105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2352.00</w:t>
            </w:r>
          </w:p>
        </w:tc>
        <w:tc>
          <w:tcPr>
            <w:tcW w:w="175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其他资金</w:t>
            </w:r>
          </w:p>
        </w:tc>
        <w:tc>
          <w:tcPr>
            <w:tcW w:w="184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1609.46</w:t>
            </w:r>
          </w:p>
        </w:tc>
      </w:tr>
      <w:tr>
        <w:tblPrEx>
          <w:tblLayout w:type="fixed"/>
          <w:tblCellMar>
            <w:top w:w="0" w:type="dxa"/>
            <w:left w:w="108" w:type="dxa"/>
            <w:bottom w:w="0" w:type="dxa"/>
            <w:right w:w="108" w:type="dxa"/>
          </w:tblCellMar>
        </w:tblPrEx>
        <w:trPr>
          <w:trHeight w:val="330" w:hRule="atLeast"/>
          <w:jc w:val="center"/>
        </w:trPr>
        <w:tc>
          <w:tcPr>
            <w:tcW w:w="164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年度总体</w:t>
            </w:r>
          </w:p>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目标完成</w:t>
            </w:r>
          </w:p>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情况</w:t>
            </w:r>
          </w:p>
        </w:tc>
        <w:tc>
          <w:tcPr>
            <w:tcW w:w="4796"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预期目标</w:t>
            </w:r>
          </w:p>
        </w:tc>
        <w:tc>
          <w:tcPr>
            <w:tcW w:w="359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目标实际完成情况</w:t>
            </w:r>
          </w:p>
        </w:tc>
      </w:tr>
      <w:tr>
        <w:tblPrEx>
          <w:tblLayout w:type="fixed"/>
          <w:tblCellMar>
            <w:top w:w="0" w:type="dxa"/>
            <w:left w:w="108" w:type="dxa"/>
            <w:bottom w:w="0" w:type="dxa"/>
            <w:right w:w="108" w:type="dxa"/>
          </w:tblCellMar>
        </w:tblPrEx>
        <w:trPr>
          <w:trHeight w:val="2724" w:hRule="atLeast"/>
          <w:jc w:val="center"/>
        </w:trPr>
        <w:tc>
          <w:tcPr>
            <w:tcW w:w="164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000000" w:themeColor="text1"/>
                <w:kern w:val="0"/>
                <w:sz w:val="16"/>
                <w:szCs w:val="16"/>
                <w14:textFill>
                  <w14:solidFill>
                    <w14:schemeClr w14:val="tx1"/>
                  </w14:solidFill>
                </w14:textFill>
              </w:rPr>
            </w:pPr>
          </w:p>
        </w:tc>
        <w:tc>
          <w:tcPr>
            <w:tcW w:w="4796" w:type="dxa"/>
            <w:gridSpan w:val="4"/>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全面改善学院学历教育办学条件，建设高水平司法行政系统战训基地，培养高素质实战实用型人才。</w:t>
            </w:r>
          </w:p>
        </w:tc>
        <w:tc>
          <w:tcPr>
            <w:tcW w:w="3593"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取得了《规划设计条件批复》和《建设用地规划许可证》、《建设工程规划许可证》、《新建民用建筑修建防空地下室批准书》、《德阳市人民政府“国有建设用地使用权”批复文件》等。同步完成了招标代理机构、勘察和设计单位招标、造价咨询服务招标；同步完成了规划方案设计意见征集、一期选址地拆迁工作；同步完成了项目方案设计及总平面图通过德阳市专家委员会审查、德阳市16部门联合审查会审查、德阳市规划委员会审查；同步完成了项目初步设计及概算编制等工作。</w:t>
            </w:r>
          </w:p>
        </w:tc>
      </w:tr>
      <w:tr>
        <w:tblPrEx>
          <w:tblLayout w:type="fixed"/>
          <w:tblCellMar>
            <w:top w:w="0" w:type="dxa"/>
            <w:left w:w="108" w:type="dxa"/>
            <w:bottom w:w="0" w:type="dxa"/>
            <w:right w:w="108" w:type="dxa"/>
          </w:tblCellMar>
        </w:tblPrEx>
        <w:trPr>
          <w:trHeight w:val="553" w:hRule="atLeast"/>
          <w:jc w:val="center"/>
        </w:trPr>
        <w:tc>
          <w:tcPr>
            <w:tcW w:w="164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年度绩效指标</w:t>
            </w:r>
          </w:p>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完成情况</w:t>
            </w:r>
          </w:p>
        </w:tc>
        <w:tc>
          <w:tcPr>
            <w:tcW w:w="11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一级</w:t>
            </w:r>
          </w:p>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指标</w:t>
            </w:r>
          </w:p>
        </w:tc>
        <w:tc>
          <w:tcPr>
            <w:tcW w:w="13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二级</w:t>
            </w:r>
          </w:p>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指标</w:t>
            </w:r>
          </w:p>
        </w:tc>
        <w:tc>
          <w:tcPr>
            <w:tcW w:w="2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三级</w:t>
            </w:r>
          </w:p>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指标</w:t>
            </w:r>
          </w:p>
        </w:tc>
        <w:tc>
          <w:tcPr>
            <w:tcW w:w="17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预期指</w:t>
            </w:r>
          </w:p>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标值</w:t>
            </w:r>
          </w:p>
        </w:tc>
        <w:tc>
          <w:tcPr>
            <w:tcW w:w="18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实际完成指标值</w:t>
            </w:r>
          </w:p>
        </w:tc>
      </w:tr>
      <w:tr>
        <w:tblPrEx>
          <w:tblLayout w:type="fixed"/>
          <w:tblCellMar>
            <w:top w:w="0" w:type="dxa"/>
            <w:left w:w="108" w:type="dxa"/>
            <w:bottom w:w="0" w:type="dxa"/>
            <w:right w:w="108" w:type="dxa"/>
          </w:tblCellMar>
        </w:tblPrEx>
        <w:trPr>
          <w:trHeight w:val="600" w:hRule="atLeast"/>
          <w:jc w:val="center"/>
        </w:trPr>
        <w:tc>
          <w:tcPr>
            <w:tcW w:w="164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color w:val="000000" w:themeColor="text1"/>
                <w:kern w:val="0"/>
                <w:sz w:val="16"/>
                <w:szCs w:val="16"/>
                <w14:textFill>
                  <w14:solidFill>
                    <w14:schemeClr w14:val="tx1"/>
                  </w14:solidFill>
                </w14:textFill>
              </w:rPr>
            </w:pPr>
          </w:p>
        </w:tc>
        <w:tc>
          <w:tcPr>
            <w:tcW w:w="119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完成</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指标</w:t>
            </w:r>
          </w:p>
        </w:tc>
        <w:tc>
          <w:tcPr>
            <w:tcW w:w="13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数量指标</w:t>
            </w:r>
          </w:p>
        </w:tc>
        <w:tc>
          <w:tcPr>
            <w:tcW w:w="2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建设教学及辅助用房面积</w:t>
            </w:r>
          </w:p>
        </w:tc>
        <w:tc>
          <w:tcPr>
            <w:tcW w:w="17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建设教学及辅助用房面积4万平方米</w:t>
            </w:r>
          </w:p>
        </w:tc>
        <w:tc>
          <w:tcPr>
            <w:tcW w:w="18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因前期手续未办理完毕，项目初设和概算未批复，故未完成</w:t>
            </w:r>
          </w:p>
        </w:tc>
      </w:tr>
      <w:tr>
        <w:tblPrEx>
          <w:tblLayout w:type="fixed"/>
          <w:tblCellMar>
            <w:top w:w="0" w:type="dxa"/>
            <w:left w:w="108" w:type="dxa"/>
            <w:bottom w:w="0" w:type="dxa"/>
            <w:right w:w="108" w:type="dxa"/>
          </w:tblCellMar>
        </w:tblPrEx>
        <w:trPr>
          <w:trHeight w:val="660" w:hRule="atLeast"/>
          <w:jc w:val="center"/>
        </w:trPr>
        <w:tc>
          <w:tcPr>
            <w:tcW w:w="164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color w:val="000000" w:themeColor="text1"/>
                <w:kern w:val="0"/>
                <w:sz w:val="16"/>
                <w:szCs w:val="16"/>
                <w14:textFill>
                  <w14:solidFill>
                    <w14:schemeClr w14:val="tx1"/>
                  </w14:solidFill>
                </w14:textFill>
              </w:rPr>
            </w:pPr>
          </w:p>
        </w:tc>
        <w:tc>
          <w:tcPr>
            <w:tcW w:w="119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kern w:val="0"/>
                <w:sz w:val="16"/>
                <w:szCs w:val="16"/>
                <w14:textFill>
                  <w14:solidFill>
                    <w14:schemeClr w14:val="tx1"/>
                  </w14:solidFill>
                </w14:textFill>
              </w:rPr>
            </w:pPr>
          </w:p>
        </w:tc>
        <w:tc>
          <w:tcPr>
            <w:tcW w:w="13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质量指标</w:t>
            </w:r>
          </w:p>
        </w:tc>
        <w:tc>
          <w:tcPr>
            <w:tcW w:w="2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新建或改造校舍质量达标率</w:t>
            </w:r>
          </w:p>
        </w:tc>
        <w:tc>
          <w:tcPr>
            <w:tcW w:w="17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新建校舍质量达标率100%</w:t>
            </w:r>
          </w:p>
        </w:tc>
        <w:tc>
          <w:tcPr>
            <w:tcW w:w="18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因前期手续未办理完毕，项目初设和概算未批复，故未完成</w:t>
            </w:r>
          </w:p>
        </w:tc>
      </w:tr>
      <w:tr>
        <w:tblPrEx>
          <w:tblLayout w:type="fixed"/>
          <w:tblCellMar>
            <w:top w:w="0" w:type="dxa"/>
            <w:left w:w="108" w:type="dxa"/>
            <w:bottom w:w="0" w:type="dxa"/>
            <w:right w:w="108" w:type="dxa"/>
          </w:tblCellMar>
        </w:tblPrEx>
        <w:trPr>
          <w:trHeight w:val="553" w:hRule="atLeast"/>
          <w:jc w:val="center"/>
        </w:trPr>
        <w:tc>
          <w:tcPr>
            <w:tcW w:w="164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color w:val="000000" w:themeColor="text1"/>
                <w:kern w:val="0"/>
                <w:sz w:val="16"/>
                <w:szCs w:val="16"/>
                <w14:textFill>
                  <w14:solidFill>
                    <w14:schemeClr w14:val="tx1"/>
                  </w14:solidFill>
                </w14:textFill>
              </w:rPr>
            </w:pPr>
          </w:p>
        </w:tc>
        <w:tc>
          <w:tcPr>
            <w:tcW w:w="119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kern w:val="0"/>
                <w:sz w:val="16"/>
                <w:szCs w:val="16"/>
                <w14:textFill>
                  <w14:solidFill>
                    <w14:schemeClr w14:val="tx1"/>
                  </w14:solidFill>
                </w14:textFill>
              </w:rPr>
            </w:pPr>
          </w:p>
        </w:tc>
        <w:tc>
          <w:tcPr>
            <w:tcW w:w="13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时效指标</w:t>
            </w:r>
          </w:p>
        </w:tc>
        <w:tc>
          <w:tcPr>
            <w:tcW w:w="2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招标代理机构按项目类别分包招标</w:t>
            </w:r>
          </w:p>
        </w:tc>
        <w:tc>
          <w:tcPr>
            <w:tcW w:w="17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新校工程招标明年内完成</w:t>
            </w:r>
          </w:p>
        </w:tc>
        <w:tc>
          <w:tcPr>
            <w:tcW w:w="18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能完成</w:t>
            </w:r>
          </w:p>
        </w:tc>
      </w:tr>
      <w:tr>
        <w:tblPrEx>
          <w:tblLayout w:type="fixed"/>
          <w:tblCellMar>
            <w:top w:w="0" w:type="dxa"/>
            <w:left w:w="108" w:type="dxa"/>
            <w:bottom w:w="0" w:type="dxa"/>
            <w:right w:w="108" w:type="dxa"/>
          </w:tblCellMar>
        </w:tblPrEx>
        <w:trPr>
          <w:trHeight w:val="384" w:hRule="atLeast"/>
          <w:jc w:val="center"/>
        </w:trPr>
        <w:tc>
          <w:tcPr>
            <w:tcW w:w="164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color w:val="000000" w:themeColor="text1"/>
                <w:kern w:val="0"/>
                <w:sz w:val="16"/>
                <w:szCs w:val="16"/>
                <w14:textFill>
                  <w14:solidFill>
                    <w14:schemeClr w14:val="tx1"/>
                  </w14:solidFill>
                </w14:textFill>
              </w:rPr>
            </w:pPr>
          </w:p>
        </w:tc>
        <w:tc>
          <w:tcPr>
            <w:tcW w:w="119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kern w:val="0"/>
                <w:sz w:val="16"/>
                <w:szCs w:val="16"/>
                <w14:textFill>
                  <w14:solidFill>
                    <w14:schemeClr w14:val="tx1"/>
                  </w14:solidFill>
                </w14:textFill>
              </w:rPr>
            </w:pPr>
          </w:p>
        </w:tc>
        <w:tc>
          <w:tcPr>
            <w:tcW w:w="13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成本指标</w:t>
            </w:r>
          </w:p>
        </w:tc>
        <w:tc>
          <w:tcPr>
            <w:tcW w:w="2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kern w:val="0"/>
                <w:sz w:val="16"/>
                <w:szCs w:val="16"/>
                <w14:textFill>
                  <w14:solidFill>
                    <w14:schemeClr w14:val="tx1"/>
                  </w14:solidFill>
                </w14:textFill>
              </w:rPr>
            </w:pPr>
          </w:p>
        </w:tc>
        <w:tc>
          <w:tcPr>
            <w:tcW w:w="17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kern w:val="0"/>
                <w:sz w:val="16"/>
                <w:szCs w:val="16"/>
                <w14:textFill>
                  <w14:solidFill>
                    <w14:schemeClr w14:val="tx1"/>
                  </w14:solidFill>
                </w14:textFill>
              </w:rPr>
            </w:pPr>
          </w:p>
        </w:tc>
        <w:tc>
          <w:tcPr>
            <w:tcW w:w="18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完成</w:t>
            </w:r>
          </w:p>
        </w:tc>
      </w:tr>
      <w:tr>
        <w:tblPrEx>
          <w:tblLayout w:type="fixed"/>
          <w:tblCellMar>
            <w:top w:w="0" w:type="dxa"/>
            <w:left w:w="108" w:type="dxa"/>
            <w:bottom w:w="0" w:type="dxa"/>
            <w:right w:w="108" w:type="dxa"/>
          </w:tblCellMar>
        </w:tblPrEx>
        <w:trPr>
          <w:trHeight w:val="480" w:hRule="atLeast"/>
          <w:jc w:val="center"/>
        </w:trPr>
        <w:tc>
          <w:tcPr>
            <w:tcW w:w="164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color w:val="000000" w:themeColor="text1"/>
                <w:kern w:val="0"/>
                <w:sz w:val="16"/>
                <w:szCs w:val="16"/>
                <w14:textFill>
                  <w14:solidFill>
                    <w14:schemeClr w14:val="tx1"/>
                  </w14:solidFill>
                </w14:textFill>
              </w:rPr>
            </w:pPr>
          </w:p>
        </w:tc>
        <w:tc>
          <w:tcPr>
            <w:tcW w:w="119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效益</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指标</w:t>
            </w:r>
          </w:p>
        </w:tc>
        <w:tc>
          <w:tcPr>
            <w:tcW w:w="13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经济效益指标</w:t>
            </w:r>
          </w:p>
        </w:tc>
        <w:tc>
          <w:tcPr>
            <w:tcW w:w="2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kern w:val="0"/>
                <w:sz w:val="16"/>
                <w:szCs w:val="16"/>
                <w14:textFill>
                  <w14:solidFill>
                    <w14:schemeClr w14:val="tx1"/>
                  </w14:solidFill>
                </w14:textFill>
              </w:rPr>
            </w:pPr>
          </w:p>
        </w:tc>
        <w:tc>
          <w:tcPr>
            <w:tcW w:w="17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kern w:val="0"/>
                <w:sz w:val="16"/>
                <w:szCs w:val="16"/>
                <w14:textFill>
                  <w14:solidFill>
                    <w14:schemeClr w14:val="tx1"/>
                  </w14:solidFill>
                </w14:textFill>
              </w:rPr>
            </w:pPr>
          </w:p>
        </w:tc>
        <w:tc>
          <w:tcPr>
            <w:tcW w:w="18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因前期手续未办理完毕，项目初设和概算未批复，故未开工</w:t>
            </w:r>
          </w:p>
        </w:tc>
      </w:tr>
      <w:tr>
        <w:tblPrEx>
          <w:tblLayout w:type="fixed"/>
          <w:tblCellMar>
            <w:top w:w="0" w:type="dxa"/>
            <w:left w:w="108" w:type="dxa"/>
            <w:bottom w:w="0" w:type="dxa"/>
            <w:right w:w="108" w:type="dxa"/>
          </w:tblCellMar>
        </w:tblPrEx>
        <w:trPr>
          <w:trHeight w:val="600" w:hRule="atLeast"/>
          <w:jc w:val="center"/>
        </w:trPr>
        <w:tc>
          <w:tcPr>
            <w:tcW w:w="164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color w:val="000000" w:themeColor="text1"/>
                <w:kern w:val="0"/>
                <w:sz w:val="16"/>
                <w:szCs w:val="16"/>
                <w14:textFill>
                  <w14:solidFill>
                    <w14:schemeClr w14:val="tx1"/>
                  </w14:solidFill>
                </w14:textFill>
              </w:rPr>
            </w:pPr>
          </w:p>
        </w:tc>
        <w:tc>
          <w:tcPr>
            <w:tcW w:w="119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kern w:val="0"/>
                <w:sz w:val="16"/>
                <w:szCs w:val="16"/>
                <w14:textFill>
                  <w14:solidFill>
                    <w14:schemeClr w14:val="tx1"/>
                  </w14:solidFill>
                </w14:textFill>
              </w:rPr>
            </w:pPr>
          </w:p>
        </w:tc>
        <w:tc>
          <w:tcPr>
            <w:tcW w:w="13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社会效益指标</w:t>
            </w:r>
          </w:p>
        </w:tc>
        <w:tc>
          <w:tcPr>
            <w:tcW w:w="2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职业教育受益学生</w:t>
            </w:r>
          </w:p>
        </w:tc>
        <w:tc>
          <w:tcPr>
            <w:tcW w:w="17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新校建成每年受益学生达5000余人</w:t>
            </w:r>
          </w:p>
        </w:tc>
        <w:tc>
          <w:tcPr>
            <w:tcW w:w="18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因前期手续未办理完毕，项目初设和概算未批复，故未完成</w:t>
            </w:r>
          </w:p>
        </w:tc>
      </w:tr>
      <w:tr>
        <w:tblPrEx>
          <w:tblLayout w:type="fixed"/>
          <w:tblCellMar>
            <w:top w:w="0" w:type="dxa"/>
            <w:left w:w="108" w:type="dxa"/>
            <w:bottom w:w="0" w:type="dxa"/>
            <w:right w:w="108" w:type="dxa"/>
          </w:tblCellMar>
        </w:tblPrEx>
        <w:trPr>
          <w:trHeight w:val="480" w:hRule="atLeast"/>
          <w:jc w:val="center"/>
        </w:trPr>
        <w:tc>
          <w:tcPr>
            <w:tcW w:w="164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color w:val="000000" w:themeColor="text1"/>
                <w:kern w:val="0"/>
                <w:sz w:val="16"/>
                <w:szCs w:val="16"/>
                <w14:textFill>
                  <w14:solidFill>
                    <w14:schemeClr w14:val="tx1"/>
                  </w14:solidFill>
                </w14:textFill>
              </w:rPr>
            </w:pPr>
          </w:p>
        </w:tc>
        <w:tc>
          <w:tcPr>
            <w:tcW w:w="119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kern w:val="0"/>
                <w:sz w:val="16"/>
                <w:szCs w:val="16"/>
                <w14:textFill>
                  <w14:solidFill>
                    <w14:schemeClr w14:val="tx1"/>
                  </w14:solidFill>
                </w14:textFill>
              </w:rPr>
            </w:pPr>
          </w:p>
        </w:tc>
        <w:tc>
          <w:tcPr>
            <w:tcW w:w="13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生态效益指标</w:t>
            </w:r>
          </w:p>
        </w:tc>
        <w:tc>
          <w:tcPr>
            <w:tcW w:w="2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kern w:val="0"/>
                <w:sz w:val="16"/>
                <w:szCs w:val="16"/>
                <w14:textFill>
                  <w14:solidFill>
                    <w14:schemeClr w14:val="tx1"/>
                  </w14:solidFill>
                </w14:textFill>
              </w:rPr>
            </w:pPr>
          </w:p>
        </w:tc>
        <w:tc>
          <w:tcPr>
            <w:tcW w:w="17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kern w:val="0"/>
                <w:sz w:val="16"/>
                <w:szCs w:val="16"/>
                <w14:textFill>
                  <w14:solidFill>
                    <w14:schemeClr w14:val="tx1"/>
                  </w14:solidFill>
                </w14:textFill>
              </w:rPr>
            </w:pPr>
          </w:p>
        </w:tc>
        <w:tc>
          <w:tcPr>
            <w:tcW w:w="18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因前期手续未办理完毕，项目初设和概算未批复，故未开工</w:t>
            </w:r>
          </w:p>
        </w:tc>
      </w:tr>
      <w:tr>
        <w:tblPrEx>
          <w:tblLayout w:type="fixed"/>
          <w:tblCellMar>
            <w:top w:w="0" w:type="dxa"/>
            <w:left w:w="108" w:type="dxa"/>
            <w:bottom w:w="0" w:type="dxa"/>
            <w:right w:w="108" w:type="dxa"/>
          </w:tblCellMar>
        </w:tblPrEx>
        <w:trPr>
          <w:trHeight w:val="480" w:hRule="atLeast"/>
          <w:jc w:val="center"/>
        </w:trPr>
        <w:tc>
          <w:tcPr>
            <w:tcW w:w="164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color w:val="000000" w:themeColor="text1"/>
                <w:kern w:val="0"/>
                <w:sz w:val="16"/>
                <w:szCs w:val="16"/>
                <w14:textFill>
                  <w14:solidFill>
                    <w14:schemeClr w14:val="tx1"/>
                  </w14:solidFill>
                </w14:textFill>
              </w:rPr>
            </w:pPr>
          </w:p>
        </w:tc>
        <w:tc>
          <w:tcPr>
            <w:tcW w:w="119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kern w:val="0"/>
                <w:sz w:val="16"/>
                <w:szCs w:val="16"/>
                <w14:textFill>
                  <w14:solidFill>
                    <w14:schemeClr w14:val="tx1"/>
                  </w14:solidFill>
                </w14:textFill>
              </w:rPr>
            </w:pPr>
          </w:p>
        </w:tc>
        <w:tc>
          <w:tcPr>
            <w:tcW w:w="13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可持续影响指标</w:t>
            </w:r>
          </w:p>
        </w:tc>
        <w:tc>
          <w:tcPr>
            <w:tcW w:w="2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kern w:val="0"/>
                <w:sz w:val="16"/>
                <w:szCs w:val="16"/>
                <w14:textFill>
                  <w14:solidFill>
                    <w14:schemeClr w14:val="tx1"/>
                  </w14:solidFill>
                </w14:textFill>
              </w:rPr>
            </w:pPr>
          </w:p>
        </w:tc>
        <w:tc>
          <w:tcPr>
            <w:tcW w:w="17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kern w:val="0"/>
                <w:sz w:val="16"/>
                <w:szCs w:val="16"/>
                <w14:textFill>
                  <w14:solidFill>
                    <w14:schemeClr w14:val="tx1"/>
                  </w14:solidFill>
                </w14:textFill>
              </w:rPr>
            </w:pPr>
          </w:p>
        </w:tc>
        <w:tc>
          <w:tcPr>
            <w:tcW w:w="18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因前期手续未办理完毕，项目初设和概算未批复，故未开工</w:t>
            </w:r>
          </w:p>
        </w:tc>
      </w:tr>
      <w:tr>
        <w:tblPrEx>
          <w:tblLayout w:type="fixed"/>
          <w:tblCellMar>
            <w:top w:w="0" w:type="dxa"/>
            <w:left w:w="108" w:type="dxa"/>
            <w:bottom w:w="0" w:type="dxa"/>
            <w:right w:w="108" w:type="dxa"/>
          </w:tblCellMar>
        </w:tblPrEx>
        <w:trPr>
          <w:trHeight w:val="1196" w:hRule="atLeast"/>
          <w:jc w:val="center"/>
        </w:trPr>
        <w:tc>
          <w:tcPr>
            <w:tcW w:w="164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color w:val="000000" w:themeColor="text1"/>
                <w:kern w:val="0"/>
                <w:sz w:val="16"/>
                <w:szCs w:val="16"/>
                <w14:textFill>
                  <w14:solidFill>
                    <w14:schemeClr w14:val="tx1"/>
                  </w14:solidFill>
                </w14:textFill>
              </w:rPr>
            </w:pPr>
          </w:p>
        </w:tc>
        <w:tc>
          <w:tcPr>
            <w:tcW w:w="11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满意度指标</w:t>
            </w:r>
          </w:p>
        </w:tc>
        <w:tc>
          <w:tcPr>
            <w:tcW w:w="13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满意度指标</w:t>
            </w:r>
          </w:p>
        </w:tc>
        <w:tc>
          <w:tcPr>
            <w:tcW w:w="2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师生综合满意度</w:t>
            </w:r>
          </w:p>
        </w:tc>
        <w:tc>
          <w:tcPr>
            <w:tcW w:w="17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新校建成师生综合满意度达到90%</w:t>
            </w:r>
          </w:p>
        </w:tc>
        <w:tc>
          <w:tcPr>
            <w:tcW w:w="18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因前期手续未办理完毕，项目初设和概算未批复，故未完成</w:t>
            </w:r>
          </w:p>
        </w:tc>
      </w:tr>
    </w:tbl>
    <w:p>
      <w:pPr>
        <w:keepNext w:val="0"/>
        <w:keepLines w:val="0"/>
        <w:pageBreakBefore w:val="0"/>
        <w:widowControl/>
        <w:kinsoku/>
        <w:wordWrap/>
        <w:overflowPunct/>
        <w:topLinePunct w:val="0"/>
        <w:autoSpaceDE/>
        <w:autoSpaceDN/>
        <w:bidi w:val="0"/>
        <w:adjustRightInd w:val="0"/>
        <w:snapToGrid w:val="0"/>
        <w:spacing w:line="20" w:lineRule="exact"/>
        <w:contextualSpacing/>
        <w:jc w:val="left"/>
        <w:textAlignment w:val="auto"/>
        <w:rPr>
          <w:rFonts w:ascii="仿宋_GB2312" w:hAnsi="宋体" w:cs="宋体"/>
          <w:color w:val="000000" w:themeColor="text1"/>
          <w:kern w:val="0"/>
          <w:szCs w:val="32"/>
          <w:shd w:val="clear" w:color="auto" w:fill="FFFFFF"/>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color w:val="000000" w:themeColor="text1"/>
          <w:spacing w:val="-11"/>
          <w:sz w:val="32"/>
          <w:szCs w:val="32"/>
          <w14:textFill>
            <w14:solidFill>
              <w14:schemeClr w14:val="tx1"/>
            </w14:solidFill>
          </w14:textFill>
        </w:rPr>
      </w:pPr>
      <w:r>
        <w:rPr>
          <w:rFonts w:hint="eastAsia" w:ascii="宋体" w:hAnsi="宋体" w:eastAsia="宋体" w:cs="宋体"/>
          <w:b/>
          <w:color w:val="000000" w:themeColor="text1"/>
          <w:spacing w:val="-11"/>
          <w:sz w:val="32"/>
          <w:szCs w:val="32"/>
          <w14:textFill>
            <w14:solidFill>
              <w14:schemeClr w14:val="tx1"/>
            </w14:solidFill>
          </w14:textFill>
        </w:rPr>
        <w:t>2021年100万元以上（含）特定目标类部门预算项目绩效目标自评</w:t>
      </w:r>
    </w:p>
    <w:p>
      <w:pPr>
        <w:bidi w:val="0"/>
        <w:rPr>
          <w:rFonts w:hint="eastAsia"/>
          <w:color w:val="000000" w:themeColor="text1"/>
          <w14:textFill>
            <w14:solidFill>
              <w14:schemeClr w14:val="tx1"/>
            </w14:solidFill>
          </w14:textFill>
        </w:rPr>
      </w:pPr>
    </w:p>
    <w:tbl>
      <w:tblPr>
        <w:tblStyle w:val="14"/>
        <w:tblW w:w="9980" w:type="dxa"/>
        <w:jc w:val="center"/>
        <w:tblInd w:w="0" w:type="dxa"/>
        <w:tblLayout w:type="fixed"/>
        <w:tblCellMar>
          <w:top w:w="0" w:type="dxa"/>
          <w:left w:w="108" w:type="dxa"/>
          <w:bottom w:w="0" w:type="dxa"/>
          <w:right w:w="108" w:type="dxa"/>
        </w:tblCellMar>
      </w:tblPr>
      <w:tblGrid>
        <w:gridCol w:w="1120"/>
        <w:gridCol w:w="1148"/>
        <w:gridCol w:w="1433"/>
        <w:gridCol w:w="567"/>
        <w:gridCol w:w="1134"/>
        <w:gridCol w:w="2621"/>
        <w:gridCol w:w="1957"/>
      </w:tblGrid>
      <w:tr>
        <w:tblPrEx>
          <w:tblLayout w:type="fixed"/>
          <w:tblCellMar>
            <w:top w:w="0" w:type="dxa"/>
            <w:left w:w="108" w:type="dxa"/>
            <w:bottom w:w="0" w:type="dxa"/>
            <w:right w:w="108" w:type="dxa"/>
          </w:tblCellMar>
        </w:tblPrEx>
        <w:trPr>
          <w:trHeight w:val="439" w:hRule="atLeast"/>
          <w:jc w:val="center"/>
        </w:trPr>
        <w:tc>
          <w:tcPr>
            <w:tcW w:w="22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项目名称</w:t>
            </w:r>
          </w:p>
        </w:tc>
        <w:tc>
          <w:tcPr>
            <w:tcW w:w="771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信息化建设及运行维护</w:t>
            </w:r>
          </w:p>
        </w:tc>
      </w:tr>
      <w:tr>
        <w:tblPrEx>
          <w:tblLayout w:type="fixed"/>
          <w:tblCellMar>
            <w:top w:w="0" w:type="dxa"/>
            <w:left w:w="108" w:type="dxa"/>
            <w:bottom w:w="0" w:type="dxa"/>
            <w:right w:w="108" w:type="dxa"/>
          </w:tblCellMar>
        </w:tblPrEx>
        <w:trPr>
          <w:trHeight w:val="1185" w:hRule="atLeast"/>
          <w:jc w:val="center"/>
        </w:trPr>
        <w:tc>
          <w:tcPr>
            <w:tcW w:w="22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主管部门及代码</w:t>
            </w:r>
          </w:p>
        </w:tc>
        <w:tc>
          <w:tcPr>
            <w:tcW w:w="3134"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四川省司法厅</w:t>
            </w:r>
          </w:p>
        </w:tc>
        <w:tc>
          <w:tcPr>
            <w:tcW w:w="262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实施单位</w:t>
            </w:r>
          </w:p>
        </w:tc>
        <w:tc>
          <w:tcPr>
            <w:tcW w:w="195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四川司法警官职业学院</w:t>
            </w:r>
          </w:p>
        </w:tc>
      </w:tr>
      <w:tr>
        <w:tblPrEx>
          <w:tblLayout w:type="fixed"/>
          <w:tblCellMar>
            <w:top w:w="0" w:type="dxa"/>
            <w:left w:w="108" w:type="dxa"/>
            <w:bottom w:w="0" w:type="dxa"/>
            <w:right w:w="108" w:type="dxa"/>
          </w:tblCellMar>
        </w:tblPrEx>
        <w:trPr>
          <w:trHeight w:val="439" w:hRule="atLeast"/>
          <w:jc w:val="center"/>
        </w:trPr>
        <w:tc>
          <w:tcPr>
            <w:tcW w:w="226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项目预算</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执行情况</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（万元）</w:t>
            </w:r>
          </w:p>
        </w:tc>
        <w:tc>
          <w:tcPr>
            <w:tcW w:w="200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xml:space="preserve"> 预算数：</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248.50</w:t>
            </w:r>
          </w:p>
        </w:tc>
        <w:tc>
          <w:tcPr>
            <w:tcW w:w="262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xml:space="preserve"> 执行数：</w:t>
            </w:r>
          </w:p>
        </w:tc>
        <w:tc>
          <w:tcPr>
            <w:tcW w:w="1957"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199.63</w:t>
            </w:r>
          </w:p>
        </w:tc>
      </w:tr>
      <w:tr>
        <w:tblPrEx>
          <w:tblLayout w:type="fixed"/>
          <w:tblCellMar>
            <w:top w:w="0" w:type="dxa"/>
            <w:left w:w="108" w:type="dxa"/>
            <w:bottom w:w="0" w:type="dxa"/>
            <w:right w:w="108" w:type="dxa"/>
          </w:tblCellMar>
        </w:tblPrEx>
        <w:trPr>
          <w:trHeight w:val="439" w:hRule="atLeast"/>
          <w:jc w:val="center"/>
        </w:trPr>
        <w:tc>
          <w:tcPr>
            <w:tcW w:w="22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p>
        </w:tc>
        <w:tc>
          <w:tcPr>
            <w:tcW w:w="200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xml:space="preserve"> 其中：</w:t>
            </w:r>
          </w:p>
          <w:p>
            <w:pPr>
              <w:widowControl/>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财政拨款</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200.00</w:t>
            </w:r>
          </w:p>
        </w:tc>
        <w:tc>
          <w:tcPr>
            <w:tcW w:w="262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xml:space="preserve"> 其中：</w:t>
            </w:r>
          </w:p>
          <w:p>
            <w:pPr>
              <w:widowControl/>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财政拨款</w:t>
            </w:r>
          </w:p>
        </w:tc>
        <w:tc>
          <w:tcPr>
            <w:tcW w:w="1957"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199.63</w:t>
            </w:r>
          </w:p>
        </w:tc>
      </w:tr>
      <w:tr>
        <w:tblPrEx>
          <w:tblLayout w:type="fixed"/>
          <w:tblCellMar>
            <w:top w:w="0" w:type="dxa"/>
            <w:left w:w="108" w:type="dxa"/>
            <w:bottom w:w="0" w:type="dxa"/>
            <w:right w:w="108" w:type="dxa"/>
          </w:tblCellMar>
        </w:tblPrEx>
        <w:trPr>
          <w:trHeight w:val="439" w:hRule="atLeast"/>
          <w:jc w:val="center"/>
        </w:trPr>
        <w:tc>
          <w:tcPr>
            <w:tcW w:w="22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p>
        </w:tc>
        <w:tc>
          <w:tcPr>
            <w:tcW w:w="200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其他资金</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48.50</w:t>
            </w:r>
          </w:p>
        </w:tc>
        <w:tc>
          <w:tcPr>
            <w:tcW w:w="262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其他资金</w:t>
            </w:r>
          </w:p>
        </w:tc>
        <w:tc>
          <w:tcPr>
            <w:tcW w:w="1957"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0　</w:t>
            </w:r>
          </w:p>
        </w:tc>
      </w:tr>
      <w:tr>
        <w:tblPrEx>
          <w:tblLayout w:type="fixed"/>
          <w:tblCellMar>
            <w:top w:w="0" w:type="dxa"/>
            <w:left w:w="108" w:type="dxa"/>
            <w:bottom w:w="0" w:type="dxa"/>
            <w:right w:w="108" w:type="dxa"/>
          </w:tblCellMar>
        </w:tblPrEx>
        <w:trPr>
          <w:trHeight w:val="439" w:hRule="atLeast"/>
          <w:jc w:val="center"/>
        </w:trPr>
        <w:tc>
          <w:tcPr>
            <w:tcW w:w="11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年度总体目标完成情况</w:t>
            </w:r>
          </w:p>
        </w:tc>
        <w:tc>
          <w:tcPr>
            <w:tcW w:w="4282"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预期目标</w:t>
            </w:r>
          </w:p>
        </w:tc>
        <w:tc>
          <w:tcPr>
            <w:tcW w:w="457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目标实际完成情况</w:t>
            </w:r>
          </w:p>
        </w:tc>
      </w:tr>
      <w:tr>
        <w:tblPrEx>
          <w:tblLayout w:type="fixed"/>
          <w:tblCellMar>
            <w:top w:w="0" w:type="dxa"/>
            <w:left w:w="108" w:type="dxa"/>
            <w:bottom w:w="0" w:type="dxa"/>
            <w:right w:w="108" w:type="dxa"/>
          </w:tblCellMar>
        </w:tblPrEx>
        <w:trPr>
          <w:trHeight w:val="965" w:hRule="atLeast"/>
          <w:jc w:val="center"/>
        </w:trPr>
        <w:tc>
          <w:tcPr>
            <w:tcW w:w="112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p>
        </w:tc>
        <w:tc>
          <w:tcPr>
            <w:tcW w:w="4282"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both"/>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按照学院信息化建设规划，完善基础设施，建设智慧校园，保障网络和办公环境。</w:t>
            </w:r>
          </w:p>
        </w:tc>
        <w:tc>
          <w:tcPr>
            <w:tcW w:w="457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both"/>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本年度完成开发信息系统及计算机软件4个，新信息验收合格率100%，全年保障学院信息化办公设备及网络正常运行360天以上。</w:t>
            </w:r>
          </w:p>
        </w:tc>
      </w:tr>
      <w:tr>
        <w:tblPrEx>
          <w:tblLayout w:type="fixed"/>
          <w:tblCellMar>
            <w:top w:w="0" w:type="dxa"/>
            <w:left w:w="108" w:type="dxa"/>
            <w:bottom w:w="0" w:type="dxa"/>
            <w:right w:w="108" w:type="dxa"/>
          </w:tblCellMar>
        </w:tblPrEx>
        <w:trPr>
          <w:trHeight w:val="645" w:hRule="atLeast"/>
          <w:jc w:val="center"/>
        </w:trPr>
        <w:tc>
          <w:tcPr>
            <w:tcW w:w="1120" w:type="dxa"/>
            <w:vMerge w:val="restart"/>
            <w:tcBorders>
              <w:top w:val="nil"/>
              <w:left w:val="single" w:color="auto" w:sz="4" w:space="0"/>
              <w:bottom w:val="single" w:color="000000" w:sz="4" w:space="0"/>
              <w:right w:val="nil"/>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年度绩效指标完成情况</w:t>
            </w:r>
          </w:p>
        </w:tc>
        <w:tc>
          <w:tcPr>
            <w:tcW w:w="1148" w:type="dxa"/>
            <w:tcBorders>
              <w:top w:val="nil"/>
              <w:left w:val="single" w:color="auto" w:sz="4" w:space="0"/>
              <w:bottom w:val="single" w:color="000000" w:sz="4" w:space="0"/>
              <w:right w:val="single" w:color="auto"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一级</w:t>
            </w:r>
          </w:p>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指标</w:t>
            </w:r>
          </w:p>
        </w:tc>
        <w:tc>
          <w:tcPr>
            <w:tcW w:w="143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二级</w:t>
            </w:r>
          </w:p>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指标</w:t>
            </w:r>
          </w:p>
        </w:tc>
        <w:tc>
          <w:tcPr>
            <w:tcW w:w="170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三级</w:t>
            </w:r>
          </w:p>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指标</w:t>
            </w:r>
          </w:p>
        </w:tc>
        <w:tc>
          <w:tcPr>
            <w:tcW w:w="262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预期指</w:t>
            </w:r>
          </w:p>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标值</w:t>
            </w:r>
          </w:p>
        </w:tc>
        <w:tc>
          <w:tcPr>
            <w:tcW w:w="195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实际完成指标值</w:t>
            </w:r>
          </w:p>
        </w:tc>
      </w:tr>
      <w:tr>
        <w:tblPrEx>
          <w:tblLayout w:type="fixed"/>
          <w:tblCellMar>
            <w:top w:w="0" w:type="dxa"/>
            <w:left w:w="108" w:type="dxa"/>
            <w:bottom w:w="0" w:type="dxa"/>
            <w:right w:w="108" w:type="dxa"/>
          </w:tblCellMar>
        </w:tblPrEx>
        <w:trPr>
          <w:trHeight w:val="600" w:hRule="atLeast"/>
          <w:jc w:val="center"/>
        </w:trPr>
        <w:tc>
          <w:tcPr>
            <w:tcW w:w="1120" w:type="dxa"/>
            <w:vMerge w:val="continue"/>
            <w:tcBorders>
              <w:top w:val="nil"/>
              <w:left w:val="single" w:color="auto" w:sz="4" w:space="0"/>
              <w:bottom w:val="single" w:color="000000" w:sz="4" w:space="0"/>
              <w:right w:val="nil"/>
            </w:tcBorders>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14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完成</w:t>
            </w:r>
          </w:p>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指标</w:t>
            </w:r>
          </w:p>
        </w:tc>
        <w:tc>
          <w:tcPr>
            <w:tcW w:w="143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数量指标</w:t>
            </w:r>
          </w:p>
        </w:tc>
        <w:tc>
          <w:tcPr>
            <w:tcW w:w="1701"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开发信息系统及计算机软件</w:t>
            </w:r>
          </w:p>
        </w:tc>
        <w:tc>
          <w:tcPr>
            <w:tcW w:w="2621"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开发信息系统及计算机软件4个</w:t>
            </w:r>
          </w:p>
        </w:tc>
        <w:tc>
          <w:tcPr>
            <w:tcW w:w="1957"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开发信息系统及计算机软件4个</w:t>
            </w:r>
          </w:p>
        </w:tc>
      </w:tr>
      <w:tr>
        <w:tblPrEx>
          <w:tblLayout w:type="fixed"/>
          <w:tblCellMar>
            <w:top w:w="0" w:type="dxa"/>
            <w:left w:w="108" w:type="dxa"/>
            <w:bottom w:w="0" w:type="dxa"/>
            <w:right w:w="108" w:type="dxa"/>
          </w:tblCellMar>
        </w:tblPrEx>
        <w:trPr>
          <w:trHeight w:val="660" w:hRule="atLeast"/>
          <w:jc w:val="center"/>
        </w:trPr>
        <w:tc>
          <w:tcPr>
            <w:tcW w:w="1120" w:type="dxa"/>
            <w:vMerge w:val="continue"/>
            <w:tcBorders>
              <w:top w:val="nil"/>
              <w:left w:val="single" w:color="auto" w:sz="4" w:space="0"/>
              <w:bottom w:val="single" w:color="000000" w:sz="4" w:space="0"/>
              <w:right w:val="nil"/>
            </w:tcBorders>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148" w:type="dxa"/>
            <w:vMerge w:val="continue"/>
            <w:tcBorders>
              <w:top w:val="nil"/>
              <w:left w:val="single" w:color="000000" w:sz="4" w:space="0"/>
              <w:bottom w:val="single" w:color="000000" w:sz="4" w:space="0"/>
              <w:right w:val="single" w:color="000000" w:sz="4" w:space="0"/>
            </w:tcBorders>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43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质量指标</w:t>
            </w:r>
          </w:p>
        </w:tc>
        <w:tc>
          <w:tcPr>
            <w:tcW w:w="1701"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信息新系统验收</w:t>
            </w:r>
          </w:p>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合格率</w:t>
            </w:r>
          </w:p>
        </w:tc>
        <w:tc>
          <w:tcPr>
            <w:tcW w:w="2621"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信息新系统验收合格率100%</w:t>
            </w:r>
          </w:p>
        </w:tc>
        <w:tc>
          <w:tcPr>
            <w:tcW w:w="1957"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信息新系统验收合格率100%</w:t>
            </w:r>
          </w:p>
        </w:tc>
      </w:tr>
      <w:tr>
        <w:tblPrEx>
          <w:tblLayout w:type="fixed"/>
          <w:tblCellMar>
            <w:top w:w="0" w:type="dxa"/>
            <w:left w:w="108" w:type="dxa"/>
            <w:bottom w:w="0" w:type="dxa"/>
            <w:right w:w="108" w:type="dxa"/>
          </w:tblCellMar>
        </w:tblPrEx>
        <w:trPr>
          <w:trHeight w:val="690" w:hRule="atLeast"/>
          <w:jc w:val="center"/>
        </w:trPr>
        <w:tc>
          <w:tcPr>
            <w:tcW w:w="1120" w:type="dxa"/>
            <w:vMerge w:val="continue"/>
            <w:tcBorders>
              <w:top w:val="nil"/>
              <w:left w:val="single" w:color="auto" w:sz="4" w:space="0"/>
              <w:bottom w:val="single" w:color="000000" w:sz="4" w:space="0"/>
              <w:right w:val="nil"/>
            </w:tcBorders>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148" w:type="dxa"/>
            <w:vMerge w:val="continue"/>
            <w:tcBorders>
              <w:top w:val="nil"/>
              <w:left w:val="single" w:color="000000" w:sz="4" w:space="0"/>
              <w:bottom w:val="single" w:color="000000" w:sz="4" w:space="0"/>
              <w:right w:val="single" w:color="000000" w:sz="4" w:space="0"/>
            </w:tcBorders>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43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时效指标</w:t>
            </w:r>
          </w:p>
        </w:tc>
        <w:tc>
          <w:tcPr>
            <w:tcW w:w="1701"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完成年限</w:t>
            </w:r>
          </w:p>
        </w:tc>
        <w:tc>
          <w:tcPr>
            <w:tcW w:w="2621"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完成年限2021年</w:t>
            </w:r>
          </w:p>
        </w:tc>
        <w:tc>
          <w:tcPr>
            <w:tcW w:w="1957"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2021年底前已全部投入运行</w:t>
            </w:r>
          </w:p>
        </w:tc>
      </w:tr>
      <w:tr>
        <w:tblPrEx>
          <w:tblLayout w:type="fixed"/>
          <w:tblCellMar>
            <w:top w:w="0" w:type="dxa"/>
            <w:left w:w="108" w:type="dxa"/>
            <w:bottom w:w="0" w:type="dxa"/>
            <w:right w:w="108" w:type="dxa"/>
          </w:tblCellMar>
        </w:tblPrEx>
        <w:trPr>
          <w:trHeight w:val="480" w:hRule="atLeast"/>
          <w:jc w:val="center"/>
        </w:trPr>
        <w:tc>
          <w:tcPr>
            <w:tcW w:w="1120" w:type="dxa"/>
            <w:vMerge w:val="continue"/>
            <w:tcBorders>
              <w:top w:val="nil"/>
              <w:left w:val="single" w:color="auto" w:sz="4" w:space="0"/>
              <w:bottom w:val="single" w:color="000000" w:sz="4" w:space="0"/>
              <w:right w:val="nil"/>
            </w:tcBorders>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148" w:type="dxa"/>
            <w:vMerge w:val="continue"/>
            <w:tcBorders>
              <w:top w:val="nil"/>
              <w:left w:val="single" w:color="000000" w:sz="4" w:space="0"/>
              <w:bottom w:val="single" w:color="000000" w:sz="4" w:space="0"/>
              <w:right w:val="single" w:color="000000" w:sz="4" w:space="0"/>
            </w:tcBorders>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43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成本指标</w:t>
            </w:r>
          </w:p>
        </w:tc>
        <w:tc>
          <w:tcPr>
            <w:tcW w:w="1701"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2621"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1957"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108" w:type="dxa"/>
            <w:bottom w:w="0" w:type="dxa"/>
            <w:right w:w="108" w:type="dxa"/>
          </w:tblCellMar>
        </w:tblPrEx>
        <w:trPr>
          <w:trHeight w:val="480" w:hRule="atLeast"/>
          <w:jc w:val="center"/>
        </w:trPr>
        <w:tc>
          <w:tcPr>
            <w:tcW w:w="1120" w:type="dxa"/>
            <w:vMerge w:val="continue"/>
            <w:tcBorders>
              <w:top w:val="nil"/>
              <w:left w:val="single" w:color="auto" w:sz="4" w:space="0"/>
              <w:bottom w:val="single" w:color="000000" w:sz="4" w:space="0"/>
              <w:right w:val="nil"/>
            </w:tcBorders>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14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效益</w:t>
            </w:r>
          </w:p>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指标</w:t>
            </w:r>
          </w:p>
        </w:tc>
        <w:tc>
          <w:tcPr>
            <w:tcW w:w="143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经济效益指标</w:t>
            </w:r>
          </w:p>
        </w:tc>
        <w:tc>
          <w:tcPr>
            <w:tcW w:w="1701"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信息化办公水平</w:t>
            </w:r>
          </w:p>
        </w:tc>
        <w:tc>
          <w:tcPr>
            <w:tcW w:w="2621"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信息化办公水平基本达到核心应用无线办公</w:t>
            </w:r>
          </w:p>
        </w:tc>
        <w:tc>
          <w:tcPr>
            <w:tcW w:w="1957" w:type="dxa"/>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学院信息化办公核心应用OA，I警院等已全部实现APP端移动无线办公。</w:t>
            </w:r>
          </w:p>
        </w:tc>
      </w:tr>
      <w:tr>
        <w:tblPrEx>
          <w:tblLayout w:type="fixed"/>
          <w:tblCellMar>
            <w:top w:w="0" w:type="dxa"/>
            <w:left w:w="108" w:type="dxa"/>
            <w:bottom w:w="0" w:type="dxa"/>
            <w:right w:w="108" w:type="dxa"/>
          </w:tblCellMar>
        </w:tblPrEx>
        <w:trPr>
          <w:trHeight w:val="600" w:hRule="atLeast"/>
          <w:jc w:val="center"/>
        </w:trPr>
        <w:tc>
          <w:tcPr>
            <w:tcW w:w="1120" w:type="dxa"/>
            <w:vMerge w:val="continue"/>
            <w:tcBorders>
              <w:top w:val="nil"/>
              <w:left w:val="single" w:color="auto" w:sz="4" w:space="0"/>
              <w:bottom w:val="single" w:color="000000" w:sz="4" w:space="0"/>
              <w:right w:val="nil"/>
            </w:tcBorders>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148" w:type="dxa"/>
            <w:vMerge w:val="continue"/>
            <w:tcBorders>
              <w:top w:val="nil"/>
              <w:left w:val="single" w:color="000000" w:sz="4" w:space="0"/>
              <w:bottom w:val="single" w:color="000000" w:sz="4" w:space="0"/>
              <w:right w:val="single" w:color="000000" w:sz="4" w:space="0"/>
            </w:tcBorders>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43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社会效益指标</w:t>
            </w:r>
          </w:p>
        </w:tc>
        <w:tc>
          <w:tcPr>
            <w:tcW w:w="1701"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支撑相关信息系统正常运行</w:t>
            </w:r>
          </w:p>
        </w:tc>
        <w:tc>
          <w:tcPr>
            <w:tcW w:w="2621"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支撑相关信息系统正常运行天数</w:t>
            </w:r>
          </w:p>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达到360天</w:t>
            </w:r>
          </w:p>
        </w:tc>
        <w:tc>
          <w:tcPr>
            <w:tcW w:w="1957"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108" w:type="dxa"/>
            <w:bottom w:w="0" w:type="dxa"/>
            <w:right w:w="108" w:type="dxa"/>
          </w:tblCellMar>
        </w:tblPrEx>
        <w:trPr>
          <w:trHeight w:val="480" w:hRule="atLeast"/>
          <w:jc w:val="center"/>
        </w:trPr>
        <w:tc>
          <w:tcPr>
            <w:tcW w:w="1120" w:type="dxa"/>
            <w:vMerge w:val="continue"/>
            <w:tcBorders>
              <w:top w:val="nil"/>
              <w:left w:val="single" w:color="auto" w:sz="4" w:space="0"/>
              <w:bottom w:val="single" w:color="000000" w:sz="4" w:space="0"/>
              <w:right w:val="nil"/>
            </w:tcBorders>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148" w:type="dxa"/>
            <w:vMerge w:val="continue"/>
            <w:tcBorders>
              <w:top w:val="nil"/>
              <w:left w:val="single" w:color="000000" w:sz="4" w:space="0"/>
              <w:bottom w:val="single" w:color="000000" w:sz="4" w:space="0"/>
              <w:right w:val="single" w:color="000000" w:sz="4" w:space="0"/>
            </w:tcBorders>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43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生态效益指标</w:t>
            </w:r>
          </w:p>
        </w:tc>
        <w:tc>
          <w:tcPr>
            <w:tcW w:w="1701"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2621"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1957"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108" w:type="dxa"/>
            <w:bottom w:w="0" w:type="dxa"/>
            <w:right w:w="108" w:type="dxa"/>
          </w:tblCellMar>
        </w:tblPrEx>
        <w:trPr>
          <w:trHeight w:val="480" w:hRule="atLeast"/>
          <w:jc w:val="center"/>
        </w:trPr>
        <w:tc>
          <w:tcPr>
            <w:tcW w:w="1120" w:type="dxa"/>
            <w:vMerge w:val="continue"/>
            <w:tcBorders>
              <w:top w:val="nil"/>
              <w:left w:val="single" w:color="auto" w:sz="4" w:space="0"/>
              <w:bottom w:val="single" w:color="000000" w:sz="4" w:space="0"/>
              <w:right w:val="nil"/>
            </w:tcBorders>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148" w:type="dxa"/>
            <w:vMerge w:val="continue"/>
            <w:tcBorders>
              <w:top w:val="nil"/>
              <w:left w:val="single" w:color="000000" w:sz="4" w:space="0"/>
              <w:bottom w:val="single" w:color="000000" w:sz="4" w:space="0"/>
              <w:right w:val="single" w:color="000000" w:sz="4" w:space="0"/>
            </w:tcBorders>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43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可持续影响指标</w:t>
            </w:r>
          </w:p>
        </w:tc>
        <w:tc>
          <w:tcPr>
            <w:tcW w:w="1701"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2621"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1957"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108" w:type="dxa"/>
            <w:bottom w:w="0" w:type="dxa"/>
            <w:right w:w="108" w:type="dxa"/>
          </w:tblCellMar>
        </w:tblPrEx>
        <w:trPr>
          <w:trHeight w:val="645" w:hRule="atLeast"/>
          <w:jc w:val="center"/>
        </w:trPr>
        <w:tc>
          <w:tcPr>
            <w:tcW w:w="1120" w:type="dxa"/>
            <w:vMerge w:val="continue"/>
            <w:tcBorders>
              <w:top w:val="nil"/>
              <w:left w:val="single" w:color="auto" w:sz="4" w:space="0"/>
              <w:bottom w:val="single" w:color="000000" w:sz="4" w:space="0"/>
              <w:right w:val="nil"/>
            </w:tcBorders>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p>
        </w:tc>
        <w:tc>
          <w:tcPr>
            <w:tcW w:w="1148" w:type="dxa"/>
            <w:tcBorders>
              <w:top w:val="nil"/>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满意度指标</w:t>
            </w:r>
          </w:p>
        </w:tc>
        <w:tc>
          <w:tcPr>
            <w:tcW w:w="143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满意度指标</w:t>
            </w:r>
          </w:p>
        </w:tc>
        <w:tc>
          <w:tcPr>
            <w:tcW w:w="1701"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信息系统使用率</w:t>
            </w:r>
          </w:p>
        </w:tc>
        <w:tc>
          <w:tcPr>
            <w:tcW w:w="2621"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信息系统使用率达80%</w:t>
            </w:r>
          </w:p>
        </w:tc>
        <w:tc>
          <w:tcPr>
            <w:tcW w:w="1957"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信息系统使用率达80%</w:t>
            </w:r>
          </w:p>
        </w:tc>
      </w:tr>
    </w:tbl>
    <w:p>
      <w:pPr>
        <w:bidi w:val="0"/>
        <w:rPr>
          <w:color w:val="000000" w:themeColor="text1"/>
          <w14:textFill>
            <w14:solidFill>
              <w14:schemeClr w14:val="tx1"/>
            </w14:solidFill>
          </w14:textFill>
        </w:rPr>
      </w:pPr>
    </w:p>
    <w:tbl>
      <w:tblPr>
        <w:tblStyle w:val="14"/>
        <w:tblW w:w="9671" w:type="dxa"/>
        <w:jc w:val="center"/>
        <w:tblInd w:w="-34" w:type="dxa"/>
        <w:tblLayout w:type="fixed"/>
        <w:tblCellMar>
          <w:top w:w="0" w:type="dxa"/>
          <w:left w:w="108" w:type="dxa"/>
          <w:bottom w:w="0" w:type="dxa"/>
          <w:right w:w="108" w:type="dxa"/>
        </w:tblCellMar>
      </w:tblPr>
      <w:tblGrid>
        <w:gridCol w:w="9671"/>
      </w:tblGrid>
      <w:tr>
        <w:tblPrEx>
          <w:tblLayout w:type="fixed"/>
          <w:tblCellMar>
            <w:top w:w="0" w:type="dxa"/>
            <w:left w:w="108" w:type="dxa"/>
            <w:bottom w:w="0" w:type="dxa"/>
            <w:right w:w="108" w:type="dxa"/>
          </w:tblCellMar>
        </w:tblPrEx>
        <w:trPr>
          <w:trHeight w:val="285" w:hRule="atLeast"/>
          <w:jc w:val="center"/>
        </w:trPr>
        <w:tc>
          <w:tcPr>
            <w:tcW w:w="9671" w:type="dxa"/>
            <w:tcBorders>
              <w:top w:val="nil"/>
              <w:left w:val="nil"/>
              <w:bottom w:val="nil"/>
              <w:right w:val="nil"/>
            </w:tcBorders>
            <w:shd w:val="clear" w:color="auto" w:fill="auto"/>
          </w:tcPr>
          <w:p>
            <w:pPr>
              <w:rPr>
                <w:rFonts w:hint="eastAsia" w:ascii="宋体" w:hAnsi="宋体" w:eastAsia="宋体" w:cs="宋体"/>
                <w:b/>
                <w:color w:val="000000" w:themeColor="text1"/>
                <w:sz w:val="32"/>
                <w:szCs w:val="32"/>
                <w14:textFill>
                  <w14:solidFill>
                    <w14:schemeClr w14:val="tx1"/>
                  </w14:solidFill>
                </w14:textFill>
              </w:rPr>
            </w:pPr>
          </w:p>
          <w:p>
            <w:pPr>
              <w:rPr>
                <w:rFonts w:hint="eastAsia" w:ascii="宋体" w:hAnsi="宋体" w:eastAsia="宋体" w:cs="宋体"/>
                <w:b/>
                <w:color w:val="000000" w:themeColor="text1"/>
                <w:sz w:val="32"/>
                <w:szCs w:val="32"/>
                <w14:textFill>
                  <w14:solidFill>
                    <w14:schemeClr w14:val="tx1"/>
                  </w14:solidFill>
                </w14:textFill>
              </w:rPr>
            </w:pPr>
          </w:p>
          <w:p>
            <w:pPr>
              <w:rPr>
                <w:rFonts w:hint="eastAsia" w:ascii="宋体" w:hAnsi="宋体" w:eastAsia="宋体" w:cs="宋体"/>
                <w:color w:val="000000" w:themeColor="text1"/>
                <w:sz w:val="16"/>
                <w:szCs w:val="16"/>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t>2021年100万元以上（含）特定目标类部门预算项目绩效目标自评</w:t>
            </w:r>
          </w:p>
        </w:tc>
      </w:tr>
    </w:tbl>
    <w:p>
      <w:pPr>
        <w:bidi w:val="0"/>
        <w:rPr>
          <w:color w:val="000000" w:themeColor="text1"/>
          <w14:textFill>
            <w14:solidFill>
              <w14:schemeClr w14:val="tx1"/>
            </w14:solidFill>
          </w14:textFill>
        </w:rPr>
      </w:pPr>
    </w:p>
    <w:tbl>
      <w:tblPr>
        <w:tblStyle w:val="14"/>
        <w:tblW w:w="9671" w:type="dxa"/>
        <w:jc w:val="center"/>
        <w:tblInd w:w="-34" w:type="dxa"/>
        <w:tblLayout w:type="fixed"/>
        <w:tblCellMar>
          <w:top w:w="0" w:type="dxa"/>
          <w:left w:w="108" w:type="dxa"/>
          <w:bottom w:w="0" w:type="dxa"/>
          <w:right w:w="108" w:type="dxa"/>
        </w:tblCellMar>
      </w:tblPr>
      <w:tblGrid>
        <w:gridCol w:w="1247"/>
        <w:gridCol w:w="1236"/>
        <w:gridCol w:w="1403"/>
        <w:gridCol w:w="84"/>
        <w:gridCol w:w="1134"/>
        <w:gridCol w:w="1559"/>
        <w:gridCol w:w="3008"/>
      </w:tblGrid>
      <w:tr>
        <w:tblPrEx>
          <w:tblLayout w:type="fixed"/>
          <w:tblCellMar>
            <w:top w:w="0" w:type="dxa"/>
            <w:left w:w="108" w:type="dxa"/>
            <w:bottom w:w="0" w:type="dxa"/>
            <w:right w:w="108" w:type="dxa"/>
          </w:tblCellMar>
        </w:tblPrEx>
        <w:trPr>
          <w:trHeight w:val="439" w:hRule="atLeast"/>
          <w:jc w:val="center"/>
        </w:trPr>
        <w:tc>
          <w:tcPr>
            <w:tcW w:w="248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项目名称</w:t>
            </w:r>
          </w:p>
        </w:tc>
        <w:tc>
          <w:tcPr>
            <w:tcW w:w="7188"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2021年学生资助补助经费</w:t>
            </w:r>
          </w:p>
        </w:tc>
      </w:tr>
      <w:tr>
        <w:tblPrEx>
          <w:tblLayout w:type="fixed"/>
          <w:tblCellMar>
            <w:top w:w="0" w:type="dxa"/>
            <w:left w:w="108" w:type="dxa"/>
            <w:bottom w:w="0" w:type="dxa"/>
            <w:right w:w="108" w:type="dxa"/>
          </w:tblCellMar>
        </w:tblPrEx>
        <w:trPr>
          <w:trHeight w:val="810" w:hRule="atLeast"/>
          <w:jc w:val="center"/>
        </w:trPr>
        <w:tc>
          <w:tcPr>
            <w:tcW w:w="248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主管部门及代码</w:t>
            </w:r>
          </w:p>
        </w:tc>
        <w:tc>
          <w:tcPr>
            <w:tcW w:w="2621"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四川省司法厅</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实施单位</w:t>
            </w:r>
          </w:p>
        </w:tc>
        <w:tc>
          <w:tcPr>
            <w:tcW w:w="300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四川司法警官职业学院</w:t>
            </w:r>
          </w:p>
        </w:tc>
      </w:tr>
      <w:tr>
        <w:tblPrEx>
          <w:tblLayout w:type="fixed"/>
          <w:tblCellMar>
            <w:top w:w="0" w:type="dxa"/>
            <w:left w:w="108" w:type="dxa"/>
            <w:bottom w:w="0" w:type="dxa"/>
            <w:right w:w="108" w:type="dxa"/>
          </w:tblCellMar>
        </w:tblPrEx>
        <w:trPr>
          <w:trHeight w:val="439" w:hRule="atLeast"/>
          <w:jc w:val="center"/>
        </w:trPr>
        <w:tc>
          <w:tcPr>
            <w:tcW w:w="2483"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项目预算</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执行情况</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（万元）</w:t>
            </w:r>
          </w:p>
        </w:tc>
        <w:tc>
          <w:tcPr>
            <w:tcW w:w="1487"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xml:space="preserve"> 预算数：</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482.00</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xml:space="preserve"> 执行数：</w:t>
            </w:r>
          </w:p>
        </w:tc>
        <w:tc>
          <w:tcPr>
            <w:tcW w:w="3008"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482.00</w:t>
            </w:r>
          </w:p>
        </w:tc>
      </w:tr>
      <w:tr>
        <w:tblPrEx>
          <w:tblLayout w:type="fixed"/>
          <w:tblCellMar>
            <w:top w:w="0" w:type="dxa"/>
            <w:left w:w="108" w:type="dxa"/>
            <w:bottom w:w="0" w:type="dxa"/>
            <w:right w:w="108" w:type="dxa"/>
          </w:tblCellMar>
        </w:tblPrEx>
        <w:trPr>
          <w:trHeight w:val="439" w:hRule="atLeast"/>
          <w:jc w:val="center"/>
        </w:trPr>
        <w:tc>
          <w:tcPr>
            <w:tcW w:w="248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p>
        </w:tc>
        <w:tc>
          <w:tcPr>
            <w:tcW w:w="1487"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其中：</w:t>
            </w:r>
          </w:p>
          <w:p>
            <w:pPr>
              <w:widowControl/>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财政拨款</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482.00</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其中：</w:t>
            </w:r>
          </w:p>
          <w:p>
            <w:pPr>
              <w:widowControl/>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财政拨款</w:t>
            </w:r>
          </w:p>
        </w:tc>
        <w:tc>
          <w:tcPr>
            <w:tcW w:w="3008"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482.00</w:t>
            </w:r>
          </w:p>
        </w:tc>
      </w:tr>
      <w:tr>
        <w:tblPrEx>
          <w:tblLayout w:type="fixed"/>
          <w:tblCellMar>
            <w:top w:w="0" w:type="dxa"/>
            <w:left w:w="108" w:type="dxa"/>
            <w:bottom w:w="0" w:type="dxa"/>
            <w:right w:w="108" w:type="dxa"/>
          </w:tblCellMar>
        </w:tblPrEx>
        <w:trPr>
          <w:trHeight w:val="615" w:hRule="atLeast"/>
          <w:jc w:val="center"/>
        </w:trPr>
        <w:tc>
          <w:tcPr>
            <w:tcW w:w="248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p>
        </w:tc>
        <w:tc>
          <w:tcPr>
            <w:tcW w:w="1487"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其他资金</w:t>
            </w:r>
          </w:p>
        </w:tc>
        <w:tc>
          <w:tcPr>
            <w:tcW w:w="1134" w:type="dxa"/>
            <w:tcBorders>
              <w:top w:val="nil"/>
              <w:left w:val="nil"/>
              <w:bottom w:val="single" w:color="auto" w:sz="4" w:space="0"/>
              <w:right w:val="single" w:color="auto" w:sz="4" w:space="0"/>
            </w:tcBorders>
            <w:shd w:val="clear" w:color="auto" w:fill="auto"/>
            <w:vAlign w:val="center"/>
          </w:tcPr>
          <w:p>
            <w:pPr>
              <w:widowControl/>
              <w:ind w:firstLine="480" w:firstLineChars="300"/>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0</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其他资金</w:t>
            </w:r>
          </w:p>
        </w:tc>
        <w:tc>
          <w:tcPr>
            <w:tcW w:w="3008"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0</w:t>
            </w:r>
          </w:p>
        </w:tc>
      </w:tr>
      <w:tr>
        <w:tblPrEx>
          <w:tblLayout w:type="fixed"/>
          <w:tblCellMar>
            <w:top w:w="0" w:type="dxa"/>
            <w:left w:w="108" w:type="dxa"/>
            <w:bottom w:w="0" w:type="dxa"/>
            <w:right w:w="108" w:type="dxa"/>
          </w:tblCellMar>
        </w:tblPrEx>
        <w:trPr>
          <w:trHeight w:val="439" w:hRule="atLeast"/>
          <w:jc w:val="center"/>
        </w:trPr>
        <w:tc>
          <w:tcPr>
            <w:tcW w:w="124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年度总体目标完成情况</w:t>
            </w:r>
          </w:p>
        </w:tc>
        <w:tc>
          <w:tcPr>
            <w:tcW w:w="385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预期目标</w:t>
            </w:r>
          </w:p>
        </w:tc>
        <w:tc>
          <w:tcPr>
            <w:tcW w:w="456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目标实际完成情况</w:t>
            </w:r>
          </w:p>
        </w:tc>
      </w:tr>
      <w:tr>
        <w:tblPrEx>
          <w:tblLayout w:type="fixed"/>
          <w:tblCellMar>
            <w:top w:w="0" w:type="dxa"/>
            <w:left w:w="108" w:type="dxa"/>
            <w:bottom w:w="0" w:type="dxa"/>
            <w:right w:w="108" w:type="dxa"/>
          </w:tblCellMar>
        </w:tblPrEx>
        <w:trPr>
          <w:trHeight w:val="1705" w:hRule="atLeast"/>
          <w:jc w:val="center"/>
        </w:trPr>
        <w:tc>
          <w:tcPr>
            <w:tcW w:w="124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p>
        </w:tc>
        <w:tc>
          <w:tcPr>
            <w:tcW w:w="3857"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both"/>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按照国家资助政策，用于发放学生奖助学金，满足家庭经济困难学生基本学习生活需要，学生和家长满意度不断提高，确保学生顺利完成学业。激励引导高校学生应征入伍，为退役士兵接受高等教育提供更多机会，提升就业竞争力。</w:t>
            </w:r>
          </w:p>
        </w:tc>
        <w:tc>
          <w:tcPr>
            <w:tcW w:w="4567"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both"/>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严格按照国家资助政策，100%的完成了学生奖助学金的发放，为品学兼优的优秀学生和家庭经济困难学生送去了党和国家的褒奖与关爱。</w:t>
            </w:r>
          </w:p>
        </w:tc>
      </w:tr>
      <w:tr>
        <w:tblPrEx>
          <w:tblLayout w:type="fixed"/>
          <w:tblCellMar>
            <w:top w:w="0" w:type="dxa"/>
            <w:left w:w="108" w:type="dxa"/>
            <w:bottom w:w="0" w:type="dxa"/>
            <w:right w:w="108" w:type="dxa"/>
          </w:tblCellMar>
        </w:tblPrEx>
        <w:trPr>
          <w:trHeight w:val="439" w:hRule="atLeast"/>
          <w:jc w:val="center"/>
        </w:trPr>
        <w:tc>
          <w:tcPr>
            <w:tcW w:w="124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年度绩效指标完成情况</w:t>
            </w:r>
          </w:p>
        </w:tc>
        <w:tc>
          <w:tcPr>
            <w:tcW w:w="12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一级</w:t>
            </w:r>
          </w:p>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指标</w:t>
            </w:r>
          </w:p>
        </w:tc>
        <w:tc>
          <w:tcPr>
            <w:tcW w:w="140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二级</w:t>
            </w:r>
          </w:p>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指标</w:t>
            </w:r>
          </w:p>
        </w:tc>
        <w:tc>
          <w:tcPr>
            <w:tcW w:w="121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三级</w:t>
            </w:r>
          </w:p>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指标</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预期指</w:t>
            </w:r>
          </w:p>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标值</w:t>
            </w:r>
          </w:p>
        </w:tc>
        <w:tc>
          <w:tcPr>
            <w:tcW w:w="300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实际完成指标值</w:t>
            </w:r>
          </w:p>
        </w:tc>
      </w:tr>
      <w:tr>
        <w:tblPrEx>
          <w:tblLayout w:type="fixed"/>
          <w:tblCellMar>
            <w:top w:w="0" w:type="dxa"/>
            <w:left w:w="108" w:type="dxa"/>
            <w:bottom w:w="0" w:type="dxa"/>
            <w:right w:w="108" w:type="dxa"/>
          </w:tblCellMar>
        </w:tblPrEx>
        <w:trPr>
          <w:trHeight w:val="945" w:hRule="atLeast"/>
          <w:jc w:val="center"/>
        </w:trPr>
        <w:tc>
          <w:tcPr>
            <w:tcW w:w="1247"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1236" w:type="dxa"/>
            <w:vMerge w:val="restart"/>
            <w:tcBorders>
              <w:top w:val="nil"/>
              <w:left w:val="single" w:color="auto"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完成</w:t>
            </w:r>
          </w:p>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指标</w:t>
            </w:r>
          </w:p>
        </w:tc>
        <w:tc>
          <w:tcPr>
            <w:tcW w:w="140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数量指标</w:t>
            </w:r>
          </w:p>
        </w:tc>
        <w:tc>
          <w:tcPr>
            <w:tcW w:w="1218"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按下达的名额完成指标值</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按下达的1399名额100%完成指标值</w:t>
            </w:r>
          </w:p>
        </w:tc>
        <w:tc>
          <w:tcPr>
            <w:tcW w:w="300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按下达的1398名额99.22%完成了指标值</w:t>
            </w:r>
          </w:p>
        </w:tc>
      </w:tr>
      <w:tr>
        <w:tblPrEx>
          <w:tblLayout w:type="fixed"/>
          <w:tblCellMar>
            <w:top w:w="0" w:type="dxa"/>
            <w:left w:w="108" w:type="dxa"/>
            <w:bottom w:w="0" w:type="dxa"/>
            <w:right w:w="108" w:type="dxa"/>
          </w:tblCellMar>
        </w:tblPrEx>
        <w:trPr>
          <w:trHeight w:val="480" w:hRule="atLeast"/>
          <w:jc w:val="center"/>
        </w:trPr>
        <w:tc>
          <w:tcPr>
            <w:tcW w:w="1247"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1236" w:type="dxa"/>
            <w:vMerge w:val="continue"/>
            <w:tcBorders>
              <w:top w:val="nil"/>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140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质量指标</w:t>
            </w:r>
          </w:p>
        </w:tc>
        <w:tc>
          <w:tcPr>
            <w:tcW w:w="1218"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足额发放</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100%足额发放</w:t>
            </w:r>
          </w:p>
        </w:tc>
        <w:tc>
          <w:tcPr>
            <w:tcW w:w="300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99.22%足额发放</w:t>
            </w:r>
          </w:p>
        </w:tc>
      </w:tr>
      <w:tr>
        <w:tblPrEx>
          <w:tblLayout w:type="fixed"/>
          <w:tblCellMar>
            <w:top w:w="0" w:type="dxa"/>
            <w:left w:w="108" w:type="dxa"/>
            <w:bottom w:w="0" w:type="dxa"/>
            <w:right w:w="108" w:type="dxa"/>
          </w:tblCellMar>
        </w:tblPrEx>
        <w:trPr>
          <w:trHeight w:val="480" w:hRule="atLeast"/>
          <w:jc w:val="center"/>
        </w:trPr>
        <w:tc>
          <w:tcPr>
            <w:tcW w:w="1247"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1236" w:type="dxa"/>
            <w:vMerge w:val="continue"/>
            <w:tcBorders>
              <w:top w:val="nil"/>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140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时效指标</w:t>
            </w:r>
          </w:p>
        </w:tc>
        <w:tc>
          <w:tcPr>
            <w:tcW w:w="1218"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按时发放</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100%按时发放</w:t>
            </w:r>
          </w:p>
        </w:tc>
        <w:tc>
          <w:tcPr>
            <w:tcW w:w="300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100%按时发放</w:t>
            </w:r>
          </w:p>
        </w:tc>
      </w:tr>
      <w:tr>
        <w:tblPrEx>
          <w:tblLayout w:type="fixed"/>
          <w:tblCellMar>
            <w:top w:w="0" w:type="dxa"/>
            <w:left w:w="108" w:type="dxa"/>
            <w:bottom w:w="0" w:type="dxa"/>
            <w:right w:w="108" w:type="dxa"/>
          </w:tblCellMar>
        </w:tblPrEx>
        <w:trPr>
          <w:trHeight w:val="480" w:hRule="atLeast"/>
          <w:jc w:val="center"/>
        </w:trPr>
        <w:tc>
          <w:tcPr>
            <w:tcW w:w="1247"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1236" w:type="dxa"/>
            <w:vMerge w:val="continue"/>
            <w:tcBorders>
              <w:top w:val="nil"/>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140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成本指标</w:t>
            </w:r>
          </w:p>
        </w:tc>
        <w:tc>
          <w:tcPr>
            <w:tcW w:w="1218"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300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108" w:type="dxa"/>
            <w:bottom w:w="0" w:type="dxa"/>
            <w:right w:w="108" w:type="dxa"/>
          </w:tblCellMar>
        </w:tblPrEx>
        <w:trPr>
          <w:trHeight w:val="480" w:hRule="atLeast"/>
          <w:jc w:val="center"/>
        </w:trPr>
        <w:tc>
          <w:tcPr>
            <w:tcW w:w="1247"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1236" w:type="dxa"/>
            <w:vMerge w:val="restart"/>
            <w:tcBorders>
              <w:top w:val="nil"/>
              <w:left w:val="single" w:color="auto"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效益</w:t>
            </w:r>
          </w:p>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指标</w:t>
            </w:r>
          </w:p>
        </w:tc>
        <w:tc>
          <w:tcPr>
            <w:tcW w:w="140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经济效益指标</w:t>
            </w:r>
          </w:p>
        </w:tc>
        <w:tc>
          <w:tcPr>
            <w:tcW w:w="1218"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300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108" w:type="dxa"/>
            <w:bottom w:w="0" w:type="dxa"/>
            <w:right w:w="108" w:type="dxa"/>
          </w:tblCellMar>
        </w:tblPrEx>
        <w:trPr>
          <w:trHeight w:val="840" w:hRule="atLeast"/>
          <w:jc w:val="center"/>
        </w:trPr>
        <w:tc>
          <w:tcPr>
            <w:tcW w:w="1247"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1236" w:type="dxa"/>
            <w:vMerge w:val="continue"/>
            <w:tcBorders>
              <w:top w:val="nil"/>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140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社会效益指标</w:t>
            </w:r>
          </w:p>
        </w:tc>
        <w:tc>
          <w:tcPr>
            <w:tcW w:w="1218"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在本专科国家助学金名额分配时向家庭经济困难学生较多的院系倾斜</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保障家庭经济困难学生的就学</w:t>
            </w:r>
          </w:p>
        </w:tc>
        <w:tc>
          <w:tcPr>
            <w:tcW w:w="300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较好地保障了家庭经济困难学生的就学</w:t>
            </w:r>
          </w:p>
        </w:tc>
      </w:tr>
      <w:tr>
        <w:tblPrEx>
          <w:tblLayout w:type="fixed"/>
          <w:tblCellMar>
            <w:top w:w="0" w:type="dxa"/>
            <w:left w:w="108" w:type="dxa"/>
            <w:bottom w:w="0" w:type="dxa"/>
            <w:right w:w="108" w:type="dxa"/>
          </w:tblCellMar>
        </w:tblPrEx>
        <w:trPr>
          <w:trHeight w:val="480" w:hRule="atLeast"/>
          <w:jc w:val="center"/>
        </w:trPr>
        <w:tc>
          <w:tcPr>
            <w:tcW w:w="1247"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1236" w:type="dxa"/>
            <w:vMerge w:val="continue"/>
            <w:tcBorders>
              <w:top w:val="nil"/>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140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生态效益指标</w:t>
            </w:r>
          </w:p>
        </w:tc>
        <w:tc>
          <w:tcPr>
            <w:tcW w:w="1218"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300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108" w:type="dxa"/>
            <w:bottom w:w="0" w:type="dxa"/>
            <w:right w:w="108" w:type="dxa"/>
          </w:tblCellMar>
        </w:tblPrEx>
        <w:trPr>
          <w:trHeight w:val="480" w:hRule="atLeast"/>
          <w:jc w:val="center"/>
        </w:trPr>
        <w:tc>
          <w:tcPr>
            <w:tcW w:w="1247"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1236" w:type="dxa"/>
            <w:vMerge w:val="continue"/>
            <w:tcBorders>
              <w:top w:val="nil"/>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140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可持续影响指标</w:t>
            </w:r>
          </w:p>
        </w:tc>
        <w:tc>
          <w:tcPr>
            <w:tcW w:w="1218"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300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108" w:type="dxa"/>
            <w:bottom w:w="0" w:type="dxa"/>
            <w:right w:w="108" w:type="dxa"/>
          </w:tblCellMar>
        </w:tblPrEx>
        <w:trPr>
          <w:trHeight w:val="720" w:hRule="atLeast"/>
          <w:jc w:val="center"/>
        </w:trPr>
        <w:tc>
          <w:tcPr>
            <w:tcW w:w="1247"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1236" w:type="dxa"/>
            <w:tcBorders>
              <w:top w:val="nil"/>
              <w:left w:val="single" w:color="auto"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满意度指标</w:t>
            </w:r>
          </w:p>
        </w:tc>
        <w:tc>
          <w:tcPr>
            <w:tcW w:w="140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满意度指标</w:t>
            </w:r>
          </w:p>
        </w:tc>
        <w:tc>
          <w:tcPr>
            <w:tcW w:w="1218"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师生满意度</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师生满意度达到95%</w:t>
            </w:r>
          </w:p>
        </w:tc>
        <w:tc>
          <w:tcPr>
            <w:tcW w:w="300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师生满意度达90%</w:t>
            </w:r>
          </w:p>
        </w:tc>
      </w:tr>
    </w:tbl>
    <w:p>
      <w:pPr>
        <w:rPr>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color w:val="000000" w:themeColor="text1"/>
          <w:spacing w:val="-11"/>
          <w:sz w:val="32"/>
          <w:szCs w:val="32"/>
          <w14:textFill>
            <w14:solidFill>
              <w14:schemeClr w14:val="tx1"/>
            </w14:solidFill>
          </w14:textFill>
        </w:rPr>
      </w:pPr>
      <w:r>
        <w:rPr>
          <w:rFonts w:hint="eastAsia" w:ascii="宋体" w:hAnsi="宋体" w:eastAsia="宋体" w:cs="宋体"/>
          <w:b/>
          <w:color w:val="000000" w:themeColor="text1"/>
          <w:spacing w:val="-11"/>
          <w:sz w:val="32"/>
          <w:szCs w:val="32"/>
          <w14:textFill>
            <w14:solidFill>
              <w14:schemeClr w14:val="tx1"/>
            </w14:solidFill>
          </w14:textFill>
        </w:rPr>
        <w:t>2021年100万元以上（含）特定目标类部门预算项目绩效目标自评</w:t>
      </w:r>
    </w:p>
    <w:p>
      <w:pPr>
        <w:bidi w:val="0"/>
        <w:rPr>
          <w:rFonts w:hint="eastAsia"/>
          <w:color w:val="000000" w:themeColor="text1"/>
          <w14:textFill>
            <w14:solidFill>
              <w14:schemeClr w14:val="tx1"/>
            </w14:solidFill>
          </w14:textFill>
        </w:rPr>
      </w:pPr>
    </w:p>
    <w:tbl>
      <w:tblPr>
        <w:tblStyle w:val="14"/>
        <w:tblW w:w="9498" w:type="dxa"/>
        <w:jc w:val="center"/>
        <w:tblInd w:w="-34" w:type="dxa"/>
        <w:tblLayout w:type="fixed"/>
        <w:tblCellMar>
          <w:top w:w="0" w:type="dxa"/>
          <w:left w:w="108" w:type="dxa"/>
          <w:bottom w:w="0" w:type="dxa"/>
          <w:right w:w="108" w:type="dxa"/>
        </w:tblCellMar>
      </w:tblPr>
      <w:tblGrid>
        <w:gridCol w:w="1247"/>
        <w:gridCol w:w="1203"/>
        <w:gridCol w:w="1378"/>
        <w:gridCol w:w="414"/>
        <w:gridCol w:w="1083"/>
        <w:gridCol w:w="1763"/>
        <w:gridCol w:w="2410"/>
      </w:tblGrid>
      <w:tr>
        <w:tblPrEx>
          <w:tblLayout w:type="fixed"/>
          <w:tblCellMar>
            <w:top w:w="0" w:type="dxa"/>
            <w:left w:w="108" w:type="dxa"/>
            <w:bottom w:w="0" w:type="dxa"/>
            <w:right w:w="108" w:type="dxa"/>
          </w:tblCellMar>
        </w:tblPrEx>
        <w:trPr>
          <w:trHeight w:val="439" w:hRule="atLeast"/>
          <w:jc w:val="center"/>
        </w:trPr>
        <w:tc>
          <w:tcPr>
            <w:tcW w:w="24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项目名称</w:t>
            </w:r>
          </w:p>
        </w:tc>
        <w:tc>
          <w:tcPr>
            <w:tcW w:w="7048"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设备购置经费</w:t>
            </w:r>
          </w:p>
        </w:tc>
      </w:tr>
      <w:tr>
        <w:tblPrEx>
          <w:tblLayout w:type="fixed"/>
          <w:tblCellMar>
            <w:top w:w="0" w:type="dxa"/>
            <w:left w:w="108" w:type="dxa"/>
            <w:bottom w:w="0" w:type="dxa"/>
            <w:right w:w="108" w:type="dxa"/>
          </w:tblCellMar>
        </w:tblPrEx>
        <w:trPr>
          <w:trHeight w:val="750" w:hRule="atLeast"/>
          <w:jc w:val="center"/>
        </w:trPr>
        <w:tc>
          <w:tcPr>
            <w:tcW w:w="24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主管部门及代码</w:t>
            </w:r>
          </w:p>
        </w:tc>
        <w:tc>
          <w:tcPr>
            <w:tcW w:w="2875"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四川省司法厅</w:t>
            </w:r>
          </w:p>
        </w:tc>
        <w:tc>
          <w:tcPr>
            <w:tcW w:w="176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实施单位</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四川司法警官职业学院</w:t>
            </w:r>
          </w:p>
        </w:tc>
      </w:tr>
      <w:tr>
        <w:tblPrEx>
          <w:tblLayout w:type="fixed"/>
          <w:tblCellMar>
            <w:top w:w="0" w:type="dxa"/>
            <w:left w:w="108" w:type="dxa"/>
            <w:bottom w:w="0" w:type="dxa"/>
            <w:right w:w="108" w:type="dxa"/>
          </w:tblCellMar>
        </w:tblPrEx>
        <w:trPr>
          <w:trHeight w:val="439" w:hRule="atLeast"/>
          <w:jc w:val="center"/>
        </w:trPr>
        <w:tc>
          <w:tcPr>
            <w:tcW w:w="245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项目预算</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执行情况</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（万元）</w:t>
            </w:r>
          </w:p>
        </w:tc>
        <w:tc>
          <w:tcPr>
            <w:tcW w:w="179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xml:space="preserve"> 预算数：</w:t>
            </w:r>
          </w:p>
        </w:tc>
        <w:tc>
          <w:tcPr>
            <w:tcW w:w="1083"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285.00</w:t>
            </w:r>
          </w:p>
        </w:tc>
        <w:tc>
          <w:tcPr>
            <w:tcW w:w="1763"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xml:space="preserve"> 执行数：</w:t>
            </w:r>
          </w:p>
        </w:tc>
        <w:tc>
          <w:tcPr>
            <w:tcW w:w="241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258.21</w:t>
            </w:r>
          </w:p>
        </w:tc>
      </w:tr>
      <w:tr>
        <w:tblPrEx>
          <w:tblLayout w:type="fixed"/>
          <w:tblCellMar>
            <w:top w:w="0" w:type="dxa"/>
            <w:left w:w="108" w:type="dxa"/>
            <w:bottom w:w="0" w:type="dxa"/>
            <w:right w:w="108" w:type="dxa"/>
          </w:tblCellMar>
        </w:tblPrEx>
        <w:trPr>
          <w:trHeight w:val="630" w:hRule="atLeast"/>
          <w:jc w:val="center"/>
        </w:trPr>
        <w:tc>
          <w:tcPr>
            <w:tcW w:w="245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p>
        </w:tc>
        <w:tc>
          <w:tcPr>
            <w:tcW w:w="179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xml:space="preserve"> 其中：</w:t>
            </w:r>
          </w:p>
          <w:p>
            <w:pPr>
              <w:widowControl/>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财政拨款</w:t>
            </w:r>
          </w:p>
        </w:tc>
        <w:tc>
          <w:tcPr>
            <w:tcW w:w="1083"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70.00</w:t>
            </w:r>
          </w:p>
        </w:tc>
        <w:tc>
          <w:tcPr>
            <w:tcW w:w="1763"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其中：</w:t>
            </w:r>
          </w:p>
          <w:p>
            <w:pPr>
              <w:widowControl/>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财政拨款</w:t>
            </w:r>
          </w:p>
        </w:tc>
        <w:tc>
          <w:tcPr>
            <w:tcW w:w="241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67.77</w:t>
            </w:r>
          </w:p>
        </w:tc>
      </w:tr>
      <w:tr>
        <w:tblPrEx>
          <w:tblLayout w:type="fixed"/>
          <w:tblCellMar>
            <w:top w:w="0" w:type="dxa"/>
            <w:left w:w="108" w:type="dxa"/>
            <w:bottom w:w="0" w:type="dxa"/>
            <w:right w:w="108" w:type="dxa"/>
          </w:tblCellMar>
        </w:tblPrEx>
        <w:trPr>
          <w:trHeight w:val="439" w:hRule="atLeast"/>
          <w:jc w:val="center"/>
        </w:trPr>
        <w:tc>
          <w:tcPr>
            <w:tcW w:w="245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p>
        </w:tc>
        <w:tc>
          <w:tcPr>
            <w:tcW w:w="179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其他资金</w:t>
            </w:r>
          </w:p>
        </w:tc>
        <w:tc>
          <w:tcPr>
            <w:tcW w:w="1083"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215.00</w:t>
            </w:r>
          </w:p>
        </w:tc>
        <w:tc>
          <w:tcPr>
            <w:tcW w:w="1763"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其他资金</w:t>
            </w:r>
          </w:p>
        </w:tc>
        <w:tc>
          <w:tcPr>
            <w:tcW w:w="241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190.44</w:t>
            </w:r>
          </w:p>
        </w:tc>
      </w:tr>
      <w:tr>
        <w:tblPrEx>
          <w:tblLayout w:type="fixed"/>
          <w:tblCellMar>
            <w:top w:w="0" w:type="dxa"/>
            <w:left w:w="108" w:type="dxa"/>
            <w:bottom w:w="0" w:type="dxa"/>
            <w:right w:w="108" w:type="dxa"/>
          </w:tblCellMar>
        </w:tblPrEx>
        <w:trPr>
          <w:trHeight w:val="439" w:hRule="atLeast"/>
          <w:jc w:val="center"/>
        </w:trPr>
        <w:tc>
          <w:tcPr>
            <w:tcW w:w="124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年度总体目标完成情况</w:t>
            </w:r>
          </w:p>
        </w:tc>
        <w:tc>
          <w:tcPr>
            <w:tcW w:w="4078"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预期目标</w:t>
            </w:r>
          </w:p>
        </w:tc>
        <w:tc>
          <w:tcPr>
            <w:tcW w:w="417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目标实际完成情况</w:t>
            </w:r>
          </w:p>
        </w:tc>
      </w:tr>
      <w:tr>
        <w:tblPrEx>
          <w:tblLayout w:type="fixed"/>
          <w:tblCellMar>
            <w:top w:w="0" w:type="dxa"/>
            <w:left w:w="108" w:type="dxa"/>
            <w:bottom w:w="0" w:type="dxa"/>
            <w:right w:w="108" w:type="dxa"/>
          </w:tblCellMar>
        </w:tblPrEx>
        <w:trPr>
          <w:trHeight w:val="833" w:hRule="atLeast"/>
          <w:jc w:val="center"/>
        </w:trPr>
        <w:tc>
          <w:tcPr>
            <w:tcW w:w="1247"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4078"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保障学院基本办公条件</w:t>
            </w:r>
          </w:p>
        </w:tc>
        <w:tc>
          <w:tcPr>
            <w:tcW w:w="4173"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基本完成采购预算，保障学院基本办公条件</w:t>
            </w:r>
          </w:p>
        </w:tc>
      </w:tr>
      <w:tr>
        <w:tblPrEx>
          <w:tblLayout w:type="fixed"/>
          <w:tblCellMar>
            <w:top w:w="0" w:type="dxa"/>
            <w:left w:w="108" w:type="dxa"/>
            <w:bottom w:w="0" w:type="dxa"/>
            <w:right w:w="108" w:type="dxa"/>
          </w:tblCellMar>
        </w:tblPrEx>
        <w:trPr>
          <w:trHeight w:val="900" w:hRule="atLeast"/>
          <w:jc w:val="center"/>
        </w:trPr>
        <w:tc>
          <w:tcPr>
            <w:tcW w:w="1247" w:type="dxa"/>
            <w:vMerge w:val="restart"/>
            <w:tcBorders>
              <w:top w:val="nil"/>
              <w:left w:val="single" w:color="auto" w:sz="4" w:space="0"/>
              <w:bottom w:val="single" w:color="000000" w:sz="4" w:space="0"/>
              <w:right w:val="nil"/>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年度绩效指标完成情况</w:t>
            </w:r>
          </w:p>
        </w:tc>
        <w:tc>
          <w:tcPr>
            <w:tcW w:w="120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一级</w:t>
            </w:r>
          </w:p>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指标</w:t>
            </w:r>
          </w:p>
        </w:tc>
        <w:tc>
          <w:tcPr>
            <w:tcW w:w="137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二级</w:t>
            </w:r>
          </w:p>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指标</w:t>
            </w:r>
          </w:p>
        </w:tc>
        <w:tc>
          <w:tcPr>
            <w:tcW w:w="149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三级</w:t>
            </w:r>
          </w:p>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指标</w:t>
            </w:r>
          </w:p>
        </w:tc>
        <w:tc>
          <w:tcPr>
            <w:tcW w:w="176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预期指</w:t>
            </w:r>
          </w:p>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标值</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实际完成指标值</w:t>
            </w:r>
          </w:p>
        </w:tc>
      </w:tr>
      <w:tr>
        <w:tblPrEx>
          <w:tblLayout w:type="fixed"/>
          <w:tblCellMar>
            <w:top w:w="0" w:type="dxa"/>
            <w:left w:w="108" w:type="dxa"/>
            <w:bottom w:w="0" w:type="dxa"/>
            <w:right w:w="108" w:type="dxa"/>
          </w:tblCellMar>
        </w:tblPrEx>
        <w:trPr>
          <w:trHeight w:val="480" w:hRule="atLeast"/>
          <w:jc w:val="center"/>
        </w:trPr>
        <w:tc>
          <w:tcPr>
            <w:tcW w:w="1247" w:type="dxa"/>
            <w:vMerge w:val="continue"/>
            <w:tcBorders>
              <w:top w:val="nil"/>
              <w:left w:val="single" w:color="auto" w:sz="4" w:space="0"/>
              <w:bottom w:val="single" w:color="000000" w:sz="4" w:space="0"/>
              <w:right w:val="nil"/>
            </w:tcBorders>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1203"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完成</w:t>
            </w:r>
          </w:p>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指标</w:t>
            </w:r>
          </w:p>
        </w:tc>
        <w:tc>
          <w:tcPr>
            <w:tcW w:w="137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数量指标</w:t>
            </w:r>
          </w:p>
        </w:tc>
        <w:tc>
          <w:tcPr>
            <w:tcW w:w="1497"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176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24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108" w:type="dxa"/>
            <w:bottom w:w="0" w:type="dxa"/>
            <w:right w:w="108" w:type="dxa"/>
          </w:tblCellMar>
        </w:tblPrEx>
        <w:trPr>
          <w:trHeight w:val="645" w:hRule="atLeast"/>
          <w:jc w:val="center"/>
        </w:trPr>
        <w:tc>
          <w:tcPr>
            <w:tcW w:w="1247" w:type="dxa"/>
            <w:vMerge w:val="continue"/>
            <w:tcBorders>
              <w:top w:val="nil"/>
              <w:left w:val="single" w:color="auto" w:sz="4" w:space="0"/>
              <w:bottom w:val="single" w:color="000000" w:sz="4" w:space="0"/>
              <w:right w:val="nil"/>
            </w:tcBorders>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1203" w:type="dxa"/>
            <w:vMerge w:val="continue"/>
            <w:tcBorders>
              <w:top w:val="nil"/>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137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质量指标</w:t>
            </w:r>
          </w:p>
        </w:tc>
        <w:tc>
          <w:tcPr>
            <w:tcW w:w="1497"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保障2021年业务系统正常运行</w:t>
            </w:r>
          </w:p>
        </w:tc>
        <w:tc>
          <w:tcPr>
            <w:tcW w:w="176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正常运行</w:t>
            </w:r>
          </w:p>
        </w:tc>
        <w:tc>
          <w:tcPr>
            <w:tcW w:w="24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已完成</w:t>
            </w:r>
          </w:p>
        </w:tc>
      </w:tr>
      <w:tr>
        <w:tblPrEx>
          <w:tblLayout w:type="fixed"/>
          <w:tblCellMar>
            <w:top w:w="0" w:type="dxa"/>
            <w:left w:w="108" w:type="dxa"/>
            <w:bottom w:w="0" w:type="dxa"/>
            <w:right w:w="108" w:type="dxa"/>
          </w:tblCellMar>
        </w:tblPrEx>
        <w:trPr>
          <w:trHeight w:val="480" w:hRule="atLeast"/>
          <w:jc w:val="center"/>
        </w:trPr>
        <w:tc>
          <w:tcPr>
            <w:tcW w:w="1247" w:type="dxa"/>
            <w:vMerge w:val="continue"/>
            <w:tcBorders>
              <w:top w:val="nil"/>
              <w:left w:val="single" w:color="auto" w:sz="4" w:space="0"/>
              <w:bottom w:val="single" w:color="000000" w:sz="4" w:space="0"/>
              <w:right w:val="nil"/>
            </w:tcBorders>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1203" w:type="dxa"/>
            <w:vMerge w:val="continue"/>
            <w:tcBorders>
              <w:top w:val="nil"/>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137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时效指标</w:t>
            </w:r>
          </w:p>
        </w:tc>
        <w:tc>
          <w:tcPr>
            <w:tcW w:w="1497"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完成时效</w:t>
            </w:r>
          </w:p>
        </w:tc>
        <w:tc>
          <w:tcPr>
            <w:tcW w:w="176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2021年12月</w:t>
            </w:r>
          </w:p>
        </w:tc>
        <w:tc>
          <w:tcPr>
            <w:tcW w:w="24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已完成</w:t>
            </w:r>
          </w:p>
        </w:tc>
      </w:tr>
      <w:tr>
        <w:tblPrEx>
          <w:tblLayout w:type="fixed"/>
          <w:tblCellMar>
            <w:top w:w="0" w:type="dxa"/>
            <w:left w:w="108" w:type="dxa"/>
            <w:bottom w:w="0" w:type="dxa"/>
            <w:right w:w="108" w:type="dxa"/>
          </w:tblCellMar>
        </w:tblPrEx>
        <w:trPr>
          <w:trHeight w:val="480" w:hRule="atLeast"/>
          <w:jc w:val="center"/>
        </w:trPr>
        <w:tc>
          <w:tcPr>
            <w:tcW w:w="1247" w:type="dxa"/>
            <w:vMerge w:val="continue"/>
            <w:tcBorders>
              <w:top w:val="nil"/>
              <w:left w:val="single" w:color="auto" w:sz="4" w:space="0"/>
              <w:bottom w:val="single" w:color="000000" w:sz="4" w:space="0"/>
              <w:right w:val="nil"/>
            </w:tcBorders>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1203" w:type="dxa"/>
            <w:vMerge w:val="continue"/>
            <w:tcBorders>
              <w:top w:val="nil"/>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137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成本指标</w:t>
            </w:r>
          </w:p>
        </w:tc>
        <w:tc>
          <w:tcPr>
            <w:tcW w:w="1497"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176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24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108" w:type="dxa"/>
            <w:bottom w:w="0" w:type="dxa"/>
            <w:right w:w="108" w:type="dxa"/>
          </w:tblCellMar>
        </w:tblPrEx>
        <w:trPr>
          <w:trHeight w:val="480" w:hRule="atLeast"/>
          <w:jc w:val="center"/>
        </w:trPr>
        <w:tc>
          <w:tcPr>
            <w:tcW w:w="1247" w:type="dxa"/>
            <w:vMerge w:val="continue"/>
            <w:tcBorders>
              <w:top w:val="nil"/>
              <w:left w:val="single" w:color="auto" w:sz="4" w:space="0"/>
              <w:bottom w:val="single" w:color="000000" w:sz="4" w:space="0"/>
              <w:right w:val="nil"/>
            </w:tcBorders>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1203"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效益</w:t>
            </w:r>
          </w:p>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指标</w:t>
            </w:r>
          </w:p>
        </w:tc>
        <w:tc>
          <w:tcPr>
            <w:tcW w:w="137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经济效益指标</w:t>
            </w:r>
          </w:p>
        </w:tc>
        <w:tc>
          <w:tcPr>
            <w:tcW w:w="1497"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176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24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108" w:type="dxa"/>
            <w:bottom w:w="0" w:type="dxa"/>
            <w:right w:w="108" w:type="dxa"/>
          </w:tblCellMar>
        </w:tblPrEx>
        <w:trPr>
          <w:trHeight w:val="480" w:hRule="atLeast"/>
          <w:jc w:val="center"/>
        </w:trPr>
        <w:tc>
          <w:tcPr>
            <w:tcW w:w="1247" w:type="dxa"/>
            <w:vMerge w:val="continue"/>
            <w:tcBorders>
              <w:top w:val="nil"/>
              <w:left w:val="single" w:color="auto" w:sz="4" w:space="0"/>
              <w:bottom w:val="single" w:color="000000" w:sz="4" w:space="0"/>
              <w:right w:val="nil"/>
            </w:tcBorders>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1203" w:type="dxa"/>
            <w:vMerge w:val="continue"/>
            <w:tcBorders>
              <w:top w:val="nil"/>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137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社会效益指标</w:t>
            </w:r>
          </w:p>
        </w:tc>
        <w:tc>
          <w:tcPr>
            <w:tcW w:w="1497"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办学条件</w:t>
            </w:r>
          </w:p>
        </w:tc>
        <w:tc>
          <w:tcPr>
            <w:tcW w:w="176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提升办公条件</w:t>
            </w:r>
          </w:p>
        </w:tc>
        <w:tc>
          <w:tcPr>
            <w:tcW w:w="24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提升办公条件</w:t>
            </w:r>
          </w:p>
        </w:tc>
      </w:tr>
      <w:tr>
        <w:tblPrEx>
          <w:tblLayout w:type="fixed"/>
          <w:tblCellMar>
            <w:top w:w="0" w:type="dxa"/>
            <w:left w:w="108" w:type="dxa"/>
            <w:bottom w:w="0" w:type="dxa"/>
            <w:right w:w="108" w:type="dxa"/>
          </w:tblCellMar>
        </w:tblPrEx>
        <w:trPr>
          <w:trHeight w:val="480" w:hRule="atLeast"/>
          <w:jc w:val="center"/>
        </w:trPr>
        <w:tc>
          <w:tcPr>
            <w:tcW w:w="1247" w:type="dxa"/>
            <w:vMerge w:val="continue"/>
            <w:tcBorders>
              <w:top w:val="nil"/>
              <w:left w:val="single" w:color="auto" w:sz="4" w:space="0"/>
              <w:bottom w:val="single" w:color="000000" w:sz="4" w:space="0"/>
              <w:right w:val="nil"/>
            </w:tcBorders>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1203" w:type="dxa"/>
            <w:vMerge w:val="continue"/>
            <w:tcBorders>
              <w:top w:val="nil"/>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137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生态效益指标</w:t>
            </w:r>
          </w:p>
        </w:tc>
        <w:tc>
          <w:tcPr>
            <w:tcW w:w="1497"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176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24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108" w:type="dxa"/>
            <w:bottom w:w="0" w:type="dxa"/>
            <w:right w:w="108" w:type="dxa"/>
          </w:tblCellMar>
        </w:tblPrEx>
        <w:trPr>
          <w:trHeight w:val="480" w:hRule="atLeast"/>
          <w:jc w:val="center"/>
        </w:trPr>
        <w:tc>
          <w:tcPr>
            <w:tcW w:w="1247" w:type="dxa"/>
            <w:vMerge w:val="continue"/>
            <w:tcBorders>
              <w:top w:val="nil"/>
              <w:left w:val="single" w:color="auto" w:sz="4" w:space="0"/>
              <w:bottom w:val="single" w:color="000000" w:sz="4" w:space="0"/>
              <w:right w:val="nil"/>
            </w:tcBorders>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1203" w:type="dxa"/>
            <w:vMerge w:val="continue"/>
            <w:tcBorders>
              <w:top w:val="nil"/>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137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可持续影响指标</w:t>
            </w:r>
          </w:p>
        </w:tc>
        <w:tc>
          <w:tcPr>
            <w:tcW w:w="1497"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176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24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108" w:type="dxa"/>
            <w:bottom w:w="0" w:type="dxa"/>
            <w:right w:w="108" w:type="dxa"/>
          </w:tblCellMar>
        </w:tblPrEx>
        <w:trPr>
          <w:trHeight w:val="480" w:hRule="atLeast"/>
          <w:jc w:val="center"/>
        </w:trPr>
        <w:tc>
          <w:tcPr>
            <w:tcW w:w="1247" w:type="dxa"/>
            <w:vMerge w:val="continue"/>
            <w:tcBorders>
              <w:top w:val="nil"/>
              <w:left w:val="single" w:color="auto" w:sz="4" w:space="0"/>
              <w:bottom w:val="single" w:color="000000" w:sz="4" w:space="0"/>
              <w:right w:val="nil"/>
            </w:tcBorders>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1203"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满意度指标</w:t>
            </w:r>
          </w:p>
        </w:tc>
        <w:tc>
          <w:tcPr>
            <w:tcW w:w="137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满意度指标</w:t>
            </w:r>
          </w:p>
        </w:tc>
        <w:tc>
          <w:tcPr>
            <w:tcW w:w="1497"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机关运行、后勤保障和职工满意度</w:t>
            </w:r>
          </w:p>
        </w:tc>
        <w:tc>
          <w:tcPr>
            <w:tcW w:w="176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满意度90%</w:t>
            </w:r>
          </w:p>
        </w:tc>
        <w:tc>
          <w:tcPr>
            <w:tcW w:w="24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满意度达到90%</w:t>
            </w:r>
          </w:p>
        </w:tc>
      </w:tr>
    </w:tbl>
    <w:p>
      <w:pPr>
        <w:rPr>
          <w:color w:val="000000" w:themeColor="text1"/>
          <w14:textFill>
            <w14:solidFill>
              <w14:schemeClr w14:val="tx1"/>
            </w14:solidFill>
          </w14:textFill>
        </w:rPr>
      </w:pPr>
    </w:p>
    <w:p>
      <w:pPr>
        <w:widowControl/>
        <w:jc w:val="left"/>
        <w:rPr>
          <w:rStyle w:val="26"/>
          <w:rFonts w:ascii="黑体" w:hAnsi="黑体" w:eastAsia="黑体"/>
          <w:b w:val="0"/>
          <w:color w:val="000000" w:themeColor="text1"/>
          <w:highlight w:val="none"/>
          <w14:textFill>
            <w14:solidFill>
              <w14:schemeClr w14:val="tx1"/>
            </w14:solidFill>
          </w14:textFill>
        </w:rPr>
      </w:pPr>
    </w:p>
    <w:p>
      <w:pPr>
        <w:spacing w:line="600" w:lineRule="exact"/>
        <w:jc w:val="center"/>
        <w:outlineLvl w:val="0"/>
        <w:rPr>
          <w:rFonts w:hint="eastAsia" w:ascii="黑体" w:hAnsi="黑体" w:eastAsia="黑体"/>
          <w:color w:val="000000" w:themeColor="text1"/>
          <w:sz w:val="44"/>
          <w:szCs w:val="44"/>
          <w:highlight w:val="none"/>
          <w14:textFill>
            <w14:solidFill>
              <w14:schemeClr w14:val="tx1"/>
            </w14:solidFill>
          </w14:textFill>
        </w:rPr>
      </w:pPr>
      <w:bookmarkStart w:id="63" w:name="_Toc15396618"/>
    </w:p>
    <w:p>
      <w:pPr>
        <w:spacing w:line="600" w:lineRule="exact"/>
        <w:jc w:val="center"/>
        <w:outlineLvl w:val="0"/>
        <w:rPr>
          <w:rFonts w:hint="eastAsia" w:ascii="黑体" w:hAnsi="黑体" w:eastAsia="黑体"/>
          <w:color w:val="000000" w:themeColor="text1"/>
          <w:sz w:val="44"/>
          <w:szCs w:val="44"/>
          <w:highlight w:val="none"/>
          <w14:textFill>
            <w14:solidFill>
              <w14:schemeClr w14:val="tx1"/>
            </w14:solidFill>
          </w14:textFill>
        </w:rPr>
      </w:pPr>
    </w:p>
    <w:p>
      <w:pPr>
        <w:spacing w:line="600" w:lineRule="exact"/>
        <w:jc w:val="center"/>
        <w:outlineLvl w:val="0"/>
        <w:rPr>
          <w:rFonts w:hint="eastAsia" w:ascii="黑体" w:hAnsi="黑体" w:eastAsia="黑体"/>
          <w:color w:val="000000" w:themeColor="text1"/>
          <w:sz w:val="44"/>
          <w:szCs w:val="4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小标宋_GBK" w:hAnsi="方正小标宋_GBK" w:eastAsia="方正小标宋_GBK" w:cs="方正小标宋_GBK"/>
          <w:b w:val="0"/>
          <w:bCs w:val="0"/>
          <w:i w:val="0"/>
          <w:iCs w:val="0"/>
          <w:color w:val="000000" w:themeColor="text1"/>
          <w:sz w:val="44"/>
          <w:szCs w:val="44"/>
          <w:highlight w:val="none"/>
          <w:u w:val="none"/>
          <w14:textFill>
            <w14:solidFill>
              <w14:schemeClr w14:val="tx1"/>
            </w14:solidFill>
          </w14:textFill>
        </w:rPr>
      </w:pPr>
      <w:r>
        <w:rPr>
          <w:rFonts w:hint="eastAsia" w:ascii="方正小标宋_GBK" w:hAnsi="方正小标宋_GBK" w:eastAsia="方正小标宋_GBK" w:cs="方正小标宋_GBK"/>
          <w:b w:val="0"/>
          <w:bCs w:val="0"/>
          <w:i w:val="0"/>
          <w:iCs w:val="0"/>
          <w:color w:val="000000" w:themeColor="text1"/>
          <w:sz w:val="44"/>
          <w:szCs w:val="44"/>
          <w:highlight w:val="none"/>
          <w:u w:val="none"/>
          <w14:textFill>
            <w14:solidFill>
              <w14:schemeClr w14:val="tx1"/>
            </w14:solidFill>
          </w14:textFill>
        </w:rPr>
        <w:t>第</w:t>
      </w:r>
      <w:r>
        <w:rPr>
          <w:rStyle w:val="26"/>
          <w:rFonts w:hint="eastAsia" w:ascii="方正小标宋_GBK" w:hAnsi="方正小标宋_GBK" w:eastAsia="方正小标宋_GBK" w:cs="方正小标宋_GBK"/>
          <w:b w:val="0"/>
          <w:bCs w:val="0"/>
          <w:i w:val="0"/>
          <w:iCs w:val="0"/>
          <w:color w:val="000000" w:themeColor="text1"/>
          <w:sz w:val="44"/>
          <w:szCs w:val="44"/>
          <w:highlight w:val="none"/>
          <w:u w:val="none"/>
          <w14:textFill>
            <w14:solidFill>
              <w14:schemeClr w14:val="tx1"/>
            </w14:solidFill>
          </w14:textFill>
        </w:rPr>
        <w:t xml:space="preserve">五部分 </w:t>
      </w:r>
      <w:r>
        <w:rPr>
          <w:rStyle w:val="26"/>
          <w:rFonts w:hint="eastAsia" w:ascii="方正小标宋_GBK" w:hAnsi="方正小标宋_GBK" w:eastAsia="方正小标宋_GBK" w:cs="方正小标宋_GBK"/>
          <w:b w:val="0"/>
          <w:bCs w:val="0"/>
          <w:i w:val="0"/>
          <w:iCs w:val="0"/>
          <w:color w:val="000000" w:themeColor="text1"/>
          <w:sz w:val="44"/>
          <w:szCs w:val="44"/>
          <w:highlight w:val="none"/>
          <w:u w:val="none"/>
          <w:lang w:val="en-US" w:eastAsia="zh-CN"/>
          <w14:textFill>
            <w14:solidFill>
              <w14:schemeClr w14:val="tx1"/>
            </w14:solidFill>
          </w14:textFill>
        </w:rPr>
        <w:t xml:space="preserve"> </w:t>
      </w:r>
      <w:r>
        <w:rPr>
          <w:rStyle w:val="26"/>
          <w:rFonts w:hint="eastAsia" w:ascii="方正小标宋_GBK" w:hAnsi="方正小标宋_GBK" w:eastAsia="方正小标宋_GBK" w:cs="方正小标宋_GBK"/>
          <w:b w:val="0"/>
          <w:bCs w:val="0"/>
          <w:i w:val="0"/>
          <w:iCs w:val="0"/>
          <w:color w:val="000000" w:themeColor="text1"/>
          <w:sz w:val="44"/>
          <w:szCs w:val="44"/>
          <w:highlight w:val="none"/>
          <w:u w:val="none"/>
          <w14:textFill>
            <w14:solidFill>
              <w14:schemeClr w14:val="tx1"/>
            </w14:solidFill>
          </w14:textFill>
        </w:rPr>
        <w:t>附表</w:t>
      </w:r>
      <w:bookmarkEnd w:id="62"/>
      <w:bookmarkEnd w:id="63"/>
      <w:bookmarkStart w:id="64" w:name="_Toc15396619"/>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val="0"/>
          <w:i w:val="0"/>
          <w:iCs w:val="0"/>
          <w:color w:val="000000" w:themeColor="text1"/>
          <w:sz w:val="32"/>
          <w:szCs w:val="32"/>
          <w:highlight w:val="none"/>
          <w:u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i w:val="0"/>
          <w:i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i w:val="0"/>
          <w:iCs w:val="0"/>
          <w:color w:val="000000" w:themeColor="text1"/>
          <w:sz w:val="32"/>
          <w:szCs w:val="32"/>
          <w:highlight w:val="none"/>
          <w:u w:val="none"/>
          <w14:textFill>
            <w14:solidFill>
              <w14:schemeClr w14:val="tx1"/>
            </w14:solidFill>
          </w14:textFill>
        </w:rPr>
        <w:t>一、收</w:t>
      </w:r>
      <w:r>
        <w:rPr>
          <w:rStyle w:val="27"/>
          <w:rFonts w:hint="eastAsia" w:ascii="仿宋_GB2312" w:hAnsi="仿宋_GB2312" w:eastAsia="仿宋_GB2312" w:cs="仿宋_GB2312"/>
          <w:b w:val="0"/>
          <w:bCs w:val="0"/>
          <w:i w:val="0"/>
          <w:iCs w:val="0"/>
          <w:color w:val="000000" w:themeColor="text1"/>
          <w:sz w:val="32"/>
          <w:szCs w:val="32"/>
          <w:highlight w:val="none"/>
          <w:u w:val="none"/>
          <w14:textFill>
            <w14:solidFill>
              <w14:schemeClr w14:val="tx1"/>
            </w14:solidFill>
          </w14:textFill>
        </w:rPr>
        <w:t>入支出决</w:t>
      </w:r>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算总表</w:t>
      </w:r>
      <w:bookmarkEnd w:id="64"/>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i w:val="0"/>
          <w:iCs w:val="0"/>
          <w:color w:val="000000" w:themeColor="text1"/>
          <w:sz w:val="32"/>
          <w:szCs w:val="32"/>
          <w:u w:val="none"/>
          <w14:textFill>
            <w14:solidFill>
              <w14:schemeClr w14:val="tx1"/>
            </w14:solidFill>
          </w14:textFill>
        </w:rPr>
      </w:pPr>
      <w:bookmarkStart w:id="65" w:name="_Toc15396620"/>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二、收入决算表</w:t>
      </w:r>
      <w:bookmarkEnd w:id="65"/>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i w:val="0"/>
          <w:iCs w:val="0"/>
          <w:color w:val="000000" w:themeColor="text1"/>
          <w:sz w:val="32"/>
          <w:szCs w:val="32"/>
          <w:u w:val="none"/>
          <w14:textFill>
            <w14:solidFill>
              <w14:schemeClr w14:val="tx1"/>
            </w14:solidFill>
          </w14:textFill>
        </w:rPr>
      </w:pPr>
      <w:bookmarkStart w:id="66" w:name="_Toc15396621"/>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三、支出决算表</w:t>
      </w:r>
      <w:bookmarkEnd w:id="66"/>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i w:val="0"/>
          <w:iCs w:val="0"/>
          <w:color w:val="000000" w:themeColor="text1"/>
          <w:sz w:val="32"/>
          <w:szCs w:val="32"/>
          <w:u w:val="none"/>
          <w14:textFill>
            <w14:solidFill>
              <w14:schemeClr w14:val="tx1"/>
            </w14:solidFill>
          </w14:textFill>
        </w:rPr>
      </w:pPr>
      <w:bookmarkStart w:id="67" w:name="_Toc15396622"/>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四、财政拨款收入支出决算总表</w:t>
      </w:r>
      <w:bookmarkEnd w:id="67"/>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i w:val="0"/>
          <w:iCs w:val="0"/>
          <w:color w:val="000000" w:themeColor="text1"/>
          <w:sz w:val="32"/>
          <w:szCs w:val="32"/>
          <w:u w:val="none"/>
          <w14:textFill>
            <w14:solidFill>
              <w14:schemeClr w14:val="tx1"/>
            </w14:solidFill>
          </w14:textFill>
        </w:rPr>
      </w:pPr>
      <w:bookmarkStart w:id="68" w:name="_Toc15396623"/>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五、财政拨款支出决算明细表</w:t>
      </w:r>
      <w:bookmarkEnd w:id="68"/>
      <w:bookmarkStart w:id="69" w:name="_Toc15396624"/>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i w:val="0"/>
          <w:iCs w:val="0"/>
          <w:color w:val="000000" w:themeColor="text1"/>
          <w:sz w:val="32"/>
          <w:szCs w:val="32"/>
          <w:u w:val="none"/>
          <w14:textFill>
            <w14:solidFill>
              <w14:schemeClr w14:val="tx1"/>
            </w14:solidFill>
          </w14:textFill>
        </w:rPr>
      </w:pPr>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六、一般公共预算财政拨款支出决算表</w:t>
      </w:r>
      <w:bookmarkEnd w:id="69"/>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i w:val="0"/>
          <w:iCs w:val="0"/>
          <w:color w:val="000000" w:themeColor="text1"/>
          <w:sz w:val="32"/>
          <w:szCs w:val="32"/>
          <w:u w:val="none"/>
          <w14:textFill>
            <w14:solidFill>
              <w14:schemeClr w14:val="tx1"/>
            </w14:solidFill>
          </w14:textFill>
        </w:rPr>
      </w:pPr>
      <w:bookmarkStart w:id="70" w:name="_Toc15396625"/>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七、一般公共预算财政拨款支出决算明细表</w:t>
      </w:r>
      <w:bookmarkEnd w:id="70"/>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i w:val="0"/>
          <w:iCs w:val="0"/>
          <w:color w:val="000000" w:themeColor="text1"/>
          <w:sz w:val="32"/>
          <w:szCs w:val="32"/>
          <w:u w:val="none"/>
          <w14:textFill>
            <w14:solidFill>
              <w14:schemeClr w14:val="tx1"/>
            </w14:solidFill>
          </w14:textFill>
        </w:rPr>
      </w:pPr>
      <w:bookmarkStart w:id="71" w:name="_Toc15396626"/>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八、一般公共预算财政拨款基本支出决算表</w:t>
      </w:r>
      <w:bookmarkEnd w:id="71"/>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i w:val="0"/>
          <w:iCs w:val="0"/>
          <w:color w:val="000000" w:themeColor="text1"/>
          <w:sz w:val="32"/>
          <w:szCs w:val="32"/>
          <w:u w:val="none"/>
          <w14:textFill>
            <w14:solidFill>
              <w14:schemeClr w14:val="tx1"/>
            </w14:solidFill>
          </w14:textFill>
        </w:rPr>
      </w:pPr>
      <w:bookmarkStart w:id="72" w:name="_Toc15396627"/>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九、一般公共预算财政拨款项目支出决算表</w:t>
      </w:r>
      <w:bookmarkEnd w:id="72"/>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i w:val="0"/>
          <w:iCs w:val="0"/>
          <w:color w:val="000000" w:themeColor="text1"/>
          <w:sz w:val="32"/>
          <w:szCs w:val="32"/>
          <w:u w:val="none"/>
          <w14:textFill>
            <w14:solidFill>
              <w14:schemeClr w14:val="tx1"/>
            </w14:solidFill>
          </w14:textFill>
        </w:rPr>
      </w:pPr>
      <w:bookmarkStart w:id="73" w:name="_Toc15396628"/>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十、一般公共预算财政拨款“三公”经费支出决算表</w:t>
      </w:r>
      <w:bookmarkEnd w:id="73"/>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i w:val="0"/>
          <w:iCs w:val="0"/>
          <w:color w:val="000000" w:themeColor="text1"/>
          <w:sz w:val="32"/>
          <w:szCs w:val="32"/>
          <w:u w:val="none"/>
          <w14:textFill>
            <w14:solidFill>
              <w14:schemeClr w14:val="tx1"/>
            </w14:solidFill>
          </w14:textFill>
        </w:rPr>
      </w:pPr>
      <w:bookmarkStart w:id="74" w:name="_Toc15396629"/>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十一、政府性基金预算财政拨款收入支出决算表</w:t>
      </w:r>
      <w:bookmarkEnd w:id="74"/>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i w:val="0"/>
          <w:iCs w:val="0"/>
          <w:color w:val="000000" w:themeColor="text1"/>
          <w:sz w:val="32"/>
          <w:szCs w:val="32"/>
          <w:u w:val="none"/>
          <w14:textFill>
            <w14:solidFill>
              <w14:schemeClr w14:val="tx1"/>
            </w14:solidFill>
          </w14:textFill>
        </w:rPr>
      </w:pPr>
      <w:bookmarkStart w:id="75" w:name="_Toc15396630"/>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十二、政府性基金预算财政拨款“三公”经费支出决算表</w:t>
      </w:r>
      <w:bookmarkEnd w:id="75"/>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i w:val="0"/>
          <w:iCs w:val="0"/>
          <w:color w:val="000000" w:themeColor="text1"/>
          <w:sz w:val="32"/>
          <w:szCs w:val="32"/>
          <w:u w:val="none"/>
          <w14:textFill>
            <w14:solidFill>
              <w14:schemeClr w14:val="tx1"/>
            </w14:solidFill>
          </w14:textFill>
        </w:rPr>
      </w:pPr>
      <w:bookmarkStart w:id="76" w:name="_Toc15396631"/>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十三、国有资本经营预算</w:t>
      </w:r>
      <w:r>
        <w:rPr>
          <w:rFonts w:hint="eastAsia" w:ascii="仿宋_GB2312" w:hAnsi="仿宋_GB2312" w:eastAsia="仿宋_GB2312" w:cs="仿宋_GB2312"/>
          <w:i w:val="0"/>
          <w:iCs w:val="0"/>
          <w:color w:val="000000" w:themeColor="text1"/>
          <w:sz w:val="32"/>
          <w:szCs w:val="32"/>
          <w:u w:val="none"/>
          <w:lang w:eastAsia="zh-CN"/>
          <w14:textFill>
            <w14:solidFill>
              <w14:schemeClr w14:val="tx1"/>
            </w14:solidFill>
          </w14:textFill>
        </w:rPr>
        <w:t>财政拨款收入</w:t>
      </w:r>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支出决算表</w:t>
      </w:r>
      <w:bookmarkEnd w:id="76"/>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i w:val="0"/>
          <w:iCs w:val="0"/>
          <w:color w:val="000000" w:themeColor="text1"/>
          <w:sz w:val="32"/>
          <w:szCs w:val="32"/>
          <w:u w:val="none"/>
          <w:lang w:eastAsia="zh-CN"/>
          <w14:textFill>
            <w14:solidFill>
              <w14:schemeClr w14:val="tx1"/>
            </w14:solidFill>
          </w14:textFill>
        </w:rPr>
      </w:pPr>
      <w:r>
        <w:rPr>
          <w:rFonts w:hint="eastAsia" w:ascii="仿宋_GB2312" w:hAnsi="仿宋_GB2312" w:eastAsia="仿宋_GB2312" w:cs="仿宋_GB2312"/>
          <w:i w:val="0"/>
          <w:iCs w:val="0"/>
          <w:color w:val="000000" w:themeColor="text1"/>
          <w:sz w:val="32"/>
          <w:szCs w:val="32"/>
          <w:u w:val="none"/>
          <w:lang w:eastAsia="zh-CN"/>
          <w14:textFill>
            <w14:solidFill>
              <w14:schemeClr w14:val="tx1"/>
            </w14:solidFill>
          </w14:textFill>
        </w:rPr>
        <w:t>十四、国有资本经营预算财政拨款支出决算表</w:t>
      </w:r>
    </w:p>
    <w:sectPr>
      <w:footerReference r:id="rId5" w:type="first"/>
      <w:footerReference r:id="rId4" w:type="default"/>
      <w:pgSz w:w="11906" w:h="16838"/>
      <w:pgMar w:top="1701" w:right="1474" w:bottom="1701" w:left="1587" w:header="851" w:footer="1417"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pPr>
    <w:r>
      <w:rPr>
        <w:sz w:val="18"/>
      </w:rPr>
      <mc:AlternateContent>
        <mc:Choice Requires="wps">
          <w:drawing>
            <wp:anchor distT="0" distB="0" distL="114300" distR="114300" simplePos="0" relativeHeight="251658240" behindDoc="0" locked="0" layoutInCell="1" allowOverlap="1">
              <wp:simplePos x="0" y="0"/>
              <wp:positionH relativeFrom="margin">
                <wp:align>inside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1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10"/>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30F29"/>
    <w:rsid w:val="005664BB"/>
    <w:rsid w:val="00566FFA"/>
    <w:rsid w:val="0057481D"/>
    <w:rsid w:val="0058486E"/>
    <w:rsid w:val="00585B33"/>
    <w:rsid w:val="0059014D"/>
    <w:rsid w:val="00592415"/>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C6DC4"/>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01960"/>
    <w:rsid w:val="00D114F0"/>
    <w:rsid w:val="00D11C8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266191"/>
    <w:rsid w:val="01B115BD"/>
    <w:rsid w:val="021A5203"/>
    <w:rsid w:val="02352E07"/>
    <w:rsid w:val="03756060"/>
    <w:rsid w:val="03842D9A"/>
    <w:rsid w:val="03D1128A"/>
    <w:rsid w:val="03FC47FD"/>
    <w:rsid w:val="045B03C1"/>
    <w:rsid w:val="046A3080"/>
    <w:rsid w:val="05155848"/>
    <w:rsid w:val="05B82126"/>
    <w:rsid w:val="05FD206B"/>
    <w:rsid w:val="062B31A6"/>
    <w:rsid w:val="06350F70"/>
    <w:rsid w:val="066E0107"/>
    <w:rsid w:val="06A44B90"/>
    <w:rsid w:val="06C45D5A"/>
    <w:rsid w:val="07160CCF"/>
    <w:rsid w:val="07996F6E"/>
    <w:rsid w:val="07E96300"/>
    <w:rsid w:val="07FC402C"/>
    <w:rsid w:val="0800173B"/>
    <w:rsid w:val="08143027"/>
    <w:rsid w:val="08BF01D7"/>
    <w:rsid w:val="08D830A8"/>
    <w:rsid w:val="0964066A"/>
    <w:rsid w:val="096C4DBC"/>
    <w:rsid w:val="098A16DB"/>
    <w:rsid w:val="098F7899"/>
    <w:rsid w:val="0A2032A3"/>
    <w:rsid w:val="0A890AB2"/>
    <w:rsid w:val="0B01001C"/>
    <w:rsid w:val="0B104736"/>
    <w:rsid w:val="0BD118FD"/>
    <w:rsid w:val="0CFE6A37"/>
    <w:rsid w:val="0D2E30E1"/>
    <w:rsid w:val="0D462D79"/>
    <w:rsid w:val="0E5F014E"/>
    <w:rsid w:val="0F0C042B"/>
    <w:rsid w:val="0F4A70DC"/>
    <w:rsid w:val="0FAD216C"/>
    <w:rsid w:val="101860EC"/>
    <w:rsid w:val="108C1E07"/>
    <w:rsid w:val="109E2485"/>
    <w:rsid w:val="10B71335"/>
    <w:rsid w:val="10C055FF"/>
    <w:rsid w:val="10DB68B6"/>
    <w:rsid w:val="11024E17"/>
    <w:rsid w:val="110370DF"/>
    <w:rsid w:val="114D17F8"/>
    <w:rsid w:val="118107EC"/>
    <w:rsid w:val="122F45FC"/>
    <w:rsid w:val="124D5793"/>
    <w:rsid w:val="12A73667"/>
    <w:rsid w:val="131B41D2"/>
    <w:rsid w:val="13284E51"/>
    <w:rsid w:val="13877440"/>
    <w:rsid w:val="13A70B4D"/>
    <w:rsid w:val="13B51A73"/>
    <w:rsid w:val="13D50BC4"/>
    <w:rsid w:val="140D6F6A"/>
    <w:rsid w:val="14AB6D63"/>
    <w:rsid w:val="15240889"/>
    <w:rsid w:val="15BC79B5"/>
    <w:rsid w:val="160D3023"/>
    <w:rsid w:val="160F7736"/>
    <w:rsid w:val="16153B14"/>
    <w:rsid w:val="1637127A"/>
    <w:rsid w:val="16BB723D"/>
    <w:rsid w:val="17107727"/>
    <w:rsid w:val="17181FE0"/>
    <w:rsid w:val="17964C74"/>
    <w:rsid w:val="1856298B"/>
    <w:rsid w:val="193C4DA9"/>
    <w:rsid w:val="19816D5B"/>
    <w:rsid w:val="19CB5FAC"/>
    <w:rsid w:val="1A5671F8"/>
    <w:rsid w:val="1AA42197"/>
    <w:rsid w:val="1B21165E"/>
    <w:rsid w:val="1BE8440E"/>
    <w:rsid w:val="1C8256DA"/>
    <w:rsid w:val="1CED0853"/>
    <w:rsid w:val="1D155CEE"/>
    <w:rsid w:val="1D420728"/>
    <w:rsid w:val="1DD81C16"/>
    <w:rsid w:val="1DF146C2"/>
    <w:rsid w:val="1E123ED7"/>
    <w:rsid w:val="1E3D3624"/>
    <w:rsid w:val="1F2C43A7"/>
    <w:rsid w:val="1FBE636D"/>
    <w:rsid w:val="1FE778E8"/>
    <w:rsid w:val="20BA4855"/>
    <w:rsid w:val="216E37C3"/>
    <w:rsid w:val="219A7554"/>
    <w:rsid w:val="22347550"/>
    <w:rsid w:val="22503C4E"/>
    <w:rsid w:val="22573D22"/>
    <w:rsid w:val="22B10EDF"/>
    <w:rsid w:val="22BB2671"/>
    <w:rsid w:val="23116F6E"/>
    <w:rsid w:val="23860B96"/>
    <w:rsid w:val="23CA7EA6"/>
    <w:rsid w:val="23DA6D76"/>
    <w:rsid w:val="240371BF"/>
    <w:rsid w:val="25CB6BBD"/>
    <w:rsid w:val="260D7335"/>
    <w:rsid w:val="26145695"/>
    <w:rsid w:val="26F47DC4"/>
    <w:rsid w:val="27331595"/>
    <w:rsid w:val="27437288"/>
    <w:rsid w:val="27632FBB"/>
    <w:rsid w:val="283605DD"/>
    <w:rsid w:val="287B564B"/>
    <w:rsid w:val="28E7467F"/>
    <w:rsid w:val="29070FE7"/>
    <w:rsid w:val="298B17AD"/>
    <w:rsid w:val="29FD04D3"/>
    <w:rsid w:val="29FF0370"/>
    <w:rsid w:val="2A7652DD"/>
    <w:rsid w:val="2ADF6CAA"/>
    <w:rsid w:val="2BAD1A25"/>
    <w:rsid w:val="2C837822"/>
    <w:rsid w:val="2C8A61B5"/>
    <w:rsid w:val="2CE21363"/>
    <w:rsid w:val="2D2A4A7D"/>
    <w:rsid w:val="2D867C5E"/>
    <w:rsid w:val="2DF04E50"/>
    <w:rsid w:val="2E270411"/>
    <w:rsid w:val="2E9414BB"/>
    <w:rsid w:val="2F780CCF"/>
    <w:rsid w:val="319B55D3"/>
    <w:rsid w:val="319F7F4E"/>
    <w:rsid w:val="326A0088"/>
    <w:rsid w:val="3274706C"/>
    <w:rsid w:val="32BA29C4"/>
    <w:rsid w:val="32BC5645"/>
    <w:rsid w:val="32D9558D"/>
    <w:rsid w:val="32E42DE3"/>
    <w:rsid w:val="32F57981"/>
    <w:rsid w:val="334A7D51"/>
    <w:rsid w:val="340A2F80"/>
    <w:rsid w:val="34325E81"/>
    <w:rsid w:val="3481243A"/>
    <w:rsid w:val="34FE79ED"/>
    <w:rsid w:val="35B31B5D"/>
    <w:rsid w:val="36181FF0"/>
    <w:rsid w:val="362E6301"/>
    <w:rsid w:val="36AA5135"/>
    <w:rsid w:val="36B33246"/>
    <w:rsid w:val="36C3337E"/>
    <w:rsid w:val="36C71DBD"/>
    <w:rsid w:val="37085D29"/>
    <w:rsid w:val="3724079A"/>
    <w:rsid w:val="3763171D"/>
    <w:rsid w:val="37717DB2"/>
    <w:rsid w:val="377356AE"/>
    <w:rsid w:val="37D1007F"/>
    <w:rsid w:val="37DA192F"/>
    <w:rsid w:val="37E16F03"/>
    <w:rsid w:val="37ED66A7"/>
    <w:rsid w:val="38E2510A"/>
    <w:rsid w:val="393D5A7C"/>
    <w:rsid w:val="395660EE"/>
    <w:rsid w:val="395B1ADD"/>
    <w:rsid w:val="39CA1DC5"/>
    <w:rsid w:val="39E86541"/>
    <w:rsid w:val="3A3B2421"/>
    <w:rsid w:val="3B080937"/>
    <w:rsid w:val="3CC77D2B"/>
    <w:rsid w:val="3CCD69DE"/>
    <w:rsid w:val="3D41092F"/>
    <w:rsid w:val="3D7119B7"/>
    <w:rsid w:val="3D98207C"/>
    <w:rsid w:val="3DD37B69"/>
    <w:rsid w:val="3E0E46D6"/>
    <w:rsid w:val="3E1B7523"/>
    <w:rsid w:val="3EE131FC"/>
    <w:rsid w:val="3F006FC6"/>
    <w:rsid w:val="3F193E9B"/>
    <w:rsid w:val="3F3B3DD6"/>
    <w:rsid w:val="3F6C1DF6"/>
    <w:rsid w:val="40671B48"/>
    <w:rsid w:val="411839DB"/>
    <w:rsid w:val="41F47AF2"/>
    <w:rsid w:val="43C82969"/>
    <w:rsid w:val="441409FB"/>
    <w:rsid w:val="443A0BC4"/>
    <w:rsid w:val="44663C7E"/>
    <w:rsid w:val="44707C69"/>
    <w:rsid w:val="44951C48"/>
    <w:rsid w:val="44E268DA"/>
    <w:rsid w:val="45C115E0"/>
    <w:rsid w:val="462C7351"/>
    <w:rsid w:val="46525319"/>
    <w:rsid w:val="469C613A"/>
    <w:rsid w:val="46D54989"/>
    <w:rsid w:val="46E709CA"/>
    <w:rsid w:val="470549C9"/>
    <w:rsid w:val="4742057D"/>
    <w:rsid w:val="47635E49"/>
    <w:rsid w:val="47761D42"/>
    <w:rsid w:val="47FF7A31"/>
    <w:rsid w:val="491F269A"/>
    <w:rsid w:val="49704BC6"/>
    <w:rsid w:val="4A627F82"/>
    <w:rsid w:val="4AF73239"/>
    <w:rsid w:val="4B4F25DA"/>
    <w:rsid w:val="4BD03F83"/>
    <w:rsid w:val="4BE068DB"/>
    <w:rsid w:val="4C2551C3"/>
    <w:rsid w:val="4CEF0AE7"/>
    <w:rsid w:val="4D577224"/>
    <w:rsid w:val="4DDB50B7"/>
    <w:rsid w:val="4EAB630A"/>
    <w:rsid w:val="4ECE2238"/>
    <w:rsid w:val="4F48701A"/>
    <w:rsid w:val="4F5C62D9"/>
    <w:rsid w:val="4F6E5C32"/>
    <w:rsid w:val="5016050B"/>
    <w:rsid w:val="50A34C7A"/>
    <w:rsid w:val="50F07500"/>
    <w:rsid w:val="51625B9F"/>
    <w:rsid w:val="51BC3032"/>
    <w:rsid w:val="51DF2E42"/>
    <w:rsid w:val="52BD4606"/>
    <w:rsid w:val="545B3F72"/>
    <w:rsid w:val="5491147B"/>
    <w:rsid w:val="550D3E3E"/>
    <w:rsid w:val="554312E0"/>
    <w:rsid w:val="55606DF8"/>
    <w:rsid w:val="565217CB"/>
    <w:rsid w:val="573B3058"/>
    <w:rsid w:val="57424646"/>
    <w:rsid w:val="58E24F7F"/>
    <w:rsid w:val="59406101"/>
    <w:rsid w:val="595839F5"/>
    <w:rsid w:val="59916267"/>
    <w:rsid w:val="59E93406"/>
    <w:rsid w:val="59ED50DF"/>
    <w:rsid w:val="59F57A6F"/>
    <w:rsid w:val="59FA1D86"/>
    <w:rsid w:val="5A9D7B17"/>
    <w:rsid w:val="5AEE2D46"/>
    <w:rsid w:val="5AF92295"/>
    <w:rsid w:val="5BC57ECD"/>
    <w:rsid w:val="5BD47686"/>
    <w:rsid w:val="5BEE2B88"/>
    <w:rsid w:val="5CB707FA"/>
    <w:rsid w:val="5CD71FC4"/>
    <w:rsid w:val="5D295AE9"/>
    <w:rsid w:val="5D553A12"/>
    <w:rsid w:val="5DE70EA6"/>
    <w:rsid w:val="5E8E26B1"/>
    <w:rsid w:val="5E956AF7"/>
    <w:rsid w:val="5EAD1638"/>
    <w:rsid w:val="5EDF5394"/>
    <w:rsid w:val="5EFC0D99"/>
    <w:rsid w:val="5F9D70DB"/>
    <w:rsid w:val="5FC346A5"/>
    <w:rsid w:val="616E7B24"/>
    <w:rsid w:val="61F37851"/>
    <w:rsid w:val="626E6D20"/>
    <w:rsid w:val="62C3565F"/>
    <w:rsid w:val="63054711"/>
    <w:rsid w:val="632B3898"/>
    <w:rsid w:val="63A23B72"/>
    <w:rsid w:val="63AC0429"/>
    <w:rsid w:val="63F91135"/>
    <w:rsid w:val="64AD6AAD"/>
    <w:rsid w:val="64C111DC"/>
    <w:rsid w:val="64E80594"/>
    <w:rsid w:val="6569416C"/>
    <w:rsid w:val="656C69F2"/>
    <w:rsid w:val="66F47974"/>
    <w:rsid w:val="6724516A"/>
    <w:rsid w:val="676873B3"/>
    <w:rsid w:val="67DC32C6"/>
    <w:rsid w:val="68576D46"/>
    <w:rsid w:val="696B7ABC"/>
    <w:rsid w:val="6A0D56DF"/>
    <w:rsid w:val="6A4F0544"/>
    <w:rsid w:val="6A8D3C09"/>
    <w:rsid w:val="6AB02700"/>
    <w:rsid w:val="6ACB0655"/>
    <w:rsid w:val="6ACD4F1A"/>
    <w:rsid w:val="6B940AF8"/>
    <w:rsid w:val="6BD43CBD"/>
    <w:rsid w:val="6C4A05C8"/>
    <w:rsid w:val="6CA64A4E"/>
    <w:rsid w:val="6CB43C5D"/>
    <w:rsid w:val="6D0D363E"/>
    <w:rsid w:val="6D604217"/>
    <w:rsid w:val="6DEA201F"/>
    <w:rsid w:val="6E7E3605"/>
    <w:rsid w:val="6EC010C2"/>
    <w:rsid w:val="6EF87450"/>
    <w:rsid w:val="6EFB6C28"/>
    <w:rsid w:val="6F17222B"/>
    <w:rsid w:val="6F2424F9"/>
    <w:rsid w:val="6F303052"/>
    <w:rsid w:val="6F516E74"/>
    <w:rsid w:val="6FF5CC65"/>
    <w:rsid w:val="70995CAA"/>
    <w:rsid w:val="70FE6829"/>
    <w:rsid w:val="711F791C"/>
    <w:rsid w:val="7147222A"/>
    <w:rsid w:val="715C0E4B"/>
    <w:rsid w:val="718D21B3"/>
    <w:rsid w:val="71A07CA5"/>
    <w:rsid w:val="71DD023A"/>
    <w:rsid w:val="720B42B4"/>
    <w:rsid w:val="722A79A0"/>
    <w:rsid w:val="726C1A23"/>
    <w:rsid w:val="72734D90"/>
    <w:rsid w:val="72C21441"/>
    <w:rsid w:val="73654AFB"/>
    <w:rsid w:val="73AD73D5"/>
    <w:rsid w:val="73B6EB34"/>
    <w:rsid w:val="73DF3F0F"/>
    <w:rsid w:val="73E00345"/>
    <w:rsid w:val="73F74224"/>
    <w:rsid w:val="7407632A"/>
    <w:rsid w:val="746933C2"/>
    <w:rsid w:val="749C5E36"/>
    <w:rsid w:val="74C87CFF"/>
    <w:rsid w:val="75595A4F"/>
    <w:rsid w:val="755C39B6"/>
    <w:rsid w:val="75B26AE0"/>
    <w:rsid w:val="75BB4A7B"/>
    <w:rsid w:val="761B561A"/>
    <w:rsid w:val="765F6A81"/>
    <w:rsid w:val="76A773ED"/>
    <w:rsid w:val="775F3B04"/>
    <w:rsid w:val="77CB1259"/>
    <w:rsid w:val="78212D89"/>
    <w:rsid w:val="782F5CB6"/>
    <w:rsid w:val="786869B4"/>
    <w:rsid w:val="78884724"/>
    <w:rsid w:val="78DB053D"/>
    <w:rsid w:val="79007A49"/>
    <w:rsid w:val="79BD1EB5"/>
    <w:rsid w:val="79C23A48"/>
    <w:rsid w:val="79E0271A"/>
    <w:rsid w:val="79EE5BA4"/>
    <w:rsid w:val="7A894339"/>
    <w:rsid w:val="7B736703"/>
    <w:rsid w:val="7B7D72C5"/>
    <w:rsid w:val="7BB479CD"/>
    <w:rsid w:val="7CB56C78"/>
    <w:rsid w:val="7CE4342C"/>
    <w:rsid w:val="7E1030FC"/>
    <w:rsid w:val="7E3A00DA"/>
    <w:rsid w:val="7E646D27"/>
    <w:rsid w:val="7EA502D3"/>
    <w:rsid w:val="7EEF11D3"/>
    <w:rsid w:val="7EF125A4"/>
    <w:rsid w:val="7F2A335D"/>
    <w:rsid w:val="7F577687"/>
    <w:rsid w:val="7F8D331E"/>
    <w:rsid w:val="7FA30C79"/>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2">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5">
    <w:name w:val="Default Paragraph Font"/>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link w:val="23"/>
    <w:qFormat/>
    <w:uiPriority w:val="99"/>
    <w:pPr>
      <w:spacing w:beforeLines="30"/>
    </w:pPr>
    <w:rPr>
      <w:rFonts w:ascii="仿宋_GB2312" w:eastAsia="仿宋_GB2312"/>
      <w:kern w:val="0"/>
      <w:sz w:val="30"/>
    </w:rPr>
  </w:style>
  <w:style w:type="paragraph" w:styleId="6">
    <w:name w:val="Body Text Indent"/>
    <w:basedOn w:val="1"/>
    <w:next w:val="7"/>
    <w:qFormat/>
    <w:uiPriority w:val="0"/>
    <w:pPr>
      <w:tabs>
        <w:tab w:val="left" w:pos="-540"/>
      </w:tabs>
      <w:ind w:firstLine="420" w:firstLineChars="200"/>
    </w:pPr>
  </w:style>
  <w:style w:type="paragraph" w:styleId="7">
    <w:name w:val="Body Text First Indent 2"/>
    <w:basedOn w:val="6"/>
    <w:next w:val="1"/>
    <w:semiHidden/>
    <w:qFormat/>
    <w:uiPriority w:val="99"/>
    <w:pPr>
      <w:ind w:firstLine="420"/>
    </w:p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29"/>
    <w:semiHidden/>
    <w:unhideWhenUsed/>
    <w:qFormat/>
    <w:uiPriority w:val="99"/>
    <w:rPr>
      <w:sz w:val="18"/>
      <w:szCs w:val="18"/>
    </w:rPr>
  </w:style>
  <w:style w:type="paragraph" w:styleId="10">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14:textFill>
        <w14:solidFill>
          <w14:schemeClr w14:val="hlink"/>
        </w14:solidFill>
      </w14:textFill>
    </w:rPr>
  </w:style>
  <w:style w:type="character" w:customStyle="1" w:styleId="18">
    <w:name w:val="Header Char"/>
    <w:basedOn w:val="15"/>
    <w:semiHidden/>
    <w:qFormat/>
    <w:uiPriority w:val="99"/>
    <w:rPr>
      <w:rFonts w:ascii="Times New Roman" w:hAnsi="Times New Roman"/>
      <w:sz w:val="18"/>
      <w:szCs w:val="18"/>
    </w:rPr>
  </w:style>
  <w:style w:type="character" w:customStyle="1" w:styleId="19">
    <w:name w:val="页眉 Char"/>
    <w:link w:val="11"/>
    <w:semiHidden/>
    <w:qFormat/>
    <w:locked/>
    <w:uiPriority w:val="99"/>
    <w:rPr>
      <w:sz w:val="18"/>
    </w:rPr>
  </w:style>
  <w:style w:type="character" w:customStyle="1" w:styleId="20">
    <w:name w:val="Footer Char"/>
    <w:basedOn w:val="15"/>
    <w:semiHidden/>
    <w:qFormat/>
    <w:uiPriority w:val="99"/>
    <w:rPr>
      <w:rFonts w:ascii="Times New Roman" w:hAnsi="Times New Roman"/>
      <w:sz w:val="18"/>
      <w:szCs w:val="18"/>
    </w:rPr>
  </w:style>
  <w:style w:type="character" w:customStyle="1" w:styleId="21">
    <w:name w:val="页脚 Char"/>
    <w:link w:val="10"/>
    <w:qFormat/>
    <w:locked/>
    <w:uiPriority w:val="99"/>
    <w:rPr>
      <w:sz w:val="18"/>
    </w:rPr>
  </w:style>
  <w:style w:type="character" w:customStyle="1" w:styleId="22">
    <w:name w:val="Body Text Char"/>
    <w:basedOn w:val="15"/>
    <w:semiHidden/>
    <w:qFormat/>
    <w:uiPriority w:val="99"/>
    <w:rPr>
      <w:rFonts w:ascii="Times New Roman" w:hAnsi="Times New Roman"/>
      <w:szCs w:val="24"/>
    </w:rPr>
  </w:style>
  <w:style w:type="character" w:customStyle="1" w:styleId="23">
    <w:name w:val="正文文本 Char"/>
    <w:link w:val="5"/>
    <w:qFormat/>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5">
    <w:name w:val="List Paragraph"/>
    <w:basedOn w:val="1"/>
    <w:qFormat/>
    <w:uiPriority w:val="34"/>
    <w:pPr>
      <w:ind w:firstLine="420" w:firstLineChars="200"/>
    </w:pPr>
  </w:style>
  <w:style w:type="character" w:customStyle="1" w:styleId="26">
    <w:name w:val="标题 1 Char"/>
    <w:basedOn w:val="15"/>
    <w:link w:val="3"/>
    <w:qFormat/>
    <w:uiPriority w:val="9"/>
    <w:rPr>
      <w:rFonts w:ascii="Times New Roman" w:hAnsi="Times New Roman"/>
      <w:b/>
      <w:bCs/>
      <w:kern w:val="44"/>
      <w:sz w:val="44"/>
      <w:szCs w:val="44"/>
    </w:rPr>
  </w:style>
  <w:style w:type="character" w:customStyle="1" w:styleId="27">
    <w:name w:val="标题 2 Char"/>
    <w:basedOn w:val="15"/>
    <w:link w:val="2"/>
    <w:qFormat/>
    <w:uiPriority w:val="9"/>
    <w:rPr>
      <w:rFonts w:asciiTheme="majorHAnsi" w:hAnsiTheme="majorHAnsi" w:eastAsiaTheme="majorEastAsia" w:cstheme="majorBidi"/>
      <w:b/>
      <w:bCs/>
      <w:kern w:val="2"/>
      <w:sz w:val="32"/>
      <w:szCs w:val="32"/>
    </w:rPr>
  </w:style>
  <w:style w:type="paragraph" w:customStyle="1" w:styleId="28">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9">
    <w:name w:val="批注框文本 Char"/>
    <w:basedOn w:val="15"/>
    <w:link w:val="9"/>
    <w:semiHidden/>
    <w:qFormat/>
    <w:uiPriority w:val="99"/>
    <w:rPr>
      <w:rFonts w:ascii="Times New Roman" w:hAnsi="Times New Roman"/>
      <w:kern w:val="2"/>
      <w:sz w:val="18"/>
      <w:szCs w:val="18"/>
    </w:rPr>
  </w:style>
  <w:style w:type="character" w:customStyle="1" w:styleId="30">
    <w:name w:val="标题 3 Char"/>
    <w:basedOn w:val="15"/>
    <w:link w:val="4"/>
    <w:qFormat/>
    <w:uiPriority w:val="9"/>
    <w:rPr>
      <w:rFonts w:ascii="Times New Roman" w:hAnsi="Times New Roman"/>
      <w:b/>
      <w:bCs/>
      <w:kern w:val="2"/>
      <w:sz w:val="32"/>
      <w:szCs w:val="32"/>
    </w:rPr>
  </w:style>
  <w:style w:type="paragraph" w:customStyle="1" w:styleId="31">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2">
    <w:name w:val="正文11"/>
    <w:next w:val="33"/>
    <w:qFormat/>
    <w:uiPriority w:val="0"/>
    <w:pPr>
      <w:widowControl w:val="0"/>
      <w:jc w:val="both"/>
    </w:pPr>
    <w:rPr>
      <w:rFonts w:ascii="Calibri" w:hAnsi="Calibri" w:eastAsia="宋体" w:cs="Times New Roman"/>
      <w:lang w:val="en-US" w:eastAsia="zh-CN" w:bidi="hi-IN"/>
    </w:rPr>
  </w:style>
  <w:style w:type="paragraph" w:customStyle="1" w:styleId="33">
    <w:name w:val="正文文本11"/>
    <w:basedOn w:val="32"/>
    <w:qFormat/>
    <w:uiPriority w:val="99"/>
    <w:rPr>
      <w:rFonts w:ascii="仿宋_GB2312" w:hAnsi="仿宋_GB2312" w:eastAsia="仿宋_GB2312"/>
      <w:kern w:val="0"/>
      <w:sz w:val="30"/>
    </w:rPr>
  </w:style>
  <w:style w:type="character" w:customStyle="1" w:styleId="34">
    <w:name w:val="要点1"/>
    <w:qFormat/>
    <w:uiPriority w:val="99"/>
    <w:rPr>
      <w:b/>
    </w:rPr>
  </w:style>
  <w:style w:type="paragraph" w:customStyle="1" w:styleId="35">
    <w:name w:val="正文1"/>
    <w:next w:val="3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
    <w:name w:val="正文文本1"/>
    <w:basedOn w:val="35"/>
    <w:qFormat/>
    <w:uiPriority w:val="99"/>
    <w:rPr>
      <w:rFonts w:ascii="仿宋_GB2312" w:hAnsi="仿宋_GB2312" w:eastAsia="仿宋_GB2312"/>
      <w:kern w:val="0"/>
      <w:sz w:val="30"/>
    </w:rPr>
  </w:style>
  <w:style w:type="character" w:customStyle="1" w:styleId="37">
    <w:name w:val="font11"/>
    <w:basedOn w:val="15"/>
    <w:qFormat/>
    <w:uiPriority w:val="0"/>
    <w:rPr>
      <w:rFonts w:ascii="Arial" w:hAnsi="Arial" w:cs="Arial"/>
      <w:color w:val="000000"/>
      <w:sz w:val="20"/>
      <w:szCs w:val="20"/>
      <w:u w:val="none"/>
    </w:rPr>
  </w:style>
  <w:style w:type="character" w:customStyle="1" w:styleId="38">
    <w:name w:val="font21"/>
    <w:basedOn w:val="15"/>
    <w:qFormat/>
    <w:uiPriority w:val="0"/>
    <w:rPr>
      <w:rFonts w:hint="eastAsia" w:ascii="宋体" w:hAnsi="宋体" w:eastAsia="宋体" w:cs="宋体"/>
      <w:color w:val="000000"/>
      <w:sz w:val="20"/>
      <w:szCs w:val="20"/>
      <w:u w:val="none"/>
    </w:rPr>
  </w:style>
  <w:style w:type="paragraph" w:customStyle="1" w:styleId="39">
    <w:name w:val="目录 111"/>
    <w:basedOn w:val="32"/>
    <w:next w:val="32"/>
    <w:unhideWhenUsed/>
    <w:qFormat/>
    <w:uiPriority w:val="39"/>
    <w:pPr>
      <w:tabs>
        <w:tab w:val="right" w:leader="dot" w:pos="8296"/>
      </w:tabs>
      <w:jc w:val="center"/>
    </w:pPr>
    <w:rPr>
      <w:rFonts w:ascii="仿宋" w:hAnsi="仿宋" w:eastAsia="仿宋"/>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chart" Target="charts/chart7.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G:\2022&#24180;&#36130;&#21153;\&#26085;&#24120;&#24037;&#20316;\2021&#24180;&#20915;&#31639;&#25253;&#36865;&#36130;&#25919;&#21381;\2021&#24180;&#20915;&#31639;&#20844;&#24320;\2021&#24180;&#24230;&#22235;&#24029;&#30465;&#21496;&#27861;&#21381;&#37096;&#38376;&#20915;&#31639;&#20844;&#24320;&#65288;8.29&#23448;&#32593;&#20844;&#24320;&#65289;\2021&#24180;&#20915;&#31639;&#20844;&#24320;&#22270;&#34920;&#65288;&#21496;&#27861;&#21381;&#37096;&#38376;&#6528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Desktop\6.17\2021&#24180;&#20915;&#31639;&#22270;&#34920;&#65288;&#21496;&#27861;&#21381;&#37096;&#38376;&#6528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Desktop\2021&#24180;&#20915;&#31639;&#20844;&#24320;\2021&#24180;&#20915;&#31639;&#22270;&#349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2022&#24180;&#36130;&#21153;\&#26085;&#24120;&#24037;&#20316;\2021&#24180;&#20915;&#31639;&#25253;&#36865;&#36130;&#25919;&#21381;\2021&#24180;&#20915;&#31639;&#20844;&#24320;\2021&#24180;&#24230;&#22235;&#24029;&#30465;&#21496;&#27861;&#21381;&#37096;&#38376;&#20915;&#31639;&#20844;&#24320;&#65288;8.29&#23448;&#32593;&#20844;&#24320;&#65289;\2021&#24180;&#20915;&#31639;&#20844;&#24320;&#22270;&#34920;&#65288;&#21496;&#27861;&#21381;&#37096;&#38376;&#6528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Desktop\2021&#24180;&#20915;&#31639;&#20844;&#24320;\2021&#24180;&#20915;&#31639;&#22270;&#349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Desktop\2021&#24180;&#20915;&#31639;&#20844;&#24320;\2021&#24180;&#20915;&#31639;&#22270;&#3492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Desktop\2021&#24180;&#20915;&#31639;&#22270;&#34920;&#65288;&#20915;&#31639;&#20844;&#24320;&#6528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'[2021年决算公开图表（司法厅部门）.xlsx]Sheet1'!$A$1:$B$1</c:f>
              <c:strCache>
                <c:ptCount val="2"/>
                <c:pt idx="0">
                  <c:v>2021年（万元）</c:v>
                </c:pt>
                <c:pt idx="1">
                  <c:v>2020年（万元）</c:v>
                </c:pt>
              </c:strCache>
            </c:strRef>
          </c:cat>
          <c:val>
            <c:numRef>
              <c:f>'[2021年决算公开图表（司法厅部门）.xlsx]Sheet1'!$A$2:$B$2</c:f>
              <c:numCache>
                <c:formatCode>General</c:formatCode>
                <c:ptCount val="2"/>
                <c:pt idx="0">
                  <c:v>27328.74</c:v>
                </c:pt>
                <c:pt idx="1">
                  <c:v>21263.03</c:v>
                </c:pt>
              </c:numCache>
            </c:numRef>
          </c:val>
        </c:ser>
        <c:dLbls>
          <c:showLegendKey val="0"/>
          <c:showVal val="1"/>
          <c:showCatName val="0"/>
          <c:showSerName val="0"/>
          <c:showPercent val="0"/>
          <c:showBubbleSize val="0"/>
        </c:dLbls>
        <c:gapWidth val="150"/>
        <c:axId val="93145344"/>
        <c:axId val="93159424"/>
      </c:barChart>
      <c:catAx>
        <c:axId val="9314534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93159424"/>
        <c:crosses val="autoZero"/>
        <c:auto val="1"/>
        <c:lblAlgn val="ctr"/>
        <c:lblOffset val="100"/>
        <c:noMultiLvlLbl val="0"/>
      </c:catAx>
      <c:valAx>
        <c:axId val="93159424"/>
        <c:scaling>
          <c:orientation val="minMax"/>
        </c:scaling>
        <c:delete val="1"/>
        <c:axPos val="l"/>
        <c:majorGridlines/>
        <c:numFmt formatCode="General" sourceLinked="1"/>
        <c:majorTickMark val="out"/>
        <c:minorTickMark val="none"/>
        <c:tickLblPos val="none"/>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93145344"/>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dPt>
          <c:dPt>
            <c:idx val="1"/>
            <c:bubble3D val="0"/>
          </c:dPt>
          <c:dPt>
            <c:idx val="2"/>
            <c:bubble3D val="0"/>
          </c:dPt>
          <c:dPt>
            <c:idx val="3"/>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'[2021年决算图表（司法厅部门）.xlsx]图4'!$A$1:$A$4</c:f>
              <c:strCache>
                <c:ptCount val="4"/>
                <c:pt idx="0">
                  <c:v>2021年收入情况</c:v>
                </c:pt>
                <c:pt idx="1">
                  <c:v>一般公共预算财政拨款收入</c:v>
                </c:pt>
                <c:pt idx="2">
                  <c:v>其他收入</c:v>
                </c:pt>
                <c:pt idx="3">
                  <c:v>合计</c:v>
                </c:pt>
              </c:strCache>
            </c:strRef>
          </c:cat>
          <c:val>
            <c:numRef>
              <c:f>'[2021年决算图表（司法厅部门）.xlsx]图4'!$B$1:$B$4</c:f>
              <c:numCache>
                <c:formatCode>General</c:formatCode>
                <c:ptCount val="4"/>
                <c:pt idx="1">
                  <c:v>24240.1</c:v>
                </c:pt>
                <c:pt idx="2">
                  <c:v>3088.64</c:v>
                </c:pt>
                <c:pt idx="3">
                  <c:v>27328.74</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tx1"/>
                </a:solidFill>
                <a:latin typeface="+mn-lt"/>
                <a:ea typeface="+mn-ea"/>
                <a:cs typeface="+mn-cs"/>
              </a:defRPr>
            </a:pPr>
            <a:r>
              <a:t>202</a:t>
            </a:r>
            <a:r>
              <a:rPr lang="en-US" altLang="zh-CN"/>
              <a:t>1</a:t>
            </a:r>
            <a:r>
              <a:t>年支出情况 金额(万元)</a:t>
            </a:r>
          </a:p>
        </c:rich>
      </c:tx>
      <c:layout/>
      <c:overlay val="0"/>
    </c:title>
    <c:autoTitleDeleted val="0"/>
    <c:plotArea>
      <c:layout/>
      <c:pieChart>
        <c:varyColors val="1"/>
        <c:ser>
          <c:idx val="0"/>
          <c:order val="0"/>
          <c:tx>
            <c:strRef>
              <c:f>[2021年决算图表.xlsx]Sheet3!$B$1:$B$2</c:f>
              <c:strCache>
                <c:ptCount val="1"/>
                <c:pt idx="0">
                  <c:v>2020年支出情况 金额(万元)</c:v>
                </c:pt>
              </c:strCache>
            </c:strRef>
          </c:tx>
          <c:explosion val="25"/>
          <c:dPt>
            <c:idx val="0"/>
            <c:bubble3D val="0"/>
          </c:dPt>
          <c:dPt>
            <c:idx val="1"/>
            <c:bubble3D val="0"/>
          </c:dPt>
          <c:dPt>
            <c:idx val="2"/>
            <c:bubble3D val="0"/>
            <c:explosion val="27"/>
          </c:dPt>
          <c:dLbls>
            <c:delete val="1"/>
          </c:dLbls>
          <c:cat>
            <c:strRef>
              <c:f>[2021年决算图表.xlsx]Sheet3!$A$3:$A$5</c:f>
              <c:strCache>
                <c:ptCount val="3"/>
                <c:pt idx="0">
                  <c:v>基本支出</c:v>
                </c:pt>
                <c:pt idx="1">
                  <c:v>项目支出</c:v>
                </c:pt>
                <c:pt idx="2">
                  <c:v>合计</c:v>
                </c:pt>
              </c:strCache>
            </c:strRef>
          </c:cat>
          <c:val>
            <c:numRef>
              <c:f>[2021年决算图表.xlsx]Sheet3!$B$3:$B$5</c:f>
              <c:numCache>
                <c:formatCode>General</c:formatCode>
                <c:ptCount val="3"/>
                <c:pt idx="0">
                  <c:v>15382.24</c:v>
                </c:pt>
                <c:pt idx="1">
                  <c:v>11946.5</c:v>
                </c:pt>
                <c:pt idx="2">
                  <c:v>27328.74</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barChart>
        <c:barDir val="col"/>
        <c:grouping val="clustered"/>
        <c:varyColors val="0"/>
        <c:ser>
          <c:idx val="0"/>
          <c:order val="0"/>
          <c:tx>
            <c:strRef>
              <c:f>'[2021年决算公开图表（司法厅部门）.xlsx]Sheet4'!$B$1:$B$3</c:f>
              <c:strCache>
                <c:ptCount val="1"/>
                <c:pt idx="0">
                  <c:v>财政拨款收、支决算总计变动情况 金额(万元)</c:v>
                </c:pt>
              </c:strCache>
            </c:strRef>
          </c:tx>
          <c:invertIfNegative val="0"/>
          <c:dLbls>
            <c:delete val="1"/>
          </c:dLbls>
          <c:cat>
            <c:strRef>
              <c:f>'[2021年决算公开图表（司法厅部门）.xlsx]Sheet4'!$A$4:$A$5</c:f>
              <c:strCache>
                <c:ptCount val="2"/>
                <c:pt idx="0">
                  <c:v>2020年</c:v>
                </c:pt>
                <c:pt idx="1">
                  <c:v>2021年</c:v>
                </c:pt>
              </c:strCache>
            </c:strRef>
          </c:cat>
          <c:val>
            <c:numRef>
              <c:f>'[2021年决算公开图表（司法厅部门）.xlsx]Sheet4'!$B$4:$B$5</c:f>
              <c:numCache>
                <c:formatCode>General</c:formatCode>
                <c:ptCount val="2"/>
                <c:pt idx="0">
                  <c:v>21263.04</c:v>
                </c:pt>
                <c:pt idx="1">
                  <c:v>27328.74</c:v>
                </c:pt>
              </c:numCache>
            </c:numRef>
          </c:val>
        </c:ser>
        <c:dLbls>
          <c:showLegendKey val="0"/>
          <c:showVal val="0"/>
          <c:showCatName val="0"/>
          <c:showSerName val="0"/>
          <c:showPercent val="0"/>
          <c:showBubbleSize val="0"/>
        </c:dLbls>
        <c:gapWidth val="150"/>
        <c:axId val="96535680"/>
        <c:axId val="96537216"/>
      </c:barChart>
      <c:catAx>
        <c:axId val="96535680"/>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96537216"/>
        <c:crosses val="autoZero"/>
        <c:auto val="1"/>
        <c:lblAlgn val="ctr"/>
        <c:lblOffset val="100"/>
        <c:noMultiLvlLbl val="0"/>
      </c:catAx>
      <c:valAx>
        <c:axId val="9653721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96535680"/>
        <c:crosses val="autoZero"/>
        <c:crossBetween val="between"/>
      </c:valAx>
      <c:spPr>
        <a:solidFill>
          <a:schemeClr val="bg1"/>
        </a:solid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barChart>
        <c:barDir val="col"/>
        <c:grouping val="standard"/>
        <c:varyColors val="0"/>
        <c:ser>
          <c:idx val="0"/>
          <c:order val="0"/>
          <c:tx>
            <c:strRef>
              <c:f>[2021年决算图表.xlsx]Sheet5!$B$1:$B$2</c:f>
              <c:strCache>
                <c:ptCount val="1"/>
                <c:pt idx="0">
                  <c:v>一般公共预算财政拨款支出决算变动情况 金额(万元)</c:v>
                </c:pt>
              </c:strCache>
            </c:strRef>
          </c:tx>
          <c:invertIfNegative val="0"/>
          <c:dLbls>
            <c:delete val="1"/>
          </c:dLbls>
          <c:cat>
            <c:strRef>
              <c:f>[2021年决算图表.xlsx]Sheet5!$A$3:$A$4</c:f>
              <c:strCache>
                <c:ptCount val="2"/>
                <c:pt idx="0">
                  <c:v>2020年</c:v>
                </c:pt>
                <c:pt idx="1">
                  <c:v>2021年</c:v>
                </c:pt>
              </c:strCache>
            </c:strRef>
          </c:cat>
          <c:val>
            <c:numRef>
              <c:f>[2021年决算图表.xlsx]Sheet5!$B$3:$B$4</c:f>
              <c:numCache>
                <c:formatCode>General</c:formatCode>
                <c:ptCount val="2"/>
                <c:pt idx="0">
                  <c:v>20020.1</c:v>
                </c:pt>
                <c:pt idx="1">
                  <c:v>24240.1</c:v>
                </c:pt>
              </c:numCache>
            </c:numRef>
          </c:val>
        </c:ser>
        <c:dLbls>
          <c:showLegendKey val="0"/>
          <c:showVal val="0"/>
          <c:showCatName val="0"/>
          <c:showSerName val="0"/>
          <c:showPercent val="0"/>
          <c:showBubbleSize val="0"/>
        </c:dLbls>
        <c:gapWidth val="150"/>
        <c:axId val="101450496"/>
        <c:axId val="101452032"/>
      </c:barChart>
      <c:catAx>
        <c:axId val="101450496"/>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01452032"/>
        <c:crosses val="autoZero"/>
        <c:auto val="1"/>
        <c:lblAlgn val="ctr"/>
        <c:lblOffset val="100"/>
        <c:noMultiLvlLbl val="0"/>
      </c:catAx>
      <c:valAx>
        <c:axId val="10145203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01450496"/>
        <c:crosses val="autoZero"/>
        <c:crossBetween val="between"/>
      </c:valAx>
      <c:spPr>
        <a:solidFill>
          <a:schemeClr val="bg1"/>
        </a:solid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[2021年决算图表.xlsx]Sheet6!$B$1:$B$3</c:f>
              <c:strCache>
                <c:ptCount val="1"/>
                <c:pt idx="0">
                  <c:v>一般公共预算财政拨款支出决算结构 金额（万元）</c:v>
                </c:pt>
              </c:strCache>
            </c:strRef>
          </c:tx>
          <c:explosion val="25"/>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Lbls>
            <c:delete val="1"/>
          </c:dLbls>
          <c:cat>
            <c:strRef>
              <c:f>[2021年决算图表.xlsx]Sheet6!$A$4:$A$11</c:f>
              <c:strCache>
                <c:ptCount val="8"/>
                <c:pt idx="0">
                  <c:v>一般公共服务（类）支出</c:v>
                </c:pt>
                <c:pt idx="1">
                  <c:v>公共安全支出</c:v>
                </c:pt>
                <c:pt idx="2">
                  <c:v>教育支出</c:v>
                </c:pt>
                <c:pt idx="3">
                  <c:v>社会保障和就业（类）支出</c:v>
                </c:pt>
                <c:pt idx="4">
                  <c:v>卫生健康支出</c:v>
                </c:pt>
                <c:pt idx="5">
                  <c:v>住房保障支出</c:v>
                </c:pt>
                <c:pt idx="6">
                  <c:v>灾害防治及应急管理支出</c:v>
                </c:pt>
                <c:pt idx="7">
                  <c:v>合计</c:v>
                </c:pt>
              </c:strCache>
            </c:strRef>
          </c:cat>
          <c:val>
            <c:numRef>
              <c:f>[2021年决算图表.xlsx]Sheet6!$B$4:$B$11</c:f>
              <c:numCache>
                <c:formatCode>General</c:formatCode>
                <c:ptCount val="8"/>
                <c:pt idx="0">
                  <c:v>526.57</c:v>
                </c:pt>
                <c:pt idx="1">
                  <c:v>13121.56</c:v>
                </c:pt>
                <c:pt idx="2">
                  <c:v>7442.31</c:v>
                </c:pt>
                <c:pt idx="3">
                  <c:v>1443.08</c:v>
                </c:pt>
                <c:pt idx="4">
                  <c:v>403.99</c:v>
                </c:pt>
                <c:pt idx="5">
                  <c:v>1297.59</c:v>
                </c:pt>
                <c:pt idx="6">
                  <c:v>5</c:v>
                </c:pt>
                <c:pt idx="7">
                  <c:v>24240.1</c:v>
                </c:pt>
              </c:numCache>
            </c:numRef>
          </c:val>
        </c:ser>
        <c:dLbls>
          <c:showLegendKey val="0"/>
          <c:showVal val="0"/>
          <c:showCatName val="0"/>
          <c:showSerName val="0"/>
          <c:showPercent val="0"/>
          <c:showBubbleSize val="0"/>
          <c:showLeaderLines val="1"/>
        </c:dLbls>
        <c:firstSliceAng val="15"/>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tx1"/>
                </a:solidFill>
                <a:latin typeface="+mn-lt"/>
                <a:ea typeface="+mn-ea"/>
                <a:cs typeface="+mn-cs"/>
              </a:defRPr>
            </a:pPr>
            <a:r>
              <a:t>“三公”经费财政拨款支出（万元）</a:t>
            </a:r>
          </a:p>
        </c:rich>
      </c:tx>
      <c:layout/>
      <c:overlay val="0"/>
    </c:title>
    <c:autoTitleDeleted val="0"/>
    <c:plotArea>
      <c:layout/>
      <c:pieChart>
        <c:varyColors val="1"/>
        <c:ser>
          <c:idx val="0"/>
          <c:order val="0"/>
          <c:tx>
            <c:strRef>
              <c:f>Sheet7!$B$1:$B$3</c:f>
              <c:strCache>
                <c:ptCount val="1"/>
                <c:pt idx="0">
                  <c:v>“三公”经费财政拨款支出 金额（万元）</c:v>
                </c:pt>
              </c:strCache>
            </c:strRef>
          </c:tx>
          <c:explosion val="25"/>
          <c:dPt>
            <c:idx val="0"/>
            <c:bubble3D val="0"/>
          </c:dPt>
          <c:dPt>
            <c:idx val="1"/>
            <c:bubble3D val="0"/>
          </c:dPt>
          <c:dPt>
            <c:idx val="2"/>
            <c:bubble3D val="0"/>
          </c:dPt>
          <c:dPt>
            <c:idx val="3"/>
            <c:bubble3D val="0"/>
          </c:dPt>
          <c:dLbls>
            <c:delete val="1"/>
          </c:dLbls>
          <c:cat>
            <c:strRef>
              <c:f>Sheet7!$A$4:$A$7</c:f>
              <c:strCache>
                <c:ptCount val="4"/>
                <c:pt idx="0">
                  <c:v>因公出国（境）费</c:v>
                </c:pt>
                <c:pt idx="1">
                  <c:v>公务用车购置及运行维护费</c:v>
                </c:pt>
                <c:pt idx="2">
                  <c:v>公务接待费</c:v>
                </c:pt>
                <c:pt idx="3">
                  <c:v>合计</c:v>
                </c:pt>
              </c:strCache>
            </c:strRef>
          </c:cat>
          <c:val>
            <c:numRef>
              <c:f>Sheet7!$B$4:$B$7</c:f>
              <c:numCache>
                <c:formatCode>General</c:formatCode>
                <c:ptCount val="4"/>
                <c:pt idx="0">
                  <c:v>0</c:v>
                </c:pt>
                <c:pt idx="1">
                  <c:v>47.51</c:v>
                </c:pt>
                <c:pt idx="2">
                  <c:v>2.8</c:v>
                </c:pt>
                <c:pt idx="3">
                  <c:v>50.31</c:v>
                </c:pt>
              </c:numCache>
            </c:numRef>
          </c:val>
        </c:ser>
        <c:dLbls>
          <c:showLegendKey val="0"/>
          <c:showVal val="0"/>
          <c:showCatName val="0"/>
          <c:showSerName val="0"/>
          <c:showPercent val="0"/>
          <c:showBubbleSize val="0"/>
          <c:showLeaderLines val="1"/>
        </c:dLbls>
        <c:firstSliceAng val="15"/>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1299</Words>
  <Characters>7410</Characters>
  <Lines>61</Lines>
  <Paragraphs>17</Paragraphs>
  <TotalTime>30</TotalTime>
  <ScaleCrop>false</ScaleCrop>
  <LinksUpToDate>false</LinksUpToDate>
  <CharactersWithSpaces>8692</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YJLing</cp:lastModifiedBy>
  <cp:lastPrinted>2022-08-26T06:36:00Z</cp:lastPrinted>
  <dcterms:modified xsi:type="dcterms:W3CDTF">2022-08-30T13:32:44Z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