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outlineLvl w:val="0"/>
        <w:rPr>
          <w:rFonts w:ascii="方正小标宋简体" w:hAnsi="方正小标宋简体" w:eastAsia="方正小标宋简体" w:cs="方正小标宋简体"/>
          <w:sz w:val="72"/>
          <w:szCs w:val="72"/>
        </w:rPr>
      </w:pPr>
      <w:bookmarkStart w:id="0" w:name="_Toc15378441"/>
      <w:bookmarkStart w:id="1" w:name="_Toc15396597"/>
      <w:bookmarkStart w:id="2" w:name="_Toc15396475"/>
      <w:bookmarkStart w:id="3" w:name="_Toc15377193"/>
      <w:bookmarkStart w:id="4" w:name="_Toc15377425"/>
    </w:p>
    <w:p>
      <w:pPr>
        <w:snapToGrid w:val="0"/>
        <w:spacing w:line="360" w:lineRule="auto"/>
        <w:jc w:val="center"/>
        <w:outlineLvl w:val="0"/>
        <w:rPr>
          <w:rFonts w:ascii="方正小标宋简体" w:hAnsi="方正小标宋简体" w:eastAsia="方正小标宋简体" w:cs="方正小标宋简体"/>
          <w:sz w:val="72"/>
          <w:szCs w:val="72"/>
        </w:rPr>
      </w:pPr>
    </w:p>
    <w:p>
      <w:pPr>
        <w:snapToGrid w:val="0"/>
        <w:spacing w:line="360" w:lineRule="auto"/>
        <w:jc w:val="center"/>
        <w:outlineLvl w:val="0"/>
        <w:rPr>
          <w:rFonts w:ascii="方正小标宋简体" w:hAnsi="方正小标宋简体" w:eastAsia="方正小标宋简体" w:cs="方正小标宋简体"/>
          <w:sz w:val="72"/>
          <w:szCs w:val="72"/>
        </w:rPr>
      </w:pPr>
    </w:p>
    <w:p>
      <w:pPr>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2021年度</w:t>
      </w:r>
      <w:bookmarkEnd w:id="0"/>
      <w:bookmarkEnd w:id="1"/>
      <w:bookmarkEnd w:id="2"/>
      <w:bookmarkEnd w:id="3"/>
      <w:bookmarkEnd w:id="4"/>
    </w:p>
    <w:p>
      <w:pPr>
        <w:snapToGrid w:val="0"/>
        <w:spacing w:line="360" w:lineRule="auto"/>
        <w:jc w:val="center"/>
        <w:outlineLvl w:val="0"/>
        <w:rPr>
          <w:rFonts w:ascii="方正小标宋简体" w:hAnsi="方正小标宋简体" w:eastAsia="方正小标宋简体" w:cs="方正小标宋简体"/>
          <w:sz w:val="72"/>
          <w:szCs w:val="72"/>
        </w:rPr>
      </w:pPr>
      <w:bookmarkStart w:id="5" w:name="_Toc15306267"/>
      <w:r>
        <w:rPr>
          <w:rFonts w:ascii="方正小标宋简体" w:hAnsi="方正小标宋简体" w:eastAsia="方正小标宋简体" w:cs="方正小标宋简体"/>
          <w:sz w:val="72"/>
          <w:szCs w:val="72"/>
        </w:rPr>
        <w:t>四川省</w:t>
      </w:r>
      <w:bookmarkEnd w:id="5"/>
      <w:bookmarkStart w:id="6" w:name="_Toc15306268"/>
      <w:r>
        <w:rPr>
          <w:rFonts w:ascii="方正小标宋简体" w:hAnsi="方正小标宋简体" w:eastAsia="方正小标宋简体" w:cs="方正小标宋简体"/>
          <w:sz w:val="72"/>
          <w:szCs w:val="72"/>
        </w:rPr>
        <w:t>司法厅机关服务</w:t>
      </w:r>
    </w:p>
    <w:p>
      <w:pPr>
        <w:snapToGrid w:val="0"/>
        <w:spacing w:line="360" w:lineRule="auto"/>
        <w:jc w:val="center"/>
        <w:outlineLvl w:val="0"/>
        <w:rPr>
          <w:rFonts w:ascii="方正小标宋简体" w:hAnsi="方正小标宋简体" w:eastAsia="方正小标宋简体" w:cs="方正小标宋简体"/>
          <w:sz w:val="72"/>
          <w:szCs w:val="72"/>
        </w:rPr>
        <w:sectPr>
          <w:pgSz w:w="11906" w:h="16838"/>
          <w:pgMar w:top="1701" w:right="1587" w:bottom="1701" w:left="1587" w:header="0" w:footer="0" w:gutter="0"/>
          <w:pgNumType w:start="1"/>
          <w:cols w:space="720" w:num="1"/>
          <w:formProt w:val="0"/>
          <w:docGrid w:type="lines" w:linePitch="312" w:charSpace="43007"/>
        </w:sectPr>
      </w:pPr>
      <w:bookmarkStart w:id="7" w:name="_Toc15378442"/>
      <w:bookmarkStart w:id="8" w:name="_Toc15396598"/>
      <w:bookmarkStart w:id="9" w:name="_Toc15396476"/>
      <w:bookmarkStart w:id="10" w:name="_Toc15377194"/>
      <w:bookmarkStart w:id="11" w:name="_Toc15377426"/>
      <w:r>
        <w:rPr>
          <w:rFonts w:ascii="方正小标宋简体" w:hAnsi="方正小标宋简体" w:eastAsia="方正小标宋简体" w:cs="方正小标宋简体"/>
          <w:sz w:val="72"/>
          <w:szCs w:val="72"/>
        </w:rPr>
        <w:t>中心单位决算</w:t>
      </w:r>
      <w:bookmarkEnd w:id="6"/>
      <w:bookmarkEnd w:id="7"/>
      <w:bookmarkEnd w:id="8"/>
      <w:bookmarkEnd w:id="9"/>
      <w:bookmarkEnd w:id="10"/>
      <w:bookmarkEnd w:id="11"/>
    </w:p>
    <w:p>
      <w:pPr>
        <w:widowControl/>
        <w:jc w:val="center"/>
        <w:rPr>
          <w:rFonts w:ascii="黑体" w:hAnsi="黑体" w:eastAsia="黑体" w:cs="Times New Roman"/>
          <w:sz w:val="48"/>
          <w:szCs w:val="48"/>
        </w:rPr>
      </w:pPr>
      <w:bookmarkStart w:id="12" w:name="_Toc15396599"/>
      <w:bookmarkStart w:id="13" w:name="_Toc15377196"/>
      <w:r>
        <w:rPr>
          <w:rFonts w:ascii="黑体" w:hAnsi="黑体" w:eastAsia="黑体" w:cs="Times New Roman"/>
          <w:sz w:val="44"/>
          <w:szCs w:val="44"/>
        </w:rPr>
        <w:t>目  录</w:t>
      </w:r>
    </w:p>
    <w:p>
      <w:pPr>
        <w:widowControl/>
        <w:jc w:val="center"/>
        <w:rPr>
          <w:rFonts w:ascii="黑体" w:hAnsi="黑体" w:eastAsia="黑体" w:cs="Times New Roman"/>
          <w:sz w:val="32"/>
          <w:szCs w:val="32"/>
        </w:rPr>
      </w:pP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t>公开时间：2022年9月9日</w:t>
      </w:r>
    </w:p>
    <w:p>
      <w:pPr>
        <w:rPr>
          <w:rFonts w:ascii="黑体" w:hAnsi="黑体" w:eastAsia="黑体" w:cs="Times New Roman"/>
          <w:sz w:val="44"/>
          <w:szCs w:val="44"/>
        </w:rPr>
      </w:pPr>
    </w:p>
    <w:p>
      <w:pPr>
        <w:rPr>
          <w:rFonts w:ascii="黑体" w:hAnsi="黑体" w:eastAsia="黑体" w:cs="Times New Roman"/>
          <w:sz w:val="44"/>
          <w:szCs w:val="44"/>
        </w:rPr>
      </w:pPr>
      <w:r>
        <w:rPr>
          <w:rFonts w:ascii="Times New Roman" w:hAnsi="Times New Roman" w:eastAsia="宋体" w:cs="Times New Roman"/>
        </w:rPr>
        <w:t>第一部分 单位概况.........................................................................................................................1</w:t>
      </w:r>
    </w:p>
    <w:p>
      <w:pPr>
        <w:rPr>
          <w:rFonts w:ascii="黑体" w:hAnsi="黑体" w:eastAsia="黑体" w:cs="Times New Roman"/>
          <w:sz w:val="44"/>
          <w:szCs w:val="44"/>
        </w:rPr>
      </w:pPr>
      <w:r>
        <w:rPr>
          <w:rFonts w:ascii="Times New Roman" w:hAnsi="Times New Roman" w:eastAsia="宋体" w:cs="Times New Roman"/>
        </w:rPr>
        <w:t>一、职能简介...................................................................................................................................1</w:t>
      </w:r>
    </w:p>
    <w:p>
      <w:pPr>
        <w:rPr>
          <w:rFonts w:ascii="Times New Roman" w:hAnsi="Times New Roman" w:eastAsia="宋体" w:cs="Times New Roman"/>
        </w:rPr>
      </w:pPr>
      <w:r>
        <w:rPr>
          <w:rFonts w:ascii="Times New Roman" w:hAnsi="Times New Roman" w:eastAsia="宋体" w:cs="Times New Roman"/>
        </w:rPr>
        <w:t>二、2021年重点工作完成情况......................................................................................................1</w:t>
      </w:r>
    </w:p>
    <w:p>
      <w:pPr>
        <w:rPr>
          <w:rFonts w:hint="eastAsia" w:ascii="Times New Roman" w:hAnsi="Times New Roman" w:eastAsia="宋体" w:cs="Times New Roman"/>
          <w:lang w:eastAsia="zh-CN"/>
        </w:rPr>
      </w:pPr>
      <w:r>
        <w:rPr>
          <w:rFonts w:hint="default" w:ascii="Times New Roman" w:hAnsi="Times New Roman" w:eastAsia="宋体" w:cs="Times New Roman"/>
          <w:lang w:eastAsia="zh-CN"/>
        </w:rPr>
        <w:t>三、</w:t>
      </w:r>
      <w:r>
        <w:rPr>
          <w:rFonts w:hint="eastAsia" w:ascii="Times New Roman" w:hAnsi="Times New Roman" w:eastAsia="宋体" w:cs="Times New Roman"/>
          <w:kern w:val="2"/>
          <w:sz w:val="21"/>
          <w:lang w:eastAsia="zh-CN"/>
        </w:rPr>
        <w:t>机构设置情况</w:t>
      </w:r>
      <w:r>
        <w:rPr>
          <w:rFonts w:ascii="Times New Roman" w:hAnsi="Times New Roman" w:eastAsia="宋体" w:cs="Times New Roman"/>
        </w:rPr>
        <w:t>...........................................................................................................................</w:t>
      </w:r>
      <w:r>
        <w:rPr>
          <w:rFonts w:hint="eastAsia" w:ascii="Times New Roman" w:hAnsi="Times New Roman" w:eastAsia="宋体" w:cs="Times New Roman"/>
          <w:lang w:val="en-US" w:eastAsia="zh-CN"/>
        </w:rPr>
        <w:t>3</w:t>
      </w:r>
    </w:p>
    <w:p>
      <w:pPr>
        <w:rPr>
          <w:rFonts w:ascii="黑体" w:hAnsi="黑体" w:eastAsia="黑体" w:cs="Times New Roman"/>
          <w:sz w:val="44"/>
          <w:szCs w:val="44"/>
        </w:rPr>
      </w:pPr>
      <w:r>
        <w:rPr>
          <w:rFonts w:ascii="Times New Roman" w:hAnsi="Times New Roman" w:eastAsia="宋体" w:cs="Times New Roman"/>
        </w:rPr>
        <w:t>第二部分 2021年度单位决算情况说明........................................................................................4</w:t>
      </w:r>
    </w:p>
    <w:p>
      <w:pPr>
        <w:rPr>
          <w:rFonts w:ascii="黑体" w:hAnsi="黑体" w:eastAsia="黑体" w:cs="Times New Roman"/>
          <w:sz w:val="44"/>
          <w:szCs w:val="44"/>
        </w:rPr>
      </w:pPr>
      <w:r>
        <w:rPr>
          <w:rFonts w:ascii="Times New Roman" w:hAnsi="Times New Roman" w:eastAsia="宋体" w:cs="Times New Roman"/>
        </w:rPr>
        <w:t>一、收入支出决算总体情况说明..................................................................................................4</w:t>
      </w:r>
    </w:p>
    <w:p>
      <w:pPr>
        <w:rPr>
          <w:rFonts w:ascii="黑体" w:hAnsi="黑体" w:eastAsia="黑体" w:cs="Times New Roman"/>
          <w:sz w:val="44"/>
          <w:szCs w:val="44"/>
        </w:rPr>
      </w:pPr>
      <w:r>
        <w:rPr>
          <w:rFonts w:ascii="Times New Roman" w:hAnsi="Times New Roman" w:eastAsia="宋体" w:cs="Times New Roman"/>
        </w:rPr>
        <w:t>二、收入决算情况说明...................................................................................................................4</w:t>
      </w:r>
    </w:p>
    <w:p>
      <w:pPr>
        <w:rPr>
          <w:rFonts w:ascii="黑体" w:hAnsi="黑体" w:eastAsia="黑体" w:cs="Times New Roman"/>
          <w:sz w:val="44"/>
          <w:szCs w:val="44"/>
        </w:rPr>
      </w:pPr>
      <w:r>
        <w:rPr>
          <w:rFonts w:ascii="Times New Roman" w:hAnsi="Times New Roman" w:eastAsia="宋体" w:cs="Times New Roman"/>
        </w:rPr>
        <w:t>三、支出决算情况说明...................................................................................................................5</w:t>
      </w:r>
    </w:p>
    <w:p>
      <w:pPr>
        <w:rPr>
          <w:rFonts w:ascii="黑体" w:hAnsi="黑体" w:eastAsia="黑体" w:cs="Times New Roman"/>
          <w:sz w:val="44"/>
          <w:szCs w:val="44"/>
        </w:rPr>
      </w:pPr>
      <w:r>
        <w:rPr>
          <w:rFonts w:ascii="Times New Roman" w:hAnsi="Times New Roman" w:eastAsia="宋体" w:cs="Times New Roman"/>
        </w:rPr>
        <w:t>四、财政拨款收入支出决算总体情况说明...................................................................................5</w:t>
      </w:r>
    </w:p>
    <w:p>
      <w:pPr>
        <w:rPr>
          <w:rFonts w:ascii="黑体" w:hAnsi="黑体" w:eastAsia="黑体" w:cs="Times New Roman"/>
          <w:sz w:val="44"/>
          <w:szCs w:val="44"/>
        </w:rPr>
      </w:pPr>
      <w:r>
        <w:rPr>
          <w:rFonts w:ascii="Times New Roman" w:hAnsi="Times New Roman" w:eastAsia="宋体" w:cs="Times New Roman"/>
        </w:rPr>
        <w:t>五、一般公共预算财政拨款支出决算情况说明...........................................................................6</w:t>
      </w:r>
    </w:p>
    <w:p>
      <w:pPr>
        <w:rPr>
          <w:rFonts w:ascii="黑体" w:hAnsi="黑体" w:eastAsia="黑体" w:cs="Times New Roman"/>
          <w:sz w:val="44"/>
          <w:szCs w:val="44"/>
        </w:rPr>
      </w:pPr>
      <w:r>
        <w:rPr>
          <w:rFonts w:ascii="Times New Roman" w:hAnsi="Times New Roman" w:eastAsia="宋体" w:cs="Times New Roman"/>
        </w:rPr>
        <w:t>六、一般公共预算财政拨款基本支出决算情况说明..................................................................8</w:t>
      </w:r>
    </w:p>
    <w:p>
      <w:pPr>
        <w:rPr>
          <w:rFonts w:hint="eastAsia" w:ascii="黑体" w:hAnsi="黑体" w:eastAsia="宋体" w:cs="Times New Roman"/>
          <w:sz w:val="44"/>
          <w:szCs w:val="44"/>
          <w:lang w:eastAsia="zh-CN"/>
        </w:rPr>
      </w:pPr>
      <w:r>
        <w:rPr>
          <w:rFonts w:ascii="Times New Roman" w:hAnsi="Times New Roman" w:eastAsia="宋体" w:cs="Times New Roman"/>
        </w:rPr>
        <w:t>七、“三公”经费财政拨款支出决算情况说明...............................................................................</w:t>
      </w:r>
      <w:r>
        <w:rPr>
          <w:rFonts w:hint="eastAsia" w:ascii="Times New Roman" w:hAnsi="Times New Roman" w:eastAsia="宋体" w:cs="Times New Roman"/>
          <w:lang w:val="en-US" w:eastAsia="zh-CN"/>
        </w:rPr>
        <w:t>9</w:t>
      </w:r>
    </w:p>
    <w:p>
      <w:pPr>
        <w:rPr>
          <w:rFonts w:ascii="黑体" w:hAnsi="黑体" w:eastAsia="黑体" w:cs="Times New Roman"/>
          <w:sz w:val="44"/>
          <w:szCs w:val="44"/>
        </w:rPr>
      </w:pPr>
      <w:r>
        <w:rPr>
          <w:rFonts w:ascii="Times New Roman" w:hAnsi="Times New Roman" w:eastAsia="宋体" w:cs="Times New Roman"/>
        </w:rPr>
        <w:t>八、政府性基金预算支出决算情况说明......................................................................................9</w:t>
      </w:r>
    </w:p>
    <w:p>
      <w:pPr>
        <w:rPr>
          <w:rFonts w:ascii="黑体" w:hAnsi="黑体" w:eastAsia="黑体" w:cs="Times New Roman"/>
          <w:sz w:val="44"/>
          <w:szCs w:val="44"/>
        </w:rPr>
      </w:pPr>
      <w:r>
        <w:rPr>
          <w:rFonts w:ascii="Times New Roman" w:hAnsi="Times New Roman" w:eastAsia="宋体" w:cs="Times New Roman"/>
        </w:rPr>
        <w:t>九、国有资本经营预算支出决算情况说明..................................................................................9</w:t>
      </w:r>
    </w:p>
    <w:p>
      <w:pPr>
        <w:rPr>
          <w:rFonts w:ascii="黑体" w:hAnsi="黑体" w:eastAsia="黑体" w:cs="Times New Roman"/>
          <w:sz w:val="44"/>
          <w:szCs w:val="44"/>
        </w:rPr>
      </w:pPr>
      <w:r>
        <w:rPr>
          <w:rFonts w:ascii="Times New Roman" w:hAnsi="Times New Roman" w:eastAsia="宋体" w:cs="Times New Roman"/>
        </w:rPr>
        <w:t>十、其他重要事项的情况说明......................................................................................................9</w:t>
      </w:r>
    </w:p>
    <w:p>
      <w:pPr>
        <w:rPr>
          <w:rFonts w:ascii="黑体" w:hAnsi="黑体" w:eastAsia="黑体" w:cs="Times New Roman"/>
          <w:sz w:val="44"/>
          <w:szCs w:val="44"/>
        </w:rPr>
      </w:pPr>
      <w:r>
        <w:rPr>
          <w:rFonts w:ascii="Times New Roman" w:hAnsi="Times New Roman" w:eastAsia="宋体" w:cs="Times New Roman"/>
        </w:rPr>
        <w:t>第三部分 名词解释........................................................................................................................11</w:t>
      </w:r>
    </w:p>
    <w:p>
      <w:pPr>
        <w:rPr>
          <w:rFonts w:ascii="黑体" w:hAnsi="黑体" w:eastAsia="黑体" w:cs="Times New Roman"/>
          <w:sz w:val="44"/>
          <w:szCs w:val="44"/>
        </w:rPr>
      </w:pPr>
      <w:r>
        <w:rPr>
          <w:rFonts w:ascii="Times New Roman" w:hAnsi="Times New Roman" w:eastAsia="宋体" w:cs="Times New Roman"/>
        </w:rPr>
        <w:t>第四部分 附件................................................................................................................................14</w:t>
      </w:r>
    </w:p>
    <w:p>
      <w:pPr>
        <w:rPr>
          <w:rFonts w:ascii="黑体" w:hAnsi="黑体" w:eastAsia="黑体" w:cs="Times New Roman"/>
          <w:sz w:val="44"/>
          <w:szCs w:val="44"/>
        </w:rPr>
      </w:pPr>
      <w:r>
        <w:rPr>
          <w:rFonts w:ascii="Times New Roman" w:hAnsi="Times New Roman" w:eastAsia="宋体" w:cs="Times New Roman"/>
        </w:rPr>
        <w:t>第五部分 附表................................................................................................................................15</w:t>
      </w:r>
    </w:p>
    <w:p>
      <w:pPr>
        <w:rPr>
          <w:rFonts w:ascii="黑体" w:hAnsi="黑体" w:eastAsia="黑体" w:cs="Times New Roman"/>
          <w:sz w:val="44"/>
          <w:szCs w:val="44"/>
        </w:rPr>
      </w:pPr>
      <w:r>
        <w:rPr>
          <w:rFonts w:ascii="Times New Roman" w:hAnsi="Times New Roman" w:eastAsia="宋体" w:cs="Times New Roman"/>
        </w:rPr>
        <w:t>一、收入支出决算总表</w:t>
      </w:r>
    </w:p>
    <w:p>
      <w:pPr>
        <w:rPr>
          <w:rFonts w:ascii="黑体" w:hAnsi="黑体" w:eastAsia="黑体" w:cs="Times New Roman"/>
          <w:sz w:val="44"/>
          <w:szCs w:val="44"/>
        </w:rPr>
      </w:pPr>
      <w:r>
        <w:rPr>
          <w:rFonts w:ascii="Times New Roman" w:hAnsi="Times New Roman" w:eastAsia="宋体" w:cs="Times New Roman"/>
        </w:rPr>
        <w:t>二、收入决算表</w:t>
      </w:r>
    </w:p>
    <w:p>
      <w:pPr>
        <w:rPr>
          <w:rFonts w:ascii="黑体" w:hAnsi="黑体" w:eastAsia="黑体" w:cs="Times New Roman"/>
          <w:sz w:val="44"/>
          <w:szCs w:val="44"/>
        </w:rPr>
      </w:pPr>
      <w:r>
        <w:rPr>
          <w:rFonts w:ascii="Times New Roman" w:hAnsi="Times New Roman" w:eastAsia="宋体" w:cs="Times New Roman"/>
        </w:rPr>
        <w:t>三、支出决算表</w:t>
      </w:r>
    </w:p>
    <w:p>
      <w:pPr>
        <w:rPr>
          <w:rFonts w:ascii="黑体" w:hAnsi="黑体" w:eastAsia="黑体" w:cs="Times New Roman"/>
          <w:sz w:val="44"/>
          <w:szCs w:val="44"/>
        </w:rPr>
      </w:pPr>
      <w:r>
        <w:rPr>
          <w:rFonts w:ascii="Times New Roman" w:hAnsi="Times New Roman" w:eastAsia="宋体" w:cs="Times New Roman"/>
        </w:rPr>
        <w:t>四、财政拨款收入支出决算总表</w:t>
      </w:r>
    </w:p>
    <w:p>
      <w:pPr>
        <w:rPr>
          <w:rFonts w:ascii="黑体" w:hAnsi="黑体" w:eastAsia="黑体" w:cs="Times New Roman"/>
          <w:sz w:val="44"/>
          <w:szCs w:val="44"/>
        </w:rPr>
      </w:pPr>
      <w:r>
        <w:rPr>
          <w:rFonts w:ascii="Times New Roman" w:hAnsi="Times New Roman" w:eastAsia="宋体" w:cs="Times New Roman"/>
        </w:rPr>
        <w:t>五、财政拨款支出决算明细表</w:t>
      </w:r>
    </w:p>
    <w:p>
      <w:pPr>
        <w:rPr>
          <w:rFonts w:ascii="黑体" w:hAnsi="黑体" w:eastAsia="黑体" w:cs="Times New Roman"/>
          <w:sz w:val="44"/>
          <w:szCs w:val="44"/>
        </w:rPr>
      </w:pPr>
      <w:r>
        <w:rPr>
          <w:rFonts w:ascii="Times New Roman" w:hAnsi="Times New Roman" w:eastAsia="宋体" w:cs="Times New Roman"/>
        </w:rPr>
        <w:t>六、一般公共预算财政拨款支出决算表</w:t>
      </w:r>
    </w:p>
    <w:p>
      <w:pPr>
        <w:rPr>
          <w:rFonts w:ascii="黑体" w:hAnsi="黑体" w:eastAsia="黑体" w:cs="Times New Roman"/>
          <w:sz w:val="44"/>
          <w:szCs w:val="44"/>
        </w:rPr>
      </w:pPr>
      <w:r>
        <w:rPr>
          <w:rFonts w:ascii="Times New Roman" w:hAnsi="Times New Roman" w:eastAsia="宋体" w:cs="Times New Roman"/>
        </w:rPr>
        <w:t>七、一般公共预算财政拨款支出决算明细表</w:t>
      </w:r>
    </w:p>
    <w:p>
      <w:pPr>
        <w:rPr>
          <w:rFonts w:ascii="黑体" w:hAnsi="黑体" w:eastAsia="黑体" w:cs="Times New Roman"/>
          <w:sz w:val="44"/>
          <w:szCs w:val="44"/>
        </w:rPr>
      </w:pPr>
      <w:r>
        <w:rPr>
          <w:rFonts w:ascii="Times New Roman" w:hAnsi="Times New Roman" w:eastAsia="宋体" w:cs="Times New Roman"/>
        </w:rPr>
        <w:t>八、一般公共预算财政拨款基本支出决算表</w:t>
      </w:r>
    </w:p>
    <w:p>
      <w:pPr>
        <w:rPr>
          <w:rFonts w:ascii="黑体" w:hAnsi="黑体" w:eastAsia="黑体" w:cs="Times New Roman"/>
          <w:sz w:val="44"/>
          <w:szCs w:val="44"/>
        </w:rPr>
      </w:pPr>
      <w:r>
        <w:rPr>
          <w:rFonts w:ascii="Times New Roman" w:hAnsi="Times New Roman" w:eastAsia="宋体" w:cs="Times New Roman"/>
        </w:rPr>
        <w:t>九、一般公共预算财政拨款项目支出决算表</w:t>
      </w:r>
    </w:p>
    <w:p>
      <w:pPr>
        <w:rPr>
          <w:rFonts w:ascii="黑体" w:hAnsi="黑体" w:eastAsia="黑体" w:cs="Times New Roman"/>
          <w:sz w:val="44"/>
          <w:szCs w:val="44"/>
        </w:rPr>
      </w:pPr>
      <w:r>
        <w:rPr>
          <w:rFonts w:ascii="Times New Roman" w:hAnsi="Times New Roman" w:eastAsia="宋体" w:cs="Times New Roman"/>
        </w:rPr>
        <w:t>十、一般公共预算财政拨款“三公”经费支出决算表</w:t>
      </w:r>
    </w:p>
    <w:p>
      <w:pPr>
        <w:rPr>
          <w:rFonts w:ascii="黑体" w:hAnsi="黑体" w:eastAsia="黑体" w:cs="Times New Roman"/>
          <w:sz w:val="44"/>
          <w:szCs w:val="44"/>
        </w:rPr>
      </w:pPr>
      <w:r>
        <w:rPr>
          <w:rFonts w:ascii="Times New Roman" w:hAnsi="Times New Roman" w:eastAsia="宋体" w:cs="Times New Roman"/>
        </w:rPr>
        <w:t>十一、政府性基金预算财政拨款收入支出决算表</w:t>
      </w:r>
    </w:p>
    <w:p>
      <w:pPr>
        <w:rPr>
          <w:rFonts w:ascii="黑体" w:hAnsi="黑体" w:eastAsia="黑体" w:cs="Times New Roman"/>
          <w:sz w:val="44"/>
          <w:szCs w:val="44"/>
        </w:rPr>
      </w:pPr>
      <w:r>
        <w:rPr>
          <w:rFonts w:ascii="Times New Roman" w:hAnsi="Times New Roman" w:eastAsia="宋体" w:cs="Times New Roman"/>
        </w:rPr>
        <w:t>十二、政府性基金预算财政拨款“三公”经费支出决算表</w:t>
      </w:r>
    </w:p>
    <w:p>
      <w:pPr>
        <w:rPr>
          <w:rFonts w:ascii="黑体" w:hAnsi="黑体" w:eastAsia="黑体" w:cs="Times New Roman"/>
          <w:sz w:val="44"/>
          <w:szCs w:val="44"/>
        </w:rPr>
      </w:pPr>
      <w:r>
        <w:rPr>
          <w:rFonts w:ascii="Times New Roman" w:hAnsi="Times New Roman" w:eastAsia="宋体" w:cs="Times New Roman"/>
        </w:rPr>
        <w:t>十三、国有资本经营预算财政拨款收入支出决算表</w:t>
      </w:r>
    </w:p>
    <w:p>
      <w:pPr>
        <w:rPr>
          <w:rFonts w:ascii="黑体" w:hAnsi="黑体" w:eastAsia="黑体"/>
          <w:sz w:val="44"/>
          <w:szCs w:val="44"/>
        </w:rPr>
        <w:sectPr>
          <w:footerReference r:id="rId3" w:type="default"/>
          <w:pgSz w:w="11906" w:h="16838"/>
          <w:pgMar w:top="1701" w:right="1587" w:bottom="1701" w:left="1587" w:header="0" w:footer="992" w:gutter="0"/>
          <w:pgNumType w:start="1"/>
          <w:cols w:space="720" w:num="1"/>
          <w:formProt w:val="0"/>
          <w:docGrid w:type="lines" w:linePitch="312" w:charSpace="43007"/>
        </w:sectPr>
      </w:pPr>
      <w:r>
        <w:rPr>
          <w:rFonts w:ascii="Times New Roman" w:hAnsi="Times New Roman" w:eastAsia="宋体" w:cs="Times New Roman"/>
        </w:rPr>
        <w:t>十四、国有资本经营预算财政拨款支出决算表</w:t>
      </w:r>
    </w:p>
    <w:p>
      <w:pPr>
        <w:keepNext/>
        <w:keepLines/>
        <w:widowControl w:val="0"/>
        <w:spacing w:before="340" w:after="330" w:line="578" w:lineRule="auto"/>
        <w:jc w:val="center"/>
        <w:outlineLvl w:val="0"/>
        <w:rPr>
          <w:rFonts w:ascii="黑体" w:hAnsi="黑体" w:eastAsia="黑体" w:cs="Times New Roman"/>
          <w:b/>
          <w:bCs w:val="0"/>
          <w:kern w:val="2"/>
          <w:sz w:val="44"/>
          <w:szCs w:val="44"/>
          <w:lang w:val="en-US" w:eastAsia="zh-CN" w:bidi="hi-IN"/>
        </w:rPr>
      </w:pPr>
      <w:r>
        <w:rPr>
          <w:rFonts w:ascii="方正小标宋_GBK" w:hAnsi="方正小标宋_GBK" w:eastAsia="方正小标宋_GBK" w:cs="方正小标宋_GBK"/>
          <w:b w:val="0"/>
          <w:bCs/>
          <w:color w:val="000000"/>
          <w:kern w:val="2"/>
          <w:sz w:val="44"/>
          <w:szCs w:val="44"/>
          <w:lang w:val="en-US" w:eastAsia="zh-CN" w:bidi="hi-IN"/>
        </w:rPr>
        <w:t>第一部分  单位</w:t>
      </w:r>
      <w:r>
        <w:rPr>
          <w:rFonts w:ascii="方正小标宋_GBK" w:hAnsi="方正小标宋_GBK" w:eastAsia="方正小标宋_GBK" w:cs="方正小标宋_GBK"/>
          <w:b w:val="0"/>
          <w:bCs w:val="0"/>
          <w:color w:val="000000"/>
          <w:kern w:val="2"/>
          <w:sz w:val="44"/>
          <w:szCs w:val="44"/>
          <w:lang w:val="en-US" w:eastAsia="zh-CN" w:bidi="hi-IN"/>
        </w:rPr>
        <w:t>概况</w:t>
      </w:r>
      <w:bookmarkEnd w:id="12"/>
      <w:bookmarkEnd w:id="13"/>
    </w:p>
    <w:p>
      <w:pPr>
        <w:widowControl/>
        <w:jc w:val="left"/>
        <w:rPr>
          <w:rFonts w:ascii="黑体" w:hAnsi="Times New Roman" w:eastAsia="黑体" w:cs="Times New Roman"/>
          <w:sz w:val="32"/>
          <w:szCs w:val="32"/>
        </w:rPr>
      </w:pPr>
    </w:p>
    <w:p>
      <w:pPr>
        <w:spacing w:line="600" w:lineRule="exact"/>
        <w:ind w:firstLine="640" w:firstLineChars="200"/>
        <w:rPr>
          <w:rFonts w:ascii="黑体" w:hAnsi="黑体" w:eastAsia="黑体" w:cs="黑体"/>
          <w:b w:val="0"/>
          <w:bCs w:val="0"/>
          <w:color w:val="000000"/>
        </w:rPr>
      </w:pPr>
      <w:bookmarkStart w:id="14" w:name="_Toc15377197"/>
      <w:bookmarkStart w:id="15" w:name="_Toc15396600"/>
      <w:r>
        <w:rPr>
          <w:rFonts w:ascii="黑体" w:hAnsi="黑体" w:eastAsia="黑体" w:cs="黑体"/>
          <w:color w:val="000000"/>
          <w:sz w:val="32"/>
          <w:szCs w:val="32"/>
        </w:rPr>
        <w:t>一、</w:t>
      </w:r>
      <w:r>
        <w:rPr>
          <w:rFonts w:ascii="黑体" w:hAnsi="黑体" w:eastAsia="黑体" w:cs="黑体"/>
          <w:b w:val="0"/>
          <w:bCs w:val="0"/>
          <w:color w:val="000000"/>
          <w:sz w:val="32"/>
          <w:szCs w:val="32"/>
        </w:rPr>
        <w:t>职能简介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司法厅机关服务中心根据省机构编制委员会文件《关于设立省司法厅机关服务中心的批复意见》和司法厅党委会议精神设置，为厅属事业编制，负责机关车辆、通讯、文印、物业管理等服务保障工作;承担机关委托的事务性工作和机关交其使用的固定资产的管理及经营性资产的经营管理工作等。</w:t>
      </w:r>
    </w:p>
    <w:bookmarkEnd w:id="14"/>
    <w:bookmarkEnd w:id="15"/>
    <w:p>
      <w:pPr>
        <w:widowControl w:val="0"/>
        <w:snapToGrid w:val="0"/>
        <w:spacing w:line="600" w:lineRule="exact"/>
        <w:ind w:firstLine="640" w:firstLineChars="200"/>
        <w:jc w:val="both"/>
        <w:outlineLvl w:val="2"/>
        <w:rPr>
          <w:rFonts w:ascii="楷体_GB2312" w:hAnsi="楷体_GB2312" w:eastAsia="楷体_GB2312" w:cs="楷体_GB2312"/>
          <w:bCs/>
          <w:color w:val="000000"/>
          <w:kern w:val="0"/>
          <w:sz w:val="32"/>
          <w:szCs w:val="32"/>
          <w:lang w:val="en-US" w:eastAsia="zh-CN" w:bidi="ar-SA"/>
        </w:rPr>
      </w:pPr>
      <w:r>
        <w:rPr>
          <w:rFonts w:ascii="黑体" w:hAnsi="黑体" w:eastAsia="黑体" w:cs="黑体"/>
          <w:color w:val="000000"/>
          <w:kern w:val="0"/>
          <w:sz w:val="32"/>
          <w:szCs w:val="32"/>
          <w:lang w:val="en-US" w:eastAsia="zh-CN" w:bidi="ar-SA"/>
        </w:rPr>
        <w:t>二、</w:t>
      </w:r>
      <w:r>
        <w:rPr>
          <w:rFonts w:ascii="楷体_GB2312" w:hAnsi="楷体_GB2312" w:eastAsia="楷体_GB2312" w:cs="楷体_GB2312"/>
          <w:bCs/>
          <w:color w:val="000000"/>
          <w:kern w:val="0"/>
          <w:sz w:val="32"/>
          <w:szCs w:val="32"/>
          <w:lang w:val="en-US" w:eastAsia="zh-CN" w:bidi="ar-SA"/>
        </w:rPr>
        <w:t>2021年重点工作完成情况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年，在厅党委的坚强领导下，在各部门的大力支持下，服务中心全体干部职工奋力向上，坚持以党的十九届五中、六中全会精神为指导，认真学习贯彻习近平新时代中国特色社会主义思想、省委十一届十次会议精神、唐一军部长来川调研、清华书记视察讲话精神，紧紧围绕建党100周年重要政治任务，严格执行常态化精准防控措施，机关服务保障和安全工作等均取得了较好成绩。一年来，成功创建省直“公共机构节水型单位”，荣获成都市“节水工作先进单位”，被授予“安全生产先进集体”，2人荣获“安全生产先进个人”，1人评为“教育整顿学习标兵”。</w:t>
      </w:r>
    </w:p>
    <w:p>
      <w:pPr>
        <w:spacing w:line="600" w:lineRule="exact"/>
        <w:ind w:firstLine="643" w:firstLineChars="200"/>
        <w:rPr>
          <w:rFonts w:ascii="CESI宋体-GB2312" w:hAnsi="CESI宋体-GB2312" w:eastAsia="黑体" w:cs="黑体"/>
          <w:sz w:val="32"/>
          <w:szCs w:val="32"/>
        </w:rPr>
      </w:pPr>
      <w:r>
        <w:rPr>
          <w:rFonts w:ascii="楷体_GB2312" w:hAnsi="楷体_GB2312" w:eastAsia="楷体_GB2312" w:cs="楷体_GB2312"/>
          <w:b/>
          <w:bCs/>
          <w:color w:val="000000"/>
          <w:sz w:val="32"/>
          <w:szCs w:val="32"/>
        </w:rPr>
        <w:t>（一）</w:t>
      </w:r>
      <w:r>
        <w:rPr>
          <w:rFonts w:hint="eastAsia" w:ascii="CESI宋体-GB2312" w:hAnsi="CESI宋体-GB2312" w:eastAsia="黑体" w:cs="黑体"/>
          <w:sz w:val="32"/>
          <w:szCs w:val="32"/>
        </w:rPr>
        <w:t>坚持政治引领，全面提升党建水平</w:t>
      </w:r>
    </w:p>
    <w:p>
      <w:pPr>
        <w:widowControl/>
        <w:spacing w:line="240" w:lineRule="auto"/>
        <w:ind w:firstLine="0" w:firstLineChars="0"/>
        <w:jc w:val="left"/>
        <w:rPr>
          <w:rFonts w:ascii="CESI宋体-GB2312" w:hAnsi="CESI宋体-GB2312" w:eastAsia="仿宋_GB2312" w:cs="仿宋_GB2312"/>
          <w:sz w:val="32"/>
          <w:szCs w:val="32"/>
          <w:shd w:val="clear" w:color="auto" w:fill="FFFFFF"/>
        </w:rPr>
      </w:pPr>
      <w:r>
        <w:rPr>
          <w:rFonts w:hint="eastAsia" w:ascii="CESI宋体-GB2312" w:hAnsi="CESI宋体-GB2312" w:eastAsia="仿宋_GB2312" w:cs="仿宋_GB2312"/>
          <w:sz w:val="32"/>
          <w:szCs w:val="32"/>
        </w:rPr>
        <w:t>始终把政治建设摆在首位，坚持用党建质量检验工作成效，支部建设</w:t>
      </w:r>
      <w:r>
        <w:rPr>
          <w:rFonts w:hint="eastAsia" w:ascii="CESI宋体-GB2312" w:hAnsi="CESI宋体-GB2312" w:eastAsia="仿宋_GB2312" w:cs="仿宋_GB2312"/>
          <w:sz w:val="32"/>
          <w:szCs w:val="32"/>
          <w:shd w:val="clear" w:color="auto" w:fill="FFFFFF"/>
        </w:rPr>
        <w:t>基础得到进一步夯实。</w:t>
      </w:r>
      <w:r>
        <w:rPr>
          <w:rFonts w:hint="eastAsia" w:ascii="CESI宋体-GB2312" w:hAnsi="CESI宋体-GB2312" w:eastAsia="CESI仿宋-GB2312" w:cs="CESI仿宋-GB2312"/>
          <w:sz w:val="32"/>
          <w:szCs w:val="32"/>
        </w:rPr>
        <w:t>将党史</w:t>
      </w:r>
      <w:r>
        <w:rPr>
          <w:rFonts w:hint="default" w:ascii="CESI宋体-GB2312" w:hAnsi="CESI宋体-GB2312" w:eastAsia="CESI仿宋-GB2312" w:cs="CESI仿宋-GB2312"/>
          <w:sz w:val="32"/>
          <w:szCs w:val="32"/>
        </w:rPr>
        <w:t>学习</w:t>
      </w:r>
      <w:r>
        <w:rPr>
          <w:rFonts w:hint="eastAsia" w:ascii="CESI宋体-GB2312" w:hAnsi="CESI宋体-GB2312" w:eastAsia="CESI仿宋-GB2312" w:cs="CESI仿宋-GB2312"/>
          <w:sz w:val="32"/>
          <w:szCs w:val="32"/>
        </w:rPr>
        <w:t>教育及习近平</w:t>
      </w:r>
      <w:r>
        <w:rPr>
          <w:rFonts w:hint="default" w:ascii="CESI宋体-GB2312" w:hAnsi="CESI宋体-GB2312" w:eastAsia="CESI仿宋-GB2312" w:cs="CESI仿宋-GB2312"/>
          <w:sz w:val="32"/>
          <w:szCs w:val="32"/>
        </w:rPr>
        <w:t>总书记</w:t>
      </w:r>
      <w:r>
        <w:rPr>
          <w:rFonts w:hint="eastAsia" w:ascii="CESI宋体-GB2312" w:hAnsi="CESI宋体-GB2312" w:eastAsia="CESI仿宋-GB2312" w:cs="CESI仿宋-GB2312"/>
          <w:sz w:val="32"/>
          <w:szCs w:val="32"/>
        </w:rPr>
        <w:t>在庆祝中国共产党成立100周年上的</w:t>
      </w:r>
      <w:r>
        <w:rPr>
          <w:rFonts w:hint="default" w:ascii="CESI宋体-GB2312" w:hAnsi="CESI宋体-GB2312" w:eastAsia="CESI仿宋-GB2312" w:cs="CESI仿宋-GB2312"/>
          <w:sz w:val="32"/>
          <w:szCs w:val="32"/>
        </w:rPr>
        <w:t>重要</w:t>
      </w:r>
      <w:r>
        <w:rPr>
          <w:rFonts w:hint="eastAsia" w:ascii="CESI宋体-GB2312" w:hAnsi="CESI宋体-GB2312" w:eastAsia="CESI仿宋-GB2312" w:cs="CESI仿宋-GB2312"/>
          <w:sz w:val="32"/>
          <w:szCs w:val="32"/>
        </w:rPr>
        <w:t>讲话精神贯穿全年教育主线，严格落实“三会一课”制度，开展专题组织生活4次，集体学习40次；</w:t>
      </w:r>
      <w:r>
        <w:rPr>
          <w:rFonts w:hint="eastAsia" w:ascii="CESI宋体-GB2312" w:hAnsi="CESI宋体-GB2312" w:eastAsia="仿宋_GB2312" w:cs="仿宋_GB2312"/>
          <w:sz w:val="32"/>
          <w:szCs w:val="32"/>
          <w:shd w:val="clear" w:color="auto" w:fill="FFFFFF"/>
        </w:rPr>
        <w:t>深入学习习近平法治思想，强化法治思想能力，推动学习教育走深走实；深入</w:t>
      </w:r>
      <w:r>
        <w:rPr>
          <w:rFonts w:hint="eastAsia" w:ascii="CESI仿宋-GB2312" w:hAnsi="CESI仿宋-GB2312" w:eastAsia="CESI仿宋-GB2312" w:cs="CESI仿宋-GB2312"/>
          <w:i w:val="0"/>
          <w:iCs w:val="0"/>
          <w:caps w:val="0"/>
          <w:color w:val="auto"/>
          <w:spacing w:val="0"/>
          <w:kern w:val="0"/>
          <w:sz w:val="32"/>
          <w:szCs w:val="32"/>
          <w:shd w:val="clear" w:fill="FFFFFF"/>
          <w:lang w:val="en-US" w:eastAsia="zh-CN" w:bidi="ar"/>
        </w:rPr>
        <w:t>学习贯彻习近平总书记关于注重家庭家教家风建设的重要论述</w:t>
      </w:r>
      <w:r>
        <w:rPr>
          <w:rFonts w:hint="eastAsia" w:ascii="CESI宋体-GB2312" w:hAnsi="CESI宋体-GB2312" w:eastAsia="仿宋_GB2312" w:cs="仿宋_GB2312"/>
          <w:sz w:val="32"/>
          <w:szCs w:val="32"/>
          <w:shd w:val="clear" w:color="auto" w:fill="FFFFFF"/>
        </w:rPr>
        <w:t>，明确家国关系，重塑担当意识。深入学习国史、社会主义发展史、改革开放史，全面了解国家从成立、发展到壮大的艰辛历程，从而坚定理想信念；</w:t>
      </w:r>
      <w:r>
        <w:rPr>
          <w:rFonts w:hint="eastAsia" w:ascii="CESI宋体-GB2312" w:hAnsi="CESI宋体-GB2312" w:eastAsia="仿宋_GB2312" w:cs="仿宋_GB2312"/>
          <w:sz w:val="32"/>
          <w:szCs w:val="32"/>
        </w:rPr>
        <w:t>将党建工作与业务工作同谋划、同部署、同落实，年初定计划，年中有检查，年底有考核；用主题党日推进党建工作、强化阵地建设、促进业务落地。</w:t>
      </w:r>
      <w:r>
        <w:rPr>
          <w:rFonts w:hint="eastAsia" w:ascii="CESI宋体-GB2312" w:hAnsi="CESI宋体-GB2312" w:eastAsia="CESI仿宋-GB2312" w:cs="CESI仿宋-GB2312"/>
          <w:sz w:val="32"/>
          <w:szCs w:val="32"/>
        </w:rPr>
        <w:t>认真</w:t>
      </w:r>
      <w:r>
        <w:rPr>
          <w:rFonts w:hint="eastAsia" w:ascii="CESI宋体-GB2312" w:hAnsi="CESI宋体-GB2312" w:eastAsia="仿宋_GB2312" w:cs="仿宋_GB2312"/>
          <w:sz w:val="32"/>
          <w:szCs w:val="32"/>
        </w:rPr>
        <w:t>落实党风廉政建设责任制，把廉政风险防控与业务工作有机结合，坚持廉政工作与业务工作同步抓。</w:t>
      </w:r>
    </w:p>
    <w:p>
      <w:pPr>
        <w:spacing w:line="600" w:lineRule="exact"/>
        <w:ind w:firstLine="643" w:firstLineChars="200"/>
        <w:jc w:val="left"/>
        <w:rPr>
          <w:rFonts w:ascii="CESI宋体-GB2312" w:hAnsi="CESI宋体-GB2312" w:eastAsia="黑体" w:cs="黑体"/>
          <w:sz w:val="32"/>
          <w:szCs w:val="32"/>
        </w:rPr>
      </w:pPr>
      <w:r>
        <w:rPr>
          <w:rFonts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二</w:t>
      </w:r>
      <w:r>
        <w:rPr>
          <w:rFonts w:ascii="楷体_GB2312" w:hAnsi="楷体_GB2312" w:eastAsia="楷体_GB2312" w:cs="楷体_GB2312"/>
          <w:b/>
          <w:bCs/>
          <w:color w:val="000000"/>
          <w:sz w:val="32"/>
          <w:szCs w:val="32"/>
        </w:rPr>
        <w:t>）</w:t>
      </w:r>
      <w:r>
        <w:rPr>
          <w:rFonts w:hint="eastAsia" w:ascii="CESI宋体-GB2312" w:hAnsi="CESI宋体-GB2312" w:eastAsia="黑体" w:cs="黑体"/>
          <w:sz w:val="32"/>
          <w:szCs w:val="32"/>
        </w:rPr>
        <w:t>坚持质效合一，不断提升服务保障效能</w:t>
      </w:r>
    </w:p>
    <w:p>
      <w:pPr>
        <w:spacing w:line="600" w:lineRule="exact"/>
        <w:ind w:firstLine="640" w:firstLineChars="200"/>
        <w:jc w:val="left"/>
        <w:rPr>
          <w:rFonts w:hint="eastAsia" w:ascii="CESI宋体-GB2312" w:hAnsi="CESI宋体-GB2312" w:eastAsia="仿宋_GB2312" w:cs="Times New Roman"/>
          <w:sz w:val="32"/>
          <w:szCs w:val="32"/>
        </w:rPr>
      </w:pPr>
      <w:r>
        <w:rPr>
          <w:rFonts w:hint="eastAsia" w:ascii="CESI宋体-GB2312" w:hAnsi="CESI宋体-GB2312" w:eastAsia="仿宋_GB2312" w:cs="仿宋_GB2312"/>
          <w:sz w:val="32"/>
          <w:szCs w:val="32"/>
        </w:rPr>
        <w:t>坚持常态化疫情防控不放松，修订完善《厅机关疫情防控应急处置方案》，进一步明确应急方式和防控责任，将单位和个人责任区分到位；及时印发《社区明白卡》《单位明白卡》，让干部职工学会正确应对处置红、黄码，密切关注动态疫情，及时预警提示，坚决杜绝麻痹思想，堵塞防控漏洞；减少人员接触和流</w:t>
      </w:r>
      <w:r>
        <w:rPr>
          <w:rFonts w:hint="default" w:ascii="CESI宋体-GB2312" w:hAnsi="CESI宋体-GB2312" w:eastAsia="仿宋_GB2312" w:cs="仿宋_GB2312"/>
          <w:sz w:val="32"/>
          <w:szCs w:val="32"/>
        </w:rPr>
        <w:t>动</w:t>
      </w:r>
      <w:r>
        <w:rPr>
          <w:rFonts w:hint="eastAsia" w:ascii="CESI宋体-GB2312" w:hAnsi="CESI宋体-GB2312" w:eastAsia="仿宋_GB2312" w:cs="仿宋_GB2312"/>
          <w:sz w:val="32"/>
          <w:szCs w:val="32"/>
        </w:rPr>
        <w:t>，定时消杀消毒，严格人员车辆进出排查，及时查补防控短板，厅机关未出现一例感染病例。</w:t>
      </w:r>
      <w:r>
        <w:rPr>
          <w:rFonts w:hint="eastAsia" w:ascii="CESI宋体-GB2312" w:hAnsi="CESI宋体-GB2312" w:eastAsia="仿宋_GB2312" w:cs="仿宋_GB2312"/>
          <w:sz w:val="32"/>
          <w:szCs w:val="32"/>
          <w:shd w:val="clear" w:color="auto" w:fill="FFFFFF"/>
        </w:rPr>
        <w:t>通过修订完善《驾驶员安全管理规定（试行）》进一步规范驾驶员及用车人行为准则，明确职责范围和安全责任，将责任到岗到人，不留空档；严格执行</w:t>
      </w:r>
      <w:r>
        <w:rPr>
          <w:rFonts w:hint="eastAsia" w:ascii="CESI宋体-GB2312" w:hAnsi="CESI宋体-GB2312" w:eastAsia="仿宋_GB2312" w:cs="仿宋_GB2312"/>
          <w:sz w:val="32"/>
          <w:szCs w:val="32"/>
        </w:rPr>
        <w:t>油料管理、保险费税、维修保障等制度，在公务用车、运行、保养、安全等重要环节强化监管，盯住责任，提升水平。圆满完成基层普法、乡村振兴等多项重要公务保障</w:t>
      </w:r>
      <w:r>
        <w:rPr>
          <w:rFonts w:hint="eastAsia" w:ascii="CESI宋体-GB2312" w:hAnsi="CESI宋体-GB2312" w:eastAsia="仿宋_GB2312" w:cs="Times New Roman"/>
          <w:sz w:val="32"/>
          <w:szCs w:val="32"/>
        </w:rPr>
        <w:t>任务</w:t>
      </w:r>
      <w:r>
        <w:rPr>
          <w:rFonts w:hint="eastAsia" w:ascii="CESI宋体-GB2312" w:hAnsi="CESI宋体-GB2312" w:eastAsia="仿宋_GB2312" w:cs="仿宋_GB2312"/>
          <w:sz w:val="32"/>
          <w:szCs w:val="32"/>
        </w:rPr>
        <w:t>。</w:t>
      </w:r>
      <w:r>
        <w:rPr>
          <w:rFonts w:hint="eastAsia" w:ascii="CESI宋体-GB2312" w:hAnsi="CESI宋体-GB2312" w:eastAsia="仿宋_GB2312" w:cs="Times New Roman"/>
          <w:sz w:val="32"/>
          <w:szCs w:val="32"/>
        </w:rPr>
        <w:t>协调电信、电力等部门做好厅机关日常保障和其他保障工作</w:t>
      </w:r>
      <w:r>
        <w:rPr>
          <w:rFonts w:hint="eastAsia" w:ascii="CESI宋体-GB2312" w:hAnsi="CESI宋体-GB2312" w:eastAsia="仿宋_GB2312" w:cs="仿宋_GB2312"/>
          <w:sz w:val="32"/>
          <w:szCs w:val="32"/>
        </w:rPr>
        <w:t>。通过“11.9”消防宣传活动，进一步提高干部职工消防意识；持续实施《安全生产专项整治三年行动工作实施方案》；安排专人定期排查隐患，协调消防人员专业排查，确保消防安全。</w:t>
      </w:r>
      <w:r>
        <w:rPr>
          <w:rFonts w:hint="eastAsia" w:ascii="CESI宋体-GB2312" w:hAnsi="CESI宋体-GB2312" w:eastAsia="仿宋" w:cs="仿宋"/>
          <w:sz w:val="32"/>
          <w:szCs w:val="32"/>
        </w:rPr>
        <w:t>围绕“节能降碳、绿色发展”主题，</w:t>
      </w:r>
      <w:r>
        <w:rPr>
          <w:rFonts w:hint="eastAsia" w:ascii="CESI宋体-GB2312" w:hAnsi="CESI宋体-GB2312" w:eastAsia="仿宋_GB2312" w:cs="仿宋_GB2312"/>
          <w:sz w:val="32"/>
          <w:szCs w:val="32"/>
        </w:rPr>
        <w:t>定向研制《司法厅节约型机关创建服务工作及实施方案》；开展节能宣传，</w:t>
      </w:r>
      <w:r>
        <w:rPr>
          <w:rFonts w:hint="eastAsia" w:ascii="CESI宋体-GB2312" w:hAnsi="CESI宋体-GB2312" w:eastAsia="CESI仿宋-GB2312" w:cs="CESI仿宋-GB2312"/>
          <w:sz w:val="32"/>
          <w:szCs w:val="32"/>
        </w:rPr>
        <w:t>号召干部职工自觉践行公共交通出行，引导形成简约适度、绿色低碳的工作生活方式</w:t>
      </w:r>
      <w:r>
        <w:rPr>
          <w:rFonts w:hint="eastAsia" w:ascii="CESI宋体-GB2312" w:hAnsi="CESI宋体-GB2312" w:eastAsia="仿宋_GB2312" w:cs="Times New Roman"/>
          <w:sz w:val="32"/>
          <w:szCs w:val="32"/>
        </w:rPr>
        <w:t>。</w:t>
      </w:r>
    </w:p>
    <w:p>
      <w:pPr>
        <w:spacing w:line="600" w:lineRule="exact"/>
        <w:ind w:firstLine="640" w:firstLineChars="200"/>
        <w:rPr>
          <w:rFonts w:hint="eastAsia" w:ascii="黑体" w:hAnsi="黑体" w:eastAsia="黑体" w:cs="黑体"/>
          <w:b w:val="0"/>
          <w:bCs w:val="0"/>
          <w:color w:val="000000"/>
          <w:lang w:eastAsia="zh-CN"/>
        </w:rPr>
      </w:pPr>
      <w:r>
        <w:rPr>
          <w:rFonts w:hint="eastAsia" w:ascii="黑体" w:hAnsi="黑体" w:eastAsia="黑体" w:cs="黑体"/>
          <w:color w:val="000000"/>
          <w:sz w:val="32"/>
          <w:szCs w:val="32"/>
          <w:lang w:eastAsia="zh-CN"/>
        </w:rPr>
        <w:t>三</w:t>
      </w:r>
      <w:r>
        <w:rPr>
          <w:rFonts w:ascii="黑体" w:hAnsi="黑体" w:eastAsia="黑体" w:cs="黑体"/>
          <w:color w:val="000000"/>
          <w:sz w:val="32"/>
          <w:szCs w:val="32"/>
        </w:rPr>
        <w:t>、</w:t>
      </w:r>
      <w:r>
        <w:rPr>
          <w:rFonts w:hint="eastAsia" w:ascii="黑体" w:hAnsi="黑体" w:eastAsia="黑体" w:cs="黑体"/>
          <w:color w:val="000000"/>
          <w:sz w:val="32"/>
          <w:szCs w:val="32"/>
          <w:lang w:eastAsia="zh-CN"/>
        </w:rPr>
        <w:t>机构设置情况</w:t>
      </w:r>
      <w:bookmarkStart w:id="67" w:name="_GoBack"/>
      <w:bookmarkEnd w:id="67"/>
    </w:p>
    <w:p>
      <w:pPr>
        <w:widowControl w:val="0"/>
        <w:ind w:firstLine="960" w:firstLineChars="300"/>
        <w:jc w:val="both"/>
        <w:rPr>
          <w:rFonts w:hint="eastAsia" w:ascii="仿宋_GB2312" w:hAnsi="仿宋_GB2312" w:eastAsia="仿宋_GB2312" w:cs="Times New Roman"/>
          <w:kern w:val="0"/>
          <w:sz w:val="30"/>
          <w:szCs w:val="24"/>
          <w:lang w:val="en-US" w:eastAsia="zh-CN" w:bidi="ar-SA"/>
        </w:rPr>
      </w:pPr>
      <w:r>
        <w:rPr>
          <w:rFonts w:hint="eastAsia" w:ascii="仿宋_GB2312" w:hAnsi="仿宋_GB2312" w:eastAsia="仿宋_GB2312" w:cs="仿宋_GB2312"/>
          <w:kern w:val="0"/>
          <w:sz w:val="32"/>
          <w:szCs w:val="32"/>
          <w:lang w:val="en-US" w:eastAsia="zh-CN" w:bidi="ar-SA"/>
        </w:rPr>
        <w:t>四川省司法厅机关服务中心为四川省司法厅二级预算单位，无内设机构。</w:t>
      </w:r>
    </w:p>
    <w:p>
      <w:pPr>
        <w:widowControl w:val="0"/>
        <w:jc w:val="both"/>
        <w:rPr>
          <w:rFonts w:ascii="仿宋_GB2312" w:hAnsi="仿宋_GB2312" w:eastAsia="仿宋_GB2312" w:cs="Times New Roman"/>
          <w:kern w:val="0"/>
          <w:sz w:val="30"/>
          <w:szCs w:val="24"/>
          <w:lang w:val="en-US" w:eastAsia="zh-CN" w:bidi="ar-SA"/>
        </w:rPr>
      </w:pPr>
    </w:p>
    <w:p>
      <w:pPr>
        <w:widowControl w:val="0"/>
        <w:jc w:val="both"/>
        <w:rPr>
          <w:rFonts w:ascii="仿宋_GB2312" w:hAnsi="仿宋_GB2312" w:eastAsia="仿宋_GB2312" w:cs="Times New Roman"/>
          <w:kern w:val="0"/>
          <w:sz w:val="30"/>
          <w:szCs w:val="24"/>
          <w:lang w:val="en-US" w:eastAsia="zh-CN" w:bidi="ar-SA"/>
        </w:rPr>
      </w:pPr>
    </w:p>
    <w:p>
      <w:pPr>
        <w:widowControl w:val="0"/>
        <w:jc w:val="both"/>
        <w:rPr>
          <w:rFonts w:ascii="仿宋_GB2312" w:hAnsi="仿宋_GB2312" w:eastAsia="仿宋_GB2312" w:cs="Times New Roman"/>
          <w:kern w:val="0"/>
          <w:sz w:val="30"/>
          <w:szCs w:val="24"/>
          <w:lang w:val="en-US" w:eastAsia="zh-CN" w:bidi="ar-SA"/>
        </w:rPr>
      </w:pPr>
    </w:p>
    <w:p>
      <w:pPr>
        <w:widowControl w:val="0"/>
        <w:jc w:val="both"/>
        <w:rPr>
          <w:rFonts w:ascii="仿宋_GB2312" w:hAnsi="仿宋_GB2312" w:eastAsia="仿宋_GB2312" w:cs="Times New Roman"/>
          <w:kern w:val="0"/>
          <w:sz w:val="30"/>
          <w:szCs w:val="24"/>
          <w:lang w:val="en-US" w:eastAsia="zh-CN" w:bidi="ar-SA"/>
        </w:rPr>
      </w:pPr>
    </w:p>
    <w:p>
      <w:pPr>
        <w:widowControl w:val="0"/>
        <w:jc w:val="both"/>
        <w:rPr>
          <w:rFonts w:ascii="仿宋_GB2312" w:hAnsi="仿宋_GB2312" w:eastAsia="仿宋_GB2312" w:cs="Times New Roman"/>
          <w:kern w:val="0"/>
          <w:sz w:val="30"/>
          <w:szCs w:val="24"/>
          <w:lang w:val="en-US" w:eastAsia="zh-CN" w:bidi="ar-SA"/>
        </w:rPr>
      </w:pPr>
    </w:p>
    <w:p>
      <w:pPr>
        <w:widowControl w:val="0"/>
        <w:jc w:val="both"/>
        <w:rPr>
          <w:rFonts w:ascii="仿宋_GB2312" w:hAnsi="仿宋_GB2312" w:eastAsia="仿宋_GB2312" w:cs="Times New Roman"/>
          <w:kern w:val="0"/>
          <w:sz w:val="30"/>
          <w:szCs w:val="24"/>
          <w:lang w:val="en-US" w:eastAsia="zh-CN" w:bidi="ar-SA"/>
        </w:rPr>
      </w:pPr>
    </w:p>
    <w:p>
      <w:pPr>
        <w:widowControl w:val="0"/>
        <w:jc w:val="both"/>
        <w:rPr>
          <w:rFonts w:ascii="仿宋_GB2312" w:hAnsi="仿宋_GB2312" w:eastAsia="仿宋_GB2312" w:cs="Times New Roman"/>
          <w:kern w:val="0"/>
          <w:sz w:val="30"/>
          <w:szCs w:val="24"/>
          <w:lang w:val="en-US" w:eastAsia="zh-CN" w:bidi="ar-SA"/>
        </w:rPr>
      </w:pPr>
    </w:p>
    <w:p>
      <w:pPr>
        <w:widowControl w:val="0"/>
        <w:jc w:val="both"/>
        <w:rPr>
          <w:rFonts w:ascii="仿宋_GB2312" w:hAnsi="仿宋_GB2312" w:eastAsia="仿宋_GB2312" w:cs="Times New Roman"/>
          <w:kern w:val="0"/>
          <w:sz w:val="30"/>
          <w:szCs w:val="24"/>
          <w:lang w:val="en-US" w:eastAsia="zh-CN" w:bidi="ar-SA"/>
        </w:rPr>
      </w:pPr>
    </w:p>
    <w:p>
      <w:pPr>
        <w:widowControl/>
        <w:jc w:val="left"/>
        <w:rPr>
          <w:rFonts w:ascii="仿宋" w:hAnsi="仿宋" w:eastAsia="仿宋" w:cs="Times New Roman"/>
          <w:sz w:val="32"/>
          <w:szCs w:val="32"/>
        </w:rPr>
      </w:pPr>
    </w:p>
    <w:p>
      <w:pPr>
        <w:widowControl w:val="0"/>
        <w:jc w:val="both"/>
        <w:rPr>
          <w:rFonts w:hint="eastAsia" w:ascii="仿宋_GB2312" w:hAnsi="仿宋_GB2312" w:eastAsia="仿宋_GB2312" w:cs="Times New Roman"/>
          <w:kern w:val="0"/>
          <w:sz w:val="30"/>
          <w:szCs w:val="24"/>
          <w:lang w:val="en-US" w:eastAsia="zh-CN" w:bidi="ar-SA"/>
        </w:rPr>
      </w:pPr>
    </w:p>
    <w:p>
      <w:pPr>
        <w:widowControl w:val="0"/>
        <w:jc w:val="both"/>
        <w:rPr>
          <w:rFonts w:ascii="仿宋_GB2312" w:hAnsi="仿宋_GB2312" w:eastAsia="仿宋_GB2312" w:cs="Times New Roman"/>
          <w:kern w:val="0"/>
          <w:sz w:val="30"/>
          <w:szCs w:val="24"/>
          <w:lang w:val="en-US" w:eastAsia="zh-CN" w:bidi="ar-SA"/>
        </w:rPr>
      </w:pPr>
    </w:p>
    <w:p>
      <w:pPr>
        <w:spacing w:line="520" w:lineRule="exact"/>
        <w:jc w:val="center"/>
        <w:rPr>
          <w:rFonts w:ascii="方正小标宋_GBK" w:hAnsi="方正小标宋_GBK" w:eastAsia="方正小标宋_GBK" w:cs="方正小标宋_GBK"/>
          <w:b w:val="0"/>
        </w:rPr>
      </w:pPr>
      <w:bookmarkStart w:id="16" w:name="_Toc15396602"/>
      <w:bookmarkStart w:id="17" w:name="_Toc15377204"/>
      <w:r>
        <w:rPr>
          <w:rFonts w:ascii="方正小标宋_GBK" w:hAnsi="方正小标宋_GBK" w:eastAsia="方正小标宋_GBK" w:cs="方正小标宋_GBK"/>
          <w:sz w:val="44"/>
          <w:szCs w:val="44"/>
        </w:rPr>
        <w:t>第二部分  2021年度</w:t>
      </w:r>
      <w:r>
        <w:rPr>
          <w:rFonts w:ascii="方正小标宋_GBK" w:hAnsi="方正小标宋_GBK" w:eastAsia="方正小标宋_GBK" w:cs="方正小标宋_GBK"/>
          <w:b w:val="0"/>
          <w:bCs/>
          <w:sz w:val="44"/>
          <w:szCs w:val="44"/>
        </w:rPr>
        <w:t>单位决算情况说明</w:t>
      </w:r>
      <w:bookmarkEnd w:id="16"/>
      <w:bookmarkEnd w:id="17"/>
    </w:p>
    <w:p>
      <w:pPr>
        <w:widowControl w:val="0"/>
        <w:spacing w:line="520" w:lineRule="exact"/>
        <w:jc w:val="both"/>
        <w:rPr>
          <w:rFonts w:ascii="方正小标宋_GBK" w:hAnsi="方正小标宋_GBK" w:eastAsia="方正小标宋_GBK" w:cs="方正小标宋_GBK"/>
          <w:color w:val="000000"/>
          <w:kern w:val="0"/>
          <w:sz w:val="44"/>
          <w:szCs w:val="44"/>
          <w:lang w:val="en-US" w:eastAsia="zh-CN" w:bidi="ar-SA"/>
        </w:rPr>
      </w:pPr>
    </w:p>
    <w:p>
      <w:pPr>
        <w:widowControl w:val="0"/>
        <w:spacing w:line="520" w:lineRule="exact"/>
        <w:ind w:left="640" w:firstLine="640" w:firstLineChars="200"/>
        <w:jc w:val="both"/>
        <w:outlineLvl w:val="1"/>
        <w:rPr>
          <w:rFonts w:ascii="黑体" w:hAnsi="黑体" w:eastAsia="黑体" w:cs="Times New Roman"/>
          <w:b w:val="0"/>
          <w:kern w:val="2"/>
          <w:sz w:val="21"/>
          <w:szCs w:val="24"/>
          <w:lang w:val="en-US" w:eastAsia="zh-CN" w:bidi="ar-SA"/>
        </w:rPr>
      </w:pPr>
      <w:bookmarkStart w:id="18" w:name="_Toc15396603"/>
      <w:bookmarkStart w:id="19" w:name="_Toc15377205"/>
      <w:r>
        <w:rPr>
          <w:rFonts w:ascii="黑体" w:hAnsi="黑体" w:eastAsia="黑体" w:cs="Times New Roman"/>
          <w:kern w:val="2"/>
          <w:sz w:val="32"/>
          <w:szCs w:val="32"/>
          <w:lang w:val="en-US" w:eastAsia="zh-CN" w:bidi="ar-SA"/>
        </w:rPr>
        <w:t>一、收</w:t>
      </w:r>
      <w:r>
        <w:rPr>
          <w:rFonts w:ascii="黑体" w:hAnsi="黑体" w:eastAsia="黑体" w:cs="Times New Roman"/>
          <w:b w:val="0"/>
          <w:bCs/>
          <w:kern w:val="2"/>
          <w:sz w:val="32"/>
          <w:szCs w:val="32"/>
          <w:lang w:val="en-US" w:eastAsia="zh-CN" w:bidi="ar-SA"/>
        </w:rPr>
        <w:t>入支出决算总体情况说明</w:t>
      </w:r>
      <w:bookmarkEnd w:id="18"/>
      <w:bookmarkEnd w:id="19"/>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sz w:val="32"/>
          <w:szCs w:val="32"/>
        </w:rPr>
        <w:t>2021年度收、支总计216.60万元。与2020年相比，收、支总计各增加67.21万元，增长44.99%。主要变动原因是</w:t>
      </w:r>
      <w:r>
        <w:rPr>
          <w:rFonts w:ascii="仿宋_GB2312" w:hAnsi="仿宋_GB2312" w:eastAsia="仿宋_GB2312" w:cs="仿宋_GB2312"/>
          <w:color w:val="000000"/>
          <w:sz w:val="32"/>
          <w:szCs w:val="32"/>
        </w:rPr>
        <w:t>本年度因新增职工住房补贴，相应新增了人员经费预算收入。</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（图1：收、支决算总计变动情况图）（柱状图）</w:t>
      </w:r>
    </w:p>
    <w:p>
      <w:pPr>
        <w:widowControl w:val="0"/>
        <w:spacing w:before="93"/>
        <w:jc w:val="center"/>
        <w:rPr>
          <w:rFonts w:ascii="方正小标宋_GBK" w:hAnsi="方正小标宋_GBK" w:eastAsia="方正小标宋_GBK" w:cs="方正小标宋_GBK"/>
          <w:color w:val="000000"/>
          <w:kern w:val="0"/>
          <w:sz w:val="44"/>
          <w:szCs w:val="44"/>
          <w:lang w:val="en-US" w:eastAsia="zh-CN" w:bidi="ar-SA"/>
        </w:rPr>
      </w:pPr>
      <w:r>
        <w:rPr>
          <w:rFonts w:ascii="仿宋_GB2312" w:hAnsi="仿宋_GB2312" w:eastAsia="仿宋_GB2312" w:cs="Times New Roman"/>
          <w:kern w:val="0"/>
          <w:sz w:val="30"/>
          <w:szCs w:val="24"/>
          <w:lang w:val="en-US" w:eastAsia="zh-CN" w:bidi="ar-SA"/>
        </w:rPr>
        <w:drawing>
          <wp:inline distT="0" distB="0" distL="0" distR="0">
            <wp:extent cx="4272915" cy="2291080"/>
            <wp:effectExtent l="4445" t="4445" r="88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val="0"/>
        <w:spacing w:line="520" w:lineRule="exact"/>
        <w:ind w:left="640" w:firstLine="640" w:firstLineChars="200"/>
        <w:jc w:val="both"/>
        <w:outlineLvl w:val="1"/>
        <w:rPr>
          <w:rFonts w:ascii="黑体" w:hAnsi="黑体" w:eastAsia="黑体" w:cs="Times New Roman"/>
          <w:b w:val="0"/>
          <w:kern w:val="2"/>
          <w:sz w:val="21"/>
          <w:szCs w:val="24"/>
          <w:lang w:val="en-US" w:eastAsia="zh-CN" w:bidi="ar-SA"/>
        </w:rPr>
      </w:pPr>
      <w:bookmarkStart w:id="20" w:name="_Toc15396604"/>
      <w:bookmarkStart w:id="21" w:name="_Toc15377206"/>
      <w:r>
        <w:rPr>
          <w:rFonts w:ascii="黑体" w:hAnsi="黑体" w:eastAsia="黑体" w:cs="Times New Roman"/>
          <w:kern w:val="2"/>
          <w:sz w:val="32"/>
          <w:szCs w:val="32"/>
          <w:lang w:val="en-US" w:eastAsia="zh-CN" w:bidi="ar-SA"/>
        </w:rPr>
        <w:t>二、收</w:t>
      </w:r>
      <w:r>
        <w:rPr>
          <w:rFonts w:ascii="黑体" w:hAnsi="黑体" w:eastAsia="黑体" w:cs="Times New Roman"/>
          <w:b w:val="0"/>
          <w:bCs/>
          <w:kern w:val="2"/>
          <w:sz w:val="32"/>
          <w:szCs w:val="32"/>
          <w:lang w:val="en-US" w:eastAsia="zh-CN" w:bidi="ar-SA"/>
        </w:rPr>
        <w:t>入决算情况说明</w:t>
      </w:r>
      <w:bookmarkEnd w:id="20"/>
      <w:bookmarkEnd w:id="21"/>
    </w:p>
    <w:p>
      <w:pPr>
        <w:spacing w:line="520" w:lineRule="exact"/>
        <w:ind w:firstLine="640" w:firstLineChars="200"/>
        <w:outlineLvl w:val="1"/>
        <w:rPr>
          <w:rFonts w:ascii="仿宋_GB2312" w:hAnsi="仿宋_GB2312" w:eastAsia="仿宋_GB2312" w:cs="仿宋_GB2312"/>
          <w:sz w:val="32"/>
          <w:szCs w:val="32"/>
        </w:rPr>
      </w:pPr>
      <w:r>
        <w:rPr>
          <w:rFonts w:ascii="仿宋_GB2312" w:hAnsi="仿宋_GB2312" w:eastAsia="仿宋_GB2312" w:cs="仿宋_GB2312"/>
          <w:sz w:val="32"/>
          <w:szCs w:val="32"/>
        </w:rPr>
        <w:t>2021年本年收入合计216.60万元，其中：一般公共预算财政拨款收入216.60万元，占100%。</w:t>
      </w:r>
    </w:p>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（图2：收入决算结构图）（饼状图）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0" distR="0" simplePos="0" relativeHeight="251659264" behindDoc="0" locked="0" layoutInCell="0" allowOverlap="1">
            <wp:simplePos x="0" y="0"/>
            <wp:positionH relativeFrom="column">
              <wp:posOffset>478155</wp:posOffset>
            </wp:positionH>
            <wp:positionV relativeFrom="paragraph">
              <wp:posOffset>123190</wp:posOffset>
            </wp:positionV>
            <wp:extent cx="4572000" cy="2164080"/>
            <wp:effectExtent l="4445" t="4445" r="14605" b="2222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widowControl w:val="0"/>
        <w:spacing w:line="560" w:lineRule="exact"/>
        <w:jc w:val="both"/>
        <w:rPr>
          <w:rFonts w:ascii="方正小标宋_GBK" w:hAnsi="方正小标宋_GBK" w:eastAsia="方正小标宋_GBK" w:cs="方正小标宋_GBK"/>
          <w:color w:val="000000"/>
          <w:kern w:val="0"/>
          <w:sz w:val="44"/>
          <w:szCs w:val="44"/>
          <w:lang w:val="en-US" w:eastAsia="zh-CN" w:bidi="ar-SA"/>
        </w:rPr>
      </w:pPr>
    </w:p>
    <w:p>
      <w:pPr>
        <w:widowControl w:val="0"/>
        <w:spacing w:before="93"/>
        <w:jc w:val="both"/>
        <w:rPr>
          <w:rFonts w:ascii="方正小标宋_GBK" w:hAnsi="方正小标宋_GBK" w:eastAsia="方正小标宋_GBK" w:cs="方正小标宋_GBK"/>
          <w:color w:val="000000"/>
          <w:kern w:val="0"/>
          <w:sz w:val="44"/>
          <w:szCs w:val="44"/>
          <w:lang w:val="en-US" w:eastAsia="zh-CN" w:bidi="ar-SA"/>
        </w:rPr>
      </w:pPr>
    </w:p>
    <w:p>
      <w:pPr>
        <w:widowControl w:val="0"/>
        <w:spacing w:before="93"/>
        <w:jc w:val="both"/>
        <w:rPr>
          <w:rFonts w:ascii="方正小标宋_GBK" w:hAnsi="方正小标宋_GBK" w:eastAsia="方正小标宋_GBK" w:cs="方正小标宋_GBK"/>
          <w:color w:val="000000"/>
          <w:kern w:val="0"/>
          <w:sz w:val="44"/>
          <w:szCs w:val="44"/>
          <w:lang w:val="en-US" w:eastAsia="zh-CN" w:bidi="ar-SA"/>
        </w:rPr>
      </w:pPr>
    </w:p>
    <w:p>
      <w:pPr>
        <w:widowControl w:val="0"/>
        <w:spacing w:before="93"/>
        <w:jc w:val="both"/>
        <w:rPr>
          <w:rFonts w:ascii="方正小标宋_GBK" w:hAnsi="方正小标宋_GBK" w:eastAsia="方正小标宋_GBK" w:cs="方正小标宋_GBK"/>
          <w:color w:val="000000"/>
          <w:kern w:val="0"/>
          <w:sz w:val="44"/>
          <w:szCs w:val="44"/>
          <w:lang w:val="en-US" w:eastAsia="zh-CN" w:bidi="ar-SA"/>
        </w:rPr>
      </w:pPr>
    </w:p>
    <w:p>
      <w:pPr>
        <w:widowControl w:val="0"/>
        <w:spacing w:before="93"/>
        <w:jc w:val="both"/>
        <w:rPr>
          <w:rFonts w:ascii="方正小标宋_GBK" w:hAnsi="方正小标宋_GBK" w:eastAsia="方正小标宋_GBK" w:cs="方正小标宋_GBK"/>
          <w:color w:val="000000"/>
          <w:kern w:val="0"/>
          <w:sz w:val="44"/>
          <w:szCs w:val="44"/>
          <w:lang w:val="en-US" w:eastAsia="zh-CN" w:bidi="ar-SA"/>
        </w:rPr>
      </w:pPr>
    </w:p>
    <w:p>
      <w:pPr>
        <w:widowControl w:val="0"/>
        <w:spacing w:line="520" w:lineRule="exact"/>
        <w:ind w:left="640" w:firstLine="640" w:firstLineChars="200"/>
        <w:jc w:val="both"/>
        <w:outlineLvl w:val="1"/>
        <w:rPr>
          <w:rFonts w:ascii="黑体" w:hAnsi="黑体" w:eastAsia="黑体" w:cs="Times New Roman"/>
          <w:b w:val="0"/>
          <w:kern w:val="2"/>
          <w:sz w:val="21"/>
          <w:szCs w:val="24"/>
          <w:lang w:val="en-US" w:eastAsia="zh-CN" w:bidi="ar-SA"/>
        </w:rPr>
      </w:pPr>
      <w:bookmarkStart w:id="22" w:name="_Toc15396605"/>
      <w:bookmarkStart w:id="23" w:name="_Toc15377207"/>
      <w:r>
        <w:rPr>
          <w:rFonts w:ascii="黑体" w:hAnsi="黑体" w:eastAsia="黑体" w:cs="Times New Roman"/>
          <w:kern w:val="2"/>
          <w:sz w:val="32"/>
          <w:szCs w:val="32"/>
          <w:lang w:val="en-US" w:eastAsia="zh-CN" w:bidi="ar-SA"/>
        </w:rPr>
        <w:t>三、支</w:t>
      </w:r>
      <w:r>
        <w:rPr>
          <w:rFonts w:ascii="黑体" w:hAnsi="黑体" w:eastAsia="黑体" w:cs="Times New Roman"/>
          <w:b w:val="0"/>
          <w:bCs/>
          <w:kern w:val="2"/>
          <w:sz w:val="32"/>
          <w:szCs w:val="32"/>
          <w:lang w:val="en-US" w:eastAsia="zh-CN" w:bidi="ar-SA"/>
        </w:rPr>
        <w:t>出决算情况说明</w:t>
      </w:r>
      <w:bookmarkEnd w:id="22"/>
      <w:bookmarkEnd w:id="23"/>
    </w:p>
    <w:p>
      <w:pPr>
        <w:spacing w:line="520" w:lineRule="exact"/>
        <w:ind w:firstLine="640" w:firstLineChars="200"/>
        <w:outlineLvl w:val="1"/>
        <w:rPr>
          <w:rFonts w:ascii="仿宋_GB2312" w:hAnsi="仿宋_GB2312" w:eastAsia="仿宋_GB2312" w:cs="仿宋_GB2312"/>
          <w:sz w:val="32"/>
          <w:szCs w:val="32"/>
        </w:rPr>
      </w:pPr>
      <w:r>
        <w:rPr>
          <w:rFonts w:ascii="仿宋_GB2312" w:hAnsi="仿宋_GB2312" w:eastAsia="仿宋_GB2312" w:cs="仿宋_GB2312"/>
          <w:sz w:val="32"/>
          <w:szCs w:val="32"/>
        </w:rPr>
        <w:t>2021年本年支出合计216.60万元，其中：基本支出216.60万元，占100%；项目支出0万元，占0%。</w:t>
      </w:r>
    </w:p>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（图3：支出决算结构图）（饼状图）</w:t>
      </w:r>
    </w:p>
    <w:p>
      <w:pPr>
        <w:widowControl w:val="0"/>
        <w:spacing w:before="93"/>
        <w:jc w:val="center"/>
        <w:rPr>
          <w:rFonts w:ascii="方正小标宋_GBK" w:hAnsi="方正小标宋_GBK" w:eastAsia="方正小标宋_GBK" w:cs="方正小标宋_GBK"/>
          <w:color w:val="000000"/>
          <w:kern w:val="0"/>
          <w:sz w:val="44"/>
          <w:szCs w:val="44"/>
          <w:lang w:val="en-US" w:eastAsia="zh-CN" w:bidi="ar-SA"/>
        </w:rPr>
      </w:pPr>
      <w:r>
        <w:rPr>
          <w:rFonts w:ascii="仿宋_GB2312" w:hAnsi="仿宋_GB2312" w:eastAsia="仿宋_GB2312" w:cs="Times New Roman"/>
          <w:kern w:val="0"/>
          <w:sz w:val="30"/>
          <w:szCs w:val="24"/>
          <w:lang w:val="en-US" w:eastAsia="zh-CN" w:bidi="ar-SA"/>
        </w:rPr>
        <w:drawing>
          <wp:inline distT="0" distB="0" distL="0" distR="0">
            <wp:extent cx="4922520" cy="2842260"/>
            <wp:effectExtent l="4445" t="4445" r="6985"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20" w:lineRule="exact"/>
        <w:ind w:firstLine="640" w:firstLineChars="200"/>
        <w:outlineLvl w:val="1"/>
        <w:rPr>
          <w:rFonts w:ascii="黑体" w:hAnsi="黑体" w:eastAsia="黑体" w:cs="Times New Roman"/>
          <w:b w:val="0"/>
        </w:rPr>
      </w:pPr>
      <w:bookmarkStart w:id="24" w:name="_Toc15377208"/>
      <w:bookmarkStart w:id="25" w:name="_Toc15396606"/>
      <w:r>
        <w:rPr>
          <w:rFonts w:ascii="黑体" w:hAnsi="黑体" w:eastAsia="黑体" w:cs="Times New Roman"/>
          <w:sz w:val="32"/>
          <w:szCs w:val="32"/>
        </w:rPr>
        <w:t>四、财</w:t>
      </w:r>
      <w:r>
        <w:rPr>
          <w:rFonts w:ascii="黑体" w:hAnsi="黑体" w:eastAsia="黑体" w:cs="Times New Roman"/>
          <w:b w:val="0"/>
          <w:bCs/>
          <w:sz w:val="32"/>
          <w:szCs w:val="32"/>
        </w:rPr>
        <w:t>政拨款收入支出决算总体情况说明</w:t>
      </w:r>
      <w:bookmarkEnd w:id="24"/>
      <w:bookmarkEnd w:id="25"/>
    </w:p>
    <w:p>
      <w:pPr>
        <w:spacing w:line="520" w:lineRule="exact"/>
        <w:ind w:firstLine="640"/>
        <w:rPr>
          <w:rFonts w:ascii="仿宋_GB2312" w:hAnsi="仿宋_GB2312" w:eastAsia="仿宋_GB2312" w:cs="仿宋_GB2312"/>
          <w:spacing w:val="-6"/>
          <w:sz w:val="32"/>
          <w:szCs w:val="32"/>
        </w:rPr>
      </w:pPr>
      <w:r>
        <w:rPr>
          <w:rFonts w:ascii="仿宋_GB2312" w:hAnsi="仿宋_GB2312" w:eastAsia="仿宋_GB2312" w:cs="仿宋_GB2312"/>
          <w:spacing w:val="-6"/>
          <w:sz w:val="32"/>
          <w:szCs w:val="32"/>
        </w:rPr>
        <w:t>2021年财政拨款收、支总计216.60万元。与2020年相比，财政拨款收、支总计各增加67.21万元，增长44.99%。主要变动</w:t>
      </w:r>
      <w:r>
        <w:rPr>
          <w:rFonts w:ascii="仿宋_GB2312" w:hAnsi="仿宋_GB2312" w:eastAsia="仿宋_GB2312" w:cs="仿宋_GB2312"/>
          <w:spacing w:val="-6"/>
          <w:w w:val="99"/>
          <w:sz w:val="32"/>
          <w:szCs w:val="32"/>
        </w:rPr>
        <w:t>原因是本年度因新增职工住房补贴，相应新增了人员经费预算收入。</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（图4：财政拨款收、支决算总计变动情况）（柱状图）</w:t>
      </w:r>
    </w:p>
    <w:p>
      <w:pPr>
        <w:widowControl w:val="0"/>
        <w:spacing w:before="93"/>
        <w:jc w:val="both"/>
        <w:rPr>
          <w:rFonts w:ascii="方正小标宋_GBK" w:hAnsi="方正小标宋_GBK" w:eastAsia="方正小标宋_GBK" w:cs="方正小标宋_GBK"/>
          <w:color w:val="000000"/>
          <w:kern w:val="0"/>
          <w:sz w:val="44"/>
          <w:szCs w:val="44"/>
          <w:lang w:val="en-US" w:eastAsia="zh-CN" w:bidi="ar-SA"/>
        </w:rPr>
      </w:pPr>
      <w:r>
        <w:rPr>
          <w:rFonts w:ascii="仿宋_GB2312" w:hAnsi="仿宋_GB2312" w:eastAsia="仿宋_GB2312" w:cs="Times New Roman"/>
          <w:kern w:val="0"/>
          <w:sz w:val="30"/>
          <w:szCs w:val="24"/>
          <w:lang w:val="en-US" w:eastAsia="zh-CN" w:bidi="ar-SA"/>
        </w:rPr>
        <w:drawing>
          <wp:anchor distT="0" distB="0" distL="0" distR="0" simplePos="0" relativeHeight="251659264" behindDoc="0" locked="0" layoutInCell="0" allowOverlap="1">
            <wp:simplePos x="0" y="0"/>
            <wp:positionH relativeFrom="column">
              <wp:posOffset>889000</wp:posOffset>
            </wp:positionH>
            <wp:positionV relativeFrom="paragraph">
              <wp:posOffset>132715</wp:posOffset>
            </wp:positionV>
            <wp:extent cx="4091940" cy="2926080"/>
            <wp:effectExtent l="4445" t="4445" r="18415" b="2222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outlineLvl w:val="1"/>
        <w:rPr>
          <w:rFonts w:ascii="黑体" w:hAnsi="黑体" w:eastAsia="黑体" w:cs="Times New Roman"/>
          <w:sz w:val="32"/>
          <w:szCs w:val="32"/>
        </w:rPr>
      </w:pPr>
      <w:bookmarkStart w:id="26" w:name="_Toc15377209"/>
      <w:bookmarkStart w:id="27" w:name="_Toc15396607"/>
    </w:p>
    <w:p>
      <w:pPr>
        <w:spacing w:line="600" w:lineRule="exact"/>
        <w:ind w:firstLine="640" w:firstLineChars="200"/>
        <w:outlineLvl w:val="1"/>
        <w:rPr>
          <w:rFonts w:ascii="黑体" w:hAnsi="黑体" w:eastAsia="黑体" w:cs="Times New Roman"/>
          <w:sz w:val="32"/>
          <w:szCs w:val="32"/>
        </w:rPr>
      </w:pPr>
    </w:p>
    <w:p>
      <w:pPr>
        <w:spacing w:line="600" w:lineRule="exact"/>
        <w:ind w:firstLine="640" w:firstLineChars="200"/>
        <w:outlineLvl w:val="1"/>
        <w:rPr>
          <w:rFonts w:ascii="黑体" w:hAnsi="黑体" w:eastAsia="黑体" w:cs="Times New Roman"/>
          <w:sz w:val="32"/>
          <w:szCs w:val="32"/>
        </w:rPr>
      </w:pPr>
    </w:p>
    <w:p>
      <w:pPr>
        <w:widowControl w:val="0"/>
        <w:jc w:val="both"/>
        <w:rPr>
          <w:rFonts w:ascii="方正小标宋_GBK" w:hAnsi="方正小标宋_GBK" w:eastAsia="方正小标宋_GBK" w:cs="方正小标宋_GBK"/>
          <w:color w:val="000000"/>
          <w:kern w:val="0"/>
          <w:sz w:val="44"/>
          <w:szCs w:val="44"/>
          <w:lang w:val="en-US" w:eastAsia="zh-CN" w:bidi="ar-SA"/>
        </w:rPr>
      </w:pPr>
    </w:p>
    <w:p>
      <w:pPr>
        <w:spacing w:line="600" w:lineRule="exact"/>
        <w:ind w:firstLine="640" w:firstLineChars="200"/>
        <w:outlineLvl w:val="1"/>
        <w:rPr>
          <w:rFonts w:ascii="黑体" w:hAnsi="黑体" w:eastAsia="黑体" w:cs="Times New Roman"/>
          <w:sz w:val="32"/>
          <w:szCs w:val="32"/>
        </w:rPr>
      </w:pPr>
    </w:p>
    <w:p>
      <w:pPr>
        <w:widowControl w:val="0"/>
        <w:jc w:val="both"/>
        <w:rPr>
          <w:rFonts w:ascii="方正小标宋_GBK" w:hAnsi="方正小标宋_GBK" w:eastAsia="方正小标宋_GBK" w:cs="方正小标宋_GBK"/>
          <w:color w:val="000000"/>
          <w:kern w:val="0"/>
          <w:sz w:val="44"/>
          <w:szCs w:val="44"/>
          <w:lang w:val="en-US" w:eastAsia="zh-CN" w:bidi="ar-SA"/>
        </w:rPr>
      </w:pPr>
    </w:p>
    <w:p>
      <w:pPr>
        <w:widowControl w:val="0"/>
        <w:jc w:val="both"/>
        <w:rPr>
          <w:rFonts w:ascii="方正小标宋_GBK" w:hAnsi="方正小标宋_GBK" w:eastAsia="方正小标宋_GBK" w:cs="方正小标宋_GBK"/>
          <w:color w:val="000000"/>
          <w:kern w:val="0"/>
          <w:sz w:val="44"/>
          <w:szCs w:val="44"/>
          <w:lang w:val="en-US" w:eastAsia="zh-CN" w:bidi="ar-SA"/>
        </w:rPr>
      </w:pPr>
    </w:p>
    <w:p>
      <w:pPr>
        <w:spacing w:line="520" w:lineRule="exact"/>
        <w:ind w:firstLine="640" w:firstLineChars="200"/>
        <w:outlineLvl w:val="1"/>
        <w:rPr>
          <w:rFonts w:ascii="黑体" w:hAnsi="黑体" w:eastAsia="黑体" w:cs="Times New Roman"/>
          <w:b w:val="0"/>
        </w:rPr>
      </w:pPr>
      <w:r>
        <w:rPr>
          <w:rFonts w:ascii="黑体" w:hAnsi="黑体" w:eastAsia="黑体" w:cs="Times New Roman"/>
          <w:sz w:val="32"/>
          <w:szCs w:val="32"/>
        </w:rPr>
        <w:t>五、</w:t>
      </w:r>
      <w:r>
        <w:rPr>
          <w:rFonts w:ascii="黑体" w:hAnsi="黑体" w:eastAsia="黑体" w:cs="Times New Roman"/>
          <w:b/>
          <w:sz w:val="32"/>
          <w:szCs w:val="32"/>
        </w:rPr>
        <w:t>一</w:t>
      </w:r>
      <w:r>
        <w:rPr>
          <w:rFonts w:ascii="黑体" w:hAnsi="黑体" w:eastAsia="黑体" w:cs="Times New Roman"/>
          <w:b w:val="0"/>
          <w:bCs/>
          <w:sz w:val="32"/>
          <w:szCs w:val="32"/>
        </w:rPr>
        <w:t>般公共预算财政拨款支出决算情况说明</w:t>
      </w:r>
      <w:bookmarkEnd w:id="26"/>
      <w:bookmarkEnd w:id="27"/>
    </w:p>
    <w:p>
      <w:pPr>
        <w:spacing w:line="520" w:lineRule="exact"/>
        <w:ind w:firstLine="643" w:firstLineChars="200"/>
        <w:outlineLvl w:val="2"/>
        <w:rPr>
          <w:rFonts w:ascii="楷体_GB2312" w:hAnsi="楷体_GB2312" w:eastAsia="楷体_GB2312" w:cs="楷体_GB2312"/>
          <w:b/>
          <w:sz w:val="32"/>
          <w:szCs w:val="32"/>
        </w:rPr>
      </w:pPr>
      <w:bookmarkStart w:id="28" w:name="_Toc15377210"/>
      <w:r>
        <w:rPr>
          <w:rFonts w:ascii="楷体_GB2312" w:hAnsi="楷体_GB2312" w:eastAsia="楷体_GB2312" w:cs="楷体_GB2312"/>
          <w:b/>
          <w:sz w:val="32"/>
          <w:szCs w:val="32"/>
        </w:rPr>
        <w:t>（一）一般公共预算财政拨款支出决算总体情况</w:t>
      </w:r>
      <w:bookmarkEnd w:id="28"/>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年一般公共预算财政拨款支出216.60万元，占本年支出合计的100%。与2020年相比，一般公共预算财政拨款支出增加67.21万元，增长44.99%。主要变动原因是本年度因新增职工住房补贴，相应新增了人员经费预算收入。</w:t>
      </w:r>
    </w:p>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（图5：一般公共预算财政拨款支出决算变动情况）（柱状图）</w:t>
      </w:r>
    </w:p>
    <w:p>
      <w:pPr>
        <w:widowControl w:val="0"/>
        <w:spacing w:before="93"/>
        <w:jc w:val="center"/>
        <w:rPr>
          <w:rFonts w:ascii="方正小标宋_GBK" w:hAnsi="方正小标宋_GBK" w:eastAsia="方正小标宋_GBK" w:cs="方正小标宋_GBK"/>
          <w:color w:val="000000"/>
          <w:kern w:val="0"/>
          <w:sz w:val="44"/>
          <w:szCs w:val="44"/>
          <w:lang w:val="en-US" w:eastAsia="zh-CN" w:bidi="ar-SA"/>
        </w:rPr>
      </w:pPr>
      <w:r>
        <w:rPr>
          <w:rFonts w:ascii="仿宋_GB2312" w:hAnsi="仿宋_GB2312" w:eastAsia="仿宋_GB2312" w:cs="Times New Roman"/>
          <w:kern w:val="0"/>
          <w:sz w:val="30"/>
          <w:szCs w:val="24"/>
          <w:lang w:val="en-US" w:eastAsia="zh-CN" w:bidi="ar-SA"/>
        </w:rPr>
        <w:drawing>
          <wp:inline distT="0" distB="0" distL="0" distR="0">
            <wp:extent cx="4217670" cy="2078990"/>
            <wp:effectExtent l="4445" t="4445" r="6985" b="1206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00" w:lineRule="exact"/>
        <w:ind w:firstLine="643" w:firstLineChars="200"/>
        <w:outlineLvl w:val="2"/>
        <w:rPr>
          <w:rFonts w:ascii="楷体_GB2312" w:hAnsi="楷体_GB2312" w:eastAsia="楷体_GB2312" w:cs="楷体_GB2312"/>
          <w:b/>
          <w:sz w:val="32"/>
          <w:szCs w:val="32"/>
        </w:rPr>
      </w:pPr>
      <w:bookmarkStart w:id="29" w:name="_Toc15377211"/>
      <w:r>
        <w:rPr>
          <w:rFonts w:ascii="楷体_GB2312" w:hAnsi="楷体_GB2312" w:eastAsia="楷体_GB2312" w:cs="楷体_GB2312"/>
          <w:b/>
          <w:sz w:val="32"/>
          <w:szCs w:val="32"/>
        </w:rPr>
        <w:t>（二）一般公共预算财政拨款支出决算结构情况</w:t>
      </w:r>
      <w:bookmarkEnd w:id="29"/>
    </w:p>
    <w:p>
      <w:pPr>
        <w:spacing w:line="500" w:lineRule="exact"/>
        <w:ind w:firstLine="640"/>
        <w:rPr>
          <w:rFonts w:ascii="仿宋_GB2312" w:hAnsi="仿宋_GB2312" w:eastAsia="仿宋_GB2312" w:cs="仿宋_GB2312"/>
          <w:b/>
          <w:sz w:val="32"/>
          <w:szCs w:val="32"/>
        </w:rPr>
      </w:pPr>
      <w:r>
        <w:rPr>
          <w:rFonts w:ascii="仿宋_GB2312" w:hAnsi="仿宋_GB2312" w:eastAsia="仿宋_GB2312" w:cs="仿宋_GB2312"/>
          <w:sz w:val="32"/>
          <w:szCs w:val="32"/>
        </w:rPr>
        <w:t>2021年一般公共预算财政拨款支出216.60万元，主要用于以下方面:</w:t>
      </w:r>
      <w:r>
        <w:rPr>
          <w:rFonts w:ascii="仿宋_GB2312" w:hAnsi="仿宋_GB2312" w:eastAsia="仿宋_GB2312" w:cs="仿宋_GB2312"/>
          <w:b/>
          <w:sz w:val="32"/>
          <w:szCs w:val="32"/>
        </w:rPr>
        <w:t>公共安全（类）</w:t>
      </w:r>
      <w:r>
        <w:rPr>
          <w:rFonts w:ascii="仿宋_GB2312" w:hAnsi="仿宋_GB2312" w:eastAsia="仿宋_GB2312" w:cs="仿宋_GB2312"/>
          <w:sz w:val="32"/>
          <w:szCs w:val="32"/>
        </w:rPr>
        <w:t>支出149.02万元，占68.8%；</w:t>
      </w:r>
      <w:r>
        <w:rPr>
          <w:rFonts w:ascii="仿宋_GB2312" w:hAnsi="仿宋_GB2312" w:eastAsia="仿宋_GB2312" w:cs="仿宋_GB2312"/>
          <w:b/>
          <w:sz w:val="32"/>
          <w:szCs w:val="32"/>
        </w:rPr>
        <w:t>社会保障和就业（类）</w:t>
      </w:r>
      <w:r>
        <w:rPr>
          <w:rFonts w:ascii="仿宋_GB2312" w:hAnsi="仿宋_GB2312" w:eastAsia="仿宋_GB2312" w:cs="仿宋_GB2312"/>
          <w:sz w:val="32"/>
          <w:szCs w:val="32"/>
        </w:rPr>
        <w:t>支出12.03万元，占5.55%；</w:t>
      </w:r>
      <w:r>
        <w:rPr>
          <w:rFonts w:ascii="仿宋_GB2312" w:hAnsi="仿宋_GB2312" w:eastAsia="仿宋_GB2312" w:cs="仿宋_GB2312"/>
          <w:b/>
          <w:bCs/>
          <w:sz w:val="32"/>
          <w:szCs w:val="32"/>
        </w:rPr>
        <w:t>卫生健康支出</w:t>
      </w:r>
      <w:r>
        <w:rPr>
          <w:rFonts w:ascii="仿宋_GB2312" w:hAnsi="仿宋_GB2312" w:eastAsia="仿宋_GB2312" w:cs="仿宋_GB2312"/>
          <w:sz w:val="32"/>
          <w:szCs w:val="32"/>
        </w:rPr>
        <w:t>9.6万元，占4.44%；住房保障支出45.95万元，占21.21%。</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（图6：一般公共预算财政拨款支出决算结构）（饼状图）</w:t>
      </w:r>
    </w:p>
    <w:p>
      <w:pPr>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drawing>
          <wp:anchor distT="0" distB="0" distL="0" distR="0" simplePos="0" relativeHeight="251659264" behindDoc="0" locked="0" layoutInCell="0" allowOverlap="1">
            <wp:simplePos x="0" y="0"/>
            <wp:positionH relativeFrom="column">
              <wp:posOffset>615950</wp:posOffset>
            </wp:positionH>
            <wp:positionV relativeFrom="paragraph">
              <wp:posOffset>38100</wp:posOffset>
            </wp:positionV>
            <wp:extent cx="4572000" cy="2172335"/>
            <wp:effectExtent l="4445" t="4445" r="14605" b="1397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widowControl w:val="0"/>
        <w:spacing w:before="93"/>
        <w:jc w:val="both"/>
        <w:rPr>
          <w:rFonts w:ascii="方正小标宋_GBK" w:hAnsi="方正小标宋_GBK" w:eastAsia="方正小标宋_GBK" w:cs="方正小标宋_GBK"/>
          <w:color w:val="000000"/>
          <w:kern w:val="0"/>
          <w:sz w:val="44"/>
          <w:szCs w:val="44"/>
          <w:lang w:val="en-US" w:eastAsia="zh-CN" w:bidi="ar-SA"/>
        </w:rPr>
      </w:pPr>
    </w:p>
    <w:p>
      <w:pPr>
        <w:widowControl w:val="0"/>
        <w:spacing w:before="93"/>
        <w:jc w:val="both"/>
        <w:rPr>
          <w:rFonts w:ascii="方正小标宋_GBK" w:hAnsi="方正小标宋_GBK" w:eastAsia="方正小标宋_GBK" w:cs="方正小标宋_GBK"/>
          <w:color w:val="000000"/>
          <w:kern w:val="0"/>
          <w:sz w:val="44"/>
          <w:szCs w:val="44"/>
          <w:lang w:val="en-US" w:eastAsia="zh-CN" w:bidi="ar-SA"/>
        </w:rPr>
      </w:pPr>
    </w:p>
    <w:p>
      <w:pPr>
        <w:spacing w:line="600" w:lineRule="exact"/>
        <w:ind w:firstLine="643" w:firstLineChars="200"/>
        <w:outlineLvl w:val="2"/>
        <w:rPr>
          <w:rFonts w:ascii="楷体_GB2312" w:hAnsi="楷体_GB2312" w:eastAsia="楷体_GB2312" w:cs="楷体_GB2312"/>
          <w:b/>
          <w:sz w:val="32"/>
          <w:szCs w:val="32"/>
        </w:rPr>
      </w:pPr>
      <w:bookmarkStart w:id="30" w:name="_Toc15377212"/>
      <w:r>
        <w:rPr>
          <w:rFonts w:ascii="楷体_GB2312" w:hAnsi="楷体_GB2312" w:eastAsia="楷体_GB2312" w:cs="楷体_GB2312"/>
          <w:b/>
          <w:sz w:val="32"/>
          <w:szCs w:val="32"/>
        </w:rPr>
        <w:t>（三）一般公共预算财政拨款支出决算具体情况</w:t>
      </w:r>
      <w:bookmarkEnd w:id="30"/>
    </w:p>
    <w:p>
      <w:pPr>
        <w:spacing w:line="600" w:lineRule="exact"/>
        <w:ind w:firstLine="643" w:firstLineChars="200"/>
        <w:outlineLvl w:val="2"/>
        <w:rPr>
          <w:rFonts w:ascii="仿宋_GB2312" w:hAnsi="仿宋_GB2312" w:eastAsia="仿宋_GB2312" w:cs="仿宋_GB2312"/>
          <w:sz w:val="32"/>
          <w:szCs w:val="32"/>
        </w:rPr>
      </w:pPr>
      <w:bookmarkStart w:id="31" w:name="_Toc15377444"/>
      <w:bookmarkStart w:id="32" w:name="_Toc15378460"/>
      <w:bookmarkStart w:id="33" w:name="_Toc15377213"/>
      <w:r>
        <w:rPr>
          <w:rFonts w:ascii="仿宋_GB2312" w:hAnsi="仿宋_GB2312" w:eastAsia="仿宋_GB2312" w:cs="仿宋_GB2312"/>
          <w:b/>
          <w:sz w:val="32"/>
          <w:szCs w:val="32"/>
        </w:rPr>
        <w:t>2021年一般公共预算支出决算数为</w:t>
      </w:r>
      <w:r>
        <w:rPr>
          <w:rFonts w:ascii="仿宋_GB2312" w:hAnsi="仿宋_GB2312" w:eastAsia="仿宋_GB2312" w:cs="仿宋_GB2312"/>
          <w:sz w:val="32"/>
          <w:szCs w:val="32"/>
        </w:rPr>
        <w:t>216.60万元，</w:t>
      </w:r>
      <w:r>
        <w:rPr>
          <w:rFonts w:ascii="仿宋_GB2312" w:hAnsi="仿宋_GB2312" w:eastAsia="仿宋_GB2312" w:cs="仿宋_GB2312"/>
          <w:b/>
          <w:bCs/>
          <w:sz w:val="32"/>
          <w:szCs w:val="32"/>
        </w:rPr>
        <w:t>完成预算99.05%。其中：</w:t>
      </w:r>
      <w:bookmarkEnd w:id="31"/>
      <w:bookmarkEnd w:id="32"/>
      <w:bookmarkEnd w:id="33"/>
    </w:p>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sz w:val="32"/>
          <w:szCs w:val="32"/>
        </w:rPr>
        <w:t>1.公共安全支出（类）司法（款）机关服务（项）:</w:t>
      </w:r>
      <w:r>
        <w:rPr>
          <w:rFonts w:ascii="仿宋_GB2312" w:hAnsi="仿宋_GB2312" w:eastAsia="仿宋_GB2312" w:cs="仿宋_GB2312"/>
          <w:b w:val="0"/>
          <w:bCs/>
          <w:sz w:val="32"/>
          <w:szCs w:val="32"/>
        </w:rPr>
        <w:t xml:space="preserve"> 支出决算为149.02万元，完成预算98.64%，决算数小于预算数的主要原因是人员变动，按照实际情况开支。</w:t>
      </w:r>
    </w:p>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sz w:val="32"/>
          <w:szCs w:val="32"/>
        </w:rPr>
        <w:t>2.社会保障和就业（类）行政事业单位养老支出（款）机关事业单位基本养老保险缴费支出（项）:</w:t>
      </w:r>
      <w:r>
        <w:rPr>
          <w:rFonts w:ascii="仿宋_GB2312" w:hAnsi="仿宋_GB2312" w:eastAsia="仿宋_GB2312" w:cs="仿宋_GB2312"/>
          <w:b w:val="0"/>
          <w:bCs/>
          <w:sz w:val="32"/>
          <w:szCs w:val="32"/>
        </w:rPr>
        <w:t xml:space="preserve"> 支出决算为12.03万元，完成预算99.83%。</w:t>
      </w:r>
    </w:p>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sz w:val="32"/>
          <w:szCs w:val="32"/>
        </w:rPr>
        <w:t>3.卫生健康（类）行政事业单位医疗（款）事业单位医疗（项）:</w:t>
      </w:r>
      <w:r>
        <w:rPr>
          <w:rFonts w:ascii="仿宋_GB2312" w:hAnsi="仿宋_GB2312" w:eastAsia="仿宋_GB2312" w:cs="仿宋_GB2312"/>
          <w:b w:val="0"/>
          <w:bCs/>
          <w:sz w:val="32"/>
          <w:szCs w:val="32"/>
        </w:rPr>
        <w:t>支出决算为9.60万元，完成预算100%。</w:t>
      </w:r>
    </w:p>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sz w:val="32"/>
          <w:szCs w:val="32"/>
        </w:rPr>
        <w:t>4.住房保障支出（类）住房改革支出（款）住房公积金（项）:</w:t>
      </w:r>
      <w:r>
        <w:rPr>
          <w:rFonts w:ascii="仿宋_GB2312" w:hAnsi="仿宋_GB2312" w:eastAsia="仿宋_GB2312" w:cs="仿宋_GB2312"/>
          <w:b w:val="0"/>
          <w:bCs/>
          <w:sz w:val="32"/>
          <w:szCs w:val="32"/>
        </w:rPr>
        <w:t>支出决算为12.25万元，完成预算100%。</w:t>
      </w:r>
    </w:p>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sz w:val="32"/>
          <w:szCs w:val="32"/>
        </w:rPr>
        <w:t>5.住房保障支出（类）住房改革支出（款）购房补贴（项）:</w:t>
      </w:r>
      <w:r>
        <w:rPr>
          <w:rFonts w:ascii="仿宋_GB2312" w:hAnsi="仿宋_GB2312" w:eastAsia="仿宋_GB2312" w:cs="仿宋_GB2312"/>
          <w:b w:val="0"/>
          <w:bCs/>
          <w:sz w:val="32"/>
          <w:szCs w:val="32"/>
        </w:rPr>
        <w:t>支出决算为33.70万元，完成预算100%。</w:t>
      </w:r>
    </w:p>
    <w:p>
      <w:pPr>
        <w:tabs>
          <w:tab w:val="right" w:pos="8306"/>
        </w:tabs>
        <w:spacing w:line="600" w:lineRule="exact"/>
        <w:ind w:firstLine="640"/>
        <w:outlineLvl w:val="1"/>
        <w:rPr>
          <w:rFonts w:ascii="Times New Roman" w:hAnsi="Times New Roman" w:eastAsia="宋体" w:cs="Times New Roman"/>
        </w:rPr>
      </w:pPr>
      <w:bookmarkStart w:id="34" w:name="_Toc15396608"/>
      <w:bookmarkStart w:id="35" w:name="_Toc15377214"/>
      <w:r>
        <w:rPr>
          <w:rFonts w:ascii="黑体" w:hAnsi="黑体" w:eastAsia="黑体" w:cs="Times New Roman"/>
          <w:sz w:val="32"/>
          <w:szCs w:val="32"/>
        </w:rPr>
        <w:t>六</w:t>
      </w:r>
      <w:r>
        <w:rPr>
          <w:rFonts w:ascii="黑体" w:hAnsi="黑体" w:eastAsia="黑体" w:cs="Times New Roman"/>
          <w:b/>
          <w:sz w:val="32"/>
          <w:szCs w:val="32"/>
        </w:rPr>
        <w:t>、一</w:t>
      </w:r>
      <w:r>
        <w:rPr>
          <w:rFonts w:ascii="黑体" w:hAnsi="黑体" w:eastAsia="黑体" w:cs="Times New Roman"/>
          <w:b w:val="0"/>
          <w:bCs/>
          <w:sz w:val="32"/>
          <w:szCs w:val="32"/>
        </w:rPr>
        <w:t>般公共预算财政拨款基本支出决算情况说明</w:t>
      </w:r>
      <w:bookmarkEnd w:id="34"/>
      <w:bookmarkEnd w:id="35"/>
      <w:r>
        <w:rPr>
          <w:rFonts w:ascii="黑体" w:hAnsi="黑体" w:eastAsia="黑体" w:cs="Times New Roman"/>
          <w:b w:val="0"/>
          <w:bCs/>
          <w:sz w:val="32"/>
          <w:szCs w:val="32"/>
        </w:rPr>
        <w:tab/>
      </w:r>
    </w:p>
    <w:p>
      <w:pPr>
        <w:spacing w:line="60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2021年一般公共预算财政拨款基本支出216.60万元，其中：</w:t>
      </w:r>
    </w:p>
    <w:p>
      <w:pPr>
        <w:spacing w:line="60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人员经费197.24万元，主要包括：基本工资37.94万元、津贴补贴34.73万元、奖金3.18万元、绩效工资32.52万元、机关事业单位基本养老保险缴费12.03万元、职工基本医疗保险缴费9.6万元、住房公积金12.25万元、其他工资福利支出54.99万元</w:t>
      </w:r>
      <w:r>
        <w:rPr>
          <w:rFonts w:hint="eastAsia" w:ascii="仿宋_GB2312" w:hAnsi="仿宋_GB2312" w:eastAsia="仿宋_GB2312" w:cs="仿宋_GB2312"/>
          <w:sz w:val="32"/>
          <w:szCs w:val="32"/>
          <w:lang w:eastAsia="zh-CN"/>
        </w:rPr>
        <w:t>、奖励金</w:t>
      </w:r>
      <w:r>
        <w:rPr>
          <w:rFonts w:hint="eastAsia" w:ascii="仿宋_GB2312" w:hAnsi="仿宋_GB2312" w:eastAsia="仿宋_GB2312" w:cs="仿宋_GB2312"/>
          <w:sz w:val="32"/>
          <w:szCs w:val="32"/>
          <w:lang w:val="en-US" w:eastAsia="zh-CN"/>
        </w:rPr>
        <w:t>0.01万元</w:t>
      </w:r>
      <w:r>
        <w:rPr>
          <w:rFonts w:ascii="仿宋_GB2312" w:hAnsi="仿宋_GB2312" w:eastAsia="仿宋_GB2312" w:cs="仿宋_GB2312"/>
          <w:sz w:val="32"/>
          <w:szCs w:val="32"/>
        </w:rPr>
        <w:t>。</w:t>
      </w:r>
    </w:p>
    <w:p>
      <w:pPr>
        <w:spacing w:line="60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公用经费19.36万元，主要包括：租赁费3万元、劳务费13.2万元、工会经费2.04万元、福利费1.12万元。</w:t>
      </w:r>
    </w:p>
    <w:p>
      <w:pPr>
        <w:spacing w:line="600" w:lineRule="exact"/>
        <w:ind w:firstLine="640"/>
        <w:outlineLvl w:val="1"/>
        <w:rPr>
          <w:rFonts w:ascii="黑体" w:hAnsi="黑体" w:eastAsia="黑体" w:cs="Times New Roman"/>
          <w:b w:val="0"/>
        </w:rPr>
      </w:pPr>
      <w:bookmarkStart w:id="36" w:name="_Toc15377215"/>
      <w:bookmarkStart w:id="37" w:name="_Toc15396609"/>
      <w:r>
        <w:rPr>
          <w:rFonts w:ascii="黑体" w:hAnsi="黑体" w:eastAsia="黑体" w:cs="Times New Roman"/>
          <w:sz w:val="32"/>
          <w:szCs w:val="32"/>
        </w:rPr>
        <w:t>七、</w:t>
      </w:r>
      <w:r>
        <w:rPr>
          <w:rFonts w:ascii="黑体" w:hAnsi="黑体" w:eastAsia="黑体" w:cs="Times New Roman"/>
          <w:b/>
          <w:bCs/>
          <w:sz w:val="32"/>
          <w:szCs w:val="32"/>
        </w:rPr>
        <w:t>“</w:t>
      </w:r>
      <w:r>
        <w:rPr>
          <w:rFonts w:ascii="黑体" w:hAnsi="黑体" w:eastAsia="黑体" w:cs="Times New Roman"/>
          <w:b w:val="0"/>
          <w:bCs/>
          <w:sz w:val="32"/>
          <w:szCs w:val="32"/>
        </w:rPr>
        <w:t>三公”经费财政拨款支出决算情况说明</w:t>
      </w:r>
      <w:bookmarkEnd w:id="36"/>
      <w:bookmarkEnd w:id="37"/>
    </w:p>
    <w:p>
      <w:pPr>
        <w:spacing w:line="600" w:lineRule="exact"/>
        <w:ind w:firstLine="640"/>
        <w:outlineLvl w:val="2"/>
        <w:rPr>
          <w:rFonts w:ascii="楷体_GB2312" w:hAnsi="楷体_GB2312" w:eastAsia="楷体_GB2312" w:cs="楷体_GB2312"/>
          <w:b/>
          <w:sz w:val="32"/>
          <w:szCs w:val="32"/>
        </w:rPr>
      </w:pPr>
      <w:bookmarkStart w:id="38" w:name="_Toc15377216"/>
      <w:r>
        <w:rPr>
          <w:rFonts w:ascii="楷体_GB2312" w:hAnsi="楷体_GB2312" w:eastAsia="楷体_GB2312" w:cs="楷体_GB2312"/>
          <w:b/>
          <w:sz w:val="32"/>
          <w:szCs w:val="32"/>
        </w:rPr>
        <w:t>（一）“三公”经费财政拨款支出决算总体情况说明</w:t>
      </w:r>
      <w:bookmarkEnd w:id="38"/>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2021年“三公”经费财政拨款支出决算为0万元，完成预算0%。</w:t>
      </w:r>
    </w:p>
    <w:p>
      <w:pPr>
        <w:spacing w:line="600" w:lineRule="exact"/>
        <w:ind w:firstLine="640"/>
        <w:outlineLvl w:val="2"/>
        <w:rPr>
          <w:rFonts w:ascii="楷体_GB2312" w:hAnsi="楷体_GB2312" w:eastAsia="楷体_GB2312" w:cs="楷体_GB2312"/>
          <w:b/>
          <w:sz w:val="32"/>
          <w:szCs w:val="32"/>
        </w:rPr>
      </w:pPr>
      <w:bookmarkStart w:id="39" w:name="_Toc15377217"/>
      <w:r>
        <w:rPr>
          <w:rFonts w:ascii="楷体_GB2312" w:hAnsi="楷体_GB2312" w:eastAsia="楷体_GB2312" w:cs="楷体_GB2312"/>
          <w:b/>
          <w:sz w:val="32"/>
          <w:szCs w:val="32"/>
        </w:rPr>
        <w:t>（二）“三公”经费财政拨款支出决算具体情况说明</w:t>
      </w:r>
      <w:bookmarkEnd w:id="39"/>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2021年“三公”经费财政拨款支出决算中，因公出国（境）费支出决算0万元，占0%；公务用车购置及运行维护费支出决算0万元，占0%；公务接待费支出决算0万元，占0%。具体情况如下：</w:t>
      </w:r>
    </w:p>
    <w:p>
      <w:pPr>
        <w:spacing w:line="600" w:lineRule="exact"/>
        <w:ind w:firstLine="643" w:firstLineChars="200"/>
        <w:rPr>
          <w:rFonts w:ascii="仿宋_GB2312" w:hAnsi="仿宋_GB2312" w:eastAsia="仿宋_GB2312" w:cs="仿宋_GB2312"/>
          <w:b w:val="0"/>
          <w:bCs/>
          <w:color w:val="000000"/>
          <w:sz w:val="32"/>
          <w:szCs w:val="32"/>
        </w:rPr>
      </w:pPr>
      <w:bookmarkStart w:id="40" w:name="_Toc15396618"/>
      <w:bookmarkStart w:id="41" w:name="_Toc15377226"/>
      <w:r>
        <w:rPr>
          <w:rFonts w:ascii="仿宋_GB2312" w:hAnsi="仿宋_GB2312" w:eastAsia="仿宋_GB2312" w:cs="仿宋_GB2312"/>
          <w:b/>
          <w:color w:val="000000"/>
          <w:sz w:val="32"/>
          <w:szCs w:val="32"/>
        </w:rPr>
        <w:t>1.因公出国（境）经费支出</w:t>
      </w:r>
      <w:r>
        <w:rPr>
          <w:rFonts w:ascii="仿宋_GB2312" w:hAnsi="仿宋_GB2312" w:eastAsia="仿宋_GB2312" w:cs="仿宋_GB2312"/>
          <w:color w:val="000000"/>
          <w:sz w:val="32"/>
          <w:szCs w:val="32"/>
        </w:rPr>
        <w:t>0万元，</w:t>
      </w:r>
      <w:r>
        <w:rPr>
          <w:rFonts w:ascii="仿宋_GB2312" w:hAnsi="仿宋_GB2312" w:eastAsia="仿宋_GB2312" w:cs="仿宋_GB2312"/>
          <w:b/>
          <w:bCs/>
          <w:color w:val="000000"/>
          <w:sz w:val="32"/>
          <w:szCs w:val="32"/>
        </w:rPr>
        <w:t>完成预算0%。</w:t>
      </w:r>
    </w:p>
    <w:p>
      <w:pPr>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2.公务用车购置及运行维护费支出0</w:t>
      </w:r>
      <w:r>
        <w:rPr>
          <w:rFonts w:ascii="仿宋_GB2312" w:hAnsi="仿宋_GB2312" w:eastAsia="仿宋_GB2312" w:cs="仿宋_GB2312"/>
          <w:color w:val="000000"/>
          <w:sz w:val="32"/>
          <w:szCs w:val="32"/>
        </w:rPr>
        <w:t>万元,</w:t>
      </w:r>
      <w:r>
        <w:rPr>
          <w:rFonts w:ascii="仿宋_GB2312" w:hAnsi="仿宋_GB2312" w:eastAsia="仿宋_GB2312" w:cs="仿宋_GB2312"/>
          <w:b/>
          <w:bCs/>
          <w:color w:val="000000"/>
          <w:sz w:val="32"/>
          <w:szCs w:val="32"/>
        </w:rPr>
        <w:t>完成预算0%。</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其中：</w:t>
      </w:r>
      <w:r>
        <w:rPr>
          <w:rFonts w:ascii="仿宋_GB2312" w:hAnsi="仿宋_GB2312" w:eastAsia="仿宋_GB2312" w:cs="仿宋_GB2312"/>
          <w:b/>
          <w:color w:val="000000"/>
          <w:sz w:val="32"/>
          <w:szCs w:val="32"/>
        </w:rPr>
        <w:t>公务用车购置支出</w:t>
      </w:r>
      <w:r>
        <w:rPr>
          <w:rFonts w:ascii="仿宋_GB2312" w:hAnsi="仿宋_GB2312" w:eastAsia="仿宋_GB2312" w:cs="仿宋_GB2312"/>
          <w:color w:val="000000"/>
          <w:sz w:val="32"/>
          <w:szCs w:val="32"/>
        </w:rPr>
        <w:t>0万元。</w:t>
      </w:r>
    </w:p>
    <w:p>
      <w:pPr>
        <w:spacing w:line="60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公务用车运行维护费支出0</w:t>
      </w:r>
      <w:r>
        <w:rPr>
          <w:rFonts w:ascii="仿宋_GB2312" w:hAnsi="仿宋_GB2312" w:eastAsia="仿宋_GB2312" w:cs="仿宋_GB2312"/>
          <w:color w:val="000000"/>
          <w:sz w:val="32"/>
          <w:szCs w:val="32"/>
        </w:rPr>
        <w:t>万元。</w:t>
      </w:r>
    </w:p>
    <w:p>
      <w:pPr>
        <w:spacing w:line="600" w:lineRule="exact"/>
        <w:ind w:firstLine="643" w:firstLineChars="200"/>
        <w:rPr>
          <w:rFonts w:ascii="仿宋_GB2312" w:hAnsi="仿宋_GB2312" w:eastAsia="仿宋_GB2312" w:cs="仿宋_GB2312"/>
          <w:b w:val="0"/>
          <w:bCs/>
          <w:color w:val="000000"/>
          <w:sz w:val="32"/>
          <w:szCs w:val="32"/>
        </w:rPr>
      </w:pPr>
      <w:r>
        <w:rPr>
          <w:rFonts w:ascii="仿宋_GB2312" w:hAnsi="仿宋_GB2312" w:eastAsia="仿宋_GB2312" w:cs="仿宋_GB2312"/>
          <w:b/>
          <w:color w:val="000000"/>
          <w:sz w:val="32"/>
          <w:szCs w:val="32"/>
        </w:rPr>
        <w:t>3.公务接待费支出</w:t>
      </w:r>
      <w:r>
        <w:rPr>
          <w:rFonts w:ascii="仿宋_GB2312" w:hAnsi="仿宋_GB2312" w:eastAsia="仿宋_GB2312" w:cs="仿宋_GB2312"/>
          <w:color w:val="000000"/>
          <w:sz w:val="32"/>
          <w:szCs w:val="32"/>
        </w:rPr>
        <w:t>0万元，</w:t>
      </w:r>
      <w:r>
        <w:rPr>
          <w:rFonts w:ascii="仿宋_GB2312" w:hAnsi="仿宋_GB2312" w:eastAsia="仿宋_GB2312" w:cs="仿宋_GB2312"/>
          <w:b/>
          <w:bCs/>
          <w:color w:val="000000"/>
          <w:sz w:val="32"/>
          <w:szCs w:val="32"/>
        </w:rPr>
        <w:t>完成预算0%。</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无外事接待支出。</w:t>
      </w:r>
    </w:p>
    <w:p>
      <w:pPr>
        <w:spacing w:line="600" w:lineRule="exact"/>
        <w:ind w:firstLine="640" w:firstLineChars="200"/>
        <w:outlineLvl w:val="1"/>
        <w:rPr>
          <w:rFonts w:ascii="黑体" w:hAnsi="黑体" w:eastAsia="黑体" w:cs="Times New Roman"/>
        </w:rPr>
      </w:pPr>
      <w:bookmarkStart w:id="42" w:name="_Toc15396610"/>
      <w:bookmarkStart w:id="43" w:name="_Toc15377218"/>
      <w:r>
        <w:rPr>
          <w:rFonts w:ascii="黑体" w:hAnsi="黑体" w:eastAsia="黑体" w:cs="Times New Roman"/>
          <w:color w:val="000000"/>
          <w:sz w:val="32"/>
          <w:szCs w:val="32"/>
        </w:rPr>
        <w:t>八、</w:t>
      </w:r>
      <w:r>
        <w:rPr>
          <w:rFonts w:ascii="黑体" w:hAnsi="黑体" w:eastAsia="黑体" w:cs="Times New Roman"/>
          <w:b w:val="0"/>
          <w:bCs/>
          <w:sz w:val="32"/>
          <w:szCs w:val="32"/>
        </w:rPr>
        <w:t>政府性基金预算支出决算情况说明</w:t>
      </w:r>
      <w:bookmarkEnd w:id="42"/>
      <w:bookmarkEnd w:id="43"/>
    </w:p>
    <w:p>
      <w:pPr>
        <w:spacing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Times New Roman"/>
          <w:color w:val="000000"/>
          <w:sz w:val="32"/>
          <w:szCs w:val="32"/>
        </w:rPr>
        <w:t>2021年政府性基金预算拨款支出0万元。</w:t>
      </w:r>
    </w:p>
    <w:p>
      <w:pPr>
        <w:tabs>
          <w:tab w:val="left" w:pos="0"/>
        </w:tabs>
        <w:spacing w:line="600" w:lineRule="exact"/>
        <w:ind w:firstLine="640" w:firstLineChars="200"/>
        <w:outlineLvl w:val="1"/>
        <w:rPr>
          <w:rFonts w:ascii="黑体" w:hAnsi="黑体" w:eastAsia="黑体" w:cs="Times New Roman"/>
          <w:b w:val="0"/>
        </w:rPr>
      </w:pPr>
      <w:bookmarkStart w:id="44" w:name="_Toc15396611"/>
      <w:bookmarkStart w:id="45" w:name="_Toc15377219"/>
      <w:r>
        <w:rPr>
          <w:rFonts w:ascii="黑体" w:hAnsi="黑体" w:eastAsia="黑体" w:cs="Times New Roman"/>
          <w:b w:val="0"/>
          <w:bCs/>
          <w:sz w:val="32"/>
          <w:szCs w:val="32"/>
        </w:rPr>
        <w:t>九、国有资本经营预算支出决算情况说明</w:t>
      </w:r>
      <w:bookmarkEnd w:id="44"/>
      <w:bookmarkEnd w:id="45"/>
    </w:p>
    <w:p>
      <w:pPr>
        <w:spacing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Times New Roman"/>
          <w:color w:val="000000"/>
          <w:sz w:val="32"/>
          <w:szCs w:val="32"/>
        </w:rPr>
        <w:t>2021年国有资本经营预算拨款支出0万元。</w:t>
      </w:r>
    </w:p>
    <w:p>
      <w:pPr>
        <w:tabs>
          <w:tab w:val="left" w:pos="0"/>
        </w:tabs>
        <w:spacing w:line="600" w:lineRule="exact"/>
        <w:ind w:firstLine="640" w:firstLineChars="200"/>
        <w:outlineLvl w:val="1"/>
        <w:rPr>
          <w:rFonts w:ascii="黑体" w:hAnsi="黑体" w:eastAsia="黑体" w:cs="Times New Roman"/>
          <w:b w:val="0"/>
        </w:rPr>
      </w:pPr>
      <w:bookmarkStart w:id="46" w:name="_Toc15377221"/>
      <w:bookmarkStart w:id="47" w:name="_Toc15396612"/>
      <w:r>
        <w:rPr>
          <w:rFonts w:ascii="黑体" w:hAnsi="黑体" w:eastAsia="黑体" w:cs="Times New Roman"/>
          <w:b w:val="0"/>
          <w:bCs/>
          <w:sz w:val="32"/>
          <w:szCs w:val="32"/>
        </w:rPr>
        <w:t>十、其他重要事项的情况说明</w:t>
      </w:r>
      <w:bookmarkEnd w:id="46"/>
      <w:bookmarkEnd w:id="47"/>
    </w:p>
    <w:p>
      <w:pPr>
        <w:spacing w:line="600" w:lineRule="exact"/>
        <w:ind w:firstLine="643" w:firstLineChars="200"/>
        <w:outlineLvl w:val="2"/>
        <w:rPr>
          <w:rFonts w:ascii="楷体_GB2312" w:hAnsi="楷体_GB2312" w:eastAsia="楷体_GB2312" w:cs="楷体_GB2312"/>
          <w:color w:val="000000"/>
          <w:sz w:val="32"/>
          <w:szCs w:val="32"/>
        </w:rPr>
      </w:pPr>
      <w:bookmarkStart w:id="48" w:name="_Toc15377222"/>
      <w:r>
        <w:rPr>
          <w:rFonts w:ascii="楷体_GB2312" w:hAnsi="楷体_GB2312" w:eastAsia="楷体_GB2312" w:cs="楷体_GB2312"/>
          <w:b/>
          <w:color w:val="000000"/>
          <w:sz w:val="32"/>
          <w:szCs w:val="32"/>
        </w:rPr>
        <w:t>（一）机关运行经费支出情况</w:t>
      </w:r>
      <w:bookmarkEnd w:id="48"/>
    </w:p>
    <w:p>
      <w:pPr>
        <w:spacing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Times New Roman"/>
          <w:color w:val="000000"/>
          <w:sz w:val="32"/>
          <w:szCs w:val="32"/>
        </w:rPr>
        <w:t>中心为事业单位，无机关运行费支出。</w:t>
      </w:r>
    </w:p>
    <w:p>
      <w:pPr>
        <w:spacing w:line="600" w:lineRule="exact"/>
        <w:ind w:firstLine="643" w:firstLineChars="200"/>
        <w:outlineLvl w:val="2"/>
        <w:rPr>
          <w:rFonts w:ascii="楷体_GB2312" w:hAnsi="楷体_GB2312" w:eastAsia="楷体_GB2312" w:cs="楷体_GB2312"/>
          <w:b/>
          <w:color w:val="000000"/>
          <w:sz w:val="32"/>
          <w:szCs w:val="32"/>
        </w:rPr>
      </w:pPr>
      <w:bookmarkStart w:id="49" w:name="_Toc15377223"/>
      <w:r>
        <w:rPr>
          <w:rFonts w:ascii="楷体_GB2312" w:hAnsi="楷体_GB2312" w:eastAsia="楷体_GB2312" w:cs="楷体_GB2312"/>
          <w:b/>
          <w:color w:val="000000"/>
          <w:sz w:val="32"/>
          <w:szCs w:val="32"/>
        </w:rPr>
        <w:t>（二）政府采购支出情况</w:t>
      </w:r>
      <w:bookmarkEnd w:id="49"/>
    </w:p>
    <w:p>
      <w:pPr>
        <w:spacing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Times New Roman"/>
          <w:color w:val="000000"/>
          <w:sz w:val="32"/>
          <w:szCs w:val="32"/>
        </w:rPr>
        <w:t>2021年，四川省司法厅机关服务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line="600" w:lineRule="exact"/>
        <w:ind w:firstLine="643" w:firstLineChars="200"/>
        <w:outlineLvl w:val="2"/>
        <w:rPr>
          <w:rFonts w:ascii="楷体_GB2312" w:hAnsi="楷体_GB2312" w:eastAsia="楷体_GB2312" w:cs="楷体_GB2312"/>
          <w:b/>
          <w:color w:val="000000"/>
          <w:sz w:val="32"/>
          <w:szCs w:val="32"/>
        </w:rPr>
      </w:pPr>
      <w:bookmarkStart w:id="50" w:name="_Toc15377224"/>
      <w:r>
        <w:rPr>
          <w:rFonts w:ascii="楷体_GB2312" w:hAnsi="楷体_GB2312" w:eastAsia="楷体_GB2312" w:cs="楷体_GB2312"/>
          <w:b/>
          <w:color w:val="000000"/>
          <w:sz w:val="32"/>
          <w:szCs w:val="32"/>
        </w:rPr>
        <w:t>（三）国有资产占有使用情况</w:t>
      </w:r>
      <w:bookmarkEnd w:id="50"/>
    </w:p>
    <w:p>
      <w:pPr>
        <w:autoSpaceDE w:val="0"/>
        <w:autoSpaceDN w:val="0"/>
        <w:spacing w:line="60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Times New Roman"/>
          <w:color w:val="000000"/>
          <w:sz w:val="32"/>
          <w:szCs w:val="32"/>
        </w:rPr>
        <w:t>截至2021年12月31日，四川省司法厅机关服务中心共有车辆0辆。单价50万元以上通用设备0台（套），单价100万元以上专用设备0台（套）。</w:t>
      </w:r>
    </w:p>
    <w:p>
      <w:pPr>
        <w:spacing w:line="600" w:lineRule="exact"/>
        <w:ind w:firstLine="643" w:firstLineChars="200"/>
        <w:outlineLvl w:val="2"/>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（四）预算绩效管理情况。</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本单位无专项预算项目，因此未组织开展项目支出绩效评价。</w:t>
      </w:r>
    </w:p>
    <w:p>
      <w:pPr>
        <w:spacing w:line="580" w:lineRule="exact"/>
        <w:rPr>
          <w:rFonts w:ascii="仿宋_GB2312" w:hAnsi="仿宋_GB2312" w:eastAsia="仿宋_GB2312" w:cs="仿宋_GB2312"/>
          <w:sz w:val="32"/>
          <w:szCs w:val="32"/>
        </w:rPr>
      </w:pPr>
      <w:r>
        <w:rPr>
          <w:rFonts w:ascii="Times New Roman" w:hAnsi="Times New Roman" w:eastAsia="宋体" w:cs="Times New Roman"/>
        </w:rPr>
        <w:br w:type="page"/>
      </w:r>
    </w:p>
    <w:p>
      <w:pPr>
        <w:widowControl/>
        <w:spacing w:line="600" w:lineRule="exact"/>
        <w:jc w:val="center"/>
        <w:rPr>
          <w:rFonts w:ascii="方正小标宋简体" w:hAnsi="方正小标宋简体" w:eastAsia="方正小标宋简体" w:cs="方正小标宋简体"/>
          <w:b w:val="0"/>
          <w:bCs w:val="0"/>
          <w:color w:val="000000"/>
        </w:rPr>
      </w:pPr>
      <w:bookmarkStart w:id="51" w:name="_Toc15396613"/>
      <w:bookmarkStart w:id="52" w:name="_Toc15377225"/>
      <w:r>
        <w:rPr>
          <w:rFonts w:ascii="方正小标宋简体" w:hAnsi="方正小标宋简体" w:eastAsia="方正小标宋简体" w:cs="方正小标宋简体"/>
          <w:b w:val="0"/>
          <w:bCs w:val="0"/>
          <w:color w:val="000000"/>
          <w:sz w:val="44"/>
          <w:szCs w:val="44"/>
        </w:rPr>
        <w:t xml:space="preserve">第三部分  </w:t>
      </w:r>
      <w:r>
        <w:rPr>
          <w:rFonts w:ascii="方正小标宋简体" w:hAnsi="方正小标宋简体" w:eastAsia="方正小标宋简体" w:cs="方正小标宋简体"/>
          <w:color w:val="000000"/>
          <w:sz w:val="44"/>
          <w:szCs w:val="44"/>
        </w:rPr>
        <w:t>名</w:t>
      </w:r>
      <w:r>
        <w:rPr>
          <w:rFonts w:ascii="方正小标宋简体" w:hAnsi="方正小标宋简体" w:eastAsia="方正小标宋简体" w:cs="方正小标宋简体"/>
          <w:b w:val="0"/>
          <w:bCs w:val="0"/>
          <w:color w:val="000000"/>
          <w:sz w:val="44"/>
          <w:szCs w:val="44"/>
        </w:rPr>
        <w:t>词解释</w:t>
      </w:r>
      <w:bookmarkEnd w:id="51"/>
      <w:bookmarkEnd w:id="52"/>
    </w:p>
    <w:p>
      <w:pPr>
        <w:spacing w:line="600" w:lineRule="exact"/>
        <w:rPr>
          <w:rFonts w:ascii="仿宋_GB2312" w:hAnsi="仿宋_GB2312" w:eastAsia="仿宋_GB2312" w:cs="仿宋_GB2312"/>
          <w:b/>
          <w:color w:val="000000"/>
          <w:sz w:val="32"/>
          <w:szCs w:val="32"/>
        </w:rPr>
      </w:pP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bookmarkStart w:id="53" w:name="_Toc15396614"/>
      <w:r>
        <w:rPr>
          <w:rFonts w:ascii="仿宋_GB2312" w:hAnsi="仿宋_GB2312" w:eastAsia="仿宋_GB2312" w:cs="仿宋_GB2312"/>
          <w:color w:val="000000"/>
          <w:sz w:val="32"/>
          <w:szCs w:val="32"/>
          <w:lang w:val="en-US" w:eastAsia="zh-CN" w:bidi="ar-SA"/>
        </w:rPr>
        <w:t>1.财政拨款收入：指单位从同级财政部门取得的财政预算资金。</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2.事业收入：指事业单位开展专业业务活动及辅助活动取得的收入。</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3.经营收入：指事业单位在专业业务活动及其辅助活动之外开展非独立核算经营活动取得的收入。</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4.其他收入：指单位取得的除上述收入以外的各项收入。</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5.使用非财政拨款结余：指事业单位使用以前年度积累的非财政拨款结余弥补当年收支差额的金额。</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6.年初结转和结余：指以前年度尚未完成、结转到本年按有关规定继续使用的资金。</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7.结余分配：指事业单位按照会计制度规定缴纳的所得税、提取的专用结余以及转入非财政拨款结余的金额等。</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8.年末结转和结余：指单位按有关规定结转到下年或以后年度继续使用的资金。</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9.公共安全支出（类）司法（款）机关服务（项）:反映行政单位（包括试行公务员管理的事业单位）提供后勤服务的各类后勤服务中心、医务室等附属事业单位的支出。</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10.社会保障和就业（类）行政事业单位离退休（款）机关事业单位基本养老保险缴费支出（项）：指反映机关事业单位实施养老保险制度由单位缴纳基本养老保险费支出；</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社会保障和就业（类）行政事业单位离退休（款）机关事业单位职业年金缴费支出（项）：指反映机关事业单位实施养老保险制度由单位实际缴纳的职业年金支出。</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11.卫生健康支出（类）行政事业单位医疗（款）事业单位医疗（项）:指财政部门集中安排的事业单位基本医疗保险缴费经费，未参加医疗保险的事业单位的公费医疗经费，按国家规定享受离休人员待遇的医疗经费。</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12.卫生健康支出（类）行政事业单位医疗（款）公务员医疗补助（项）:指财政部门集中安排的公务员补助经费。</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13.住房保障支付（类）住房改革支出（款）住房公积金（项）:指行政事业单位按人力资源和社会保障部、财政部规定的基本工资和津补贴以及规定比例为职工缴纳的住房公积金。</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14.住房保障支出（类）住房改革支出（款）购房补贴（项）:指按房改政策规定，行政事业单位向符合条件职工（含离退休人员）、军队（含武警）向转役复员离退休人员发放的用于购买住房的补贴。</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15.基本支出：指为保障机构正常运转、完成日常工作任务而发生的人员支出和公用支出。</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16.项目支出：指在基本支出之外为完成特定行政任务和事业发展目标所发生的支出。</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17.经营支出：指事业单位在专业业务活动及其辅助活动之外开展非独立核算经营活动发生的支出。</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18.“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val="0"/>
        <w:spacing w:line="600" w:lineRule="exact"/>
        <w:ind w:firstLine="640" w:firstLineChars="200"/>
        <w:jc w:val="both"/>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黑体" w:hAnsi="黑体" w:eastAsia="黑体" w:cs="Times New Roman"/>
          <w:color w:val="000000"/>
          <w:sz w:val="44"/>
          <w:szCs w:val="44"/>
        </w:rPr>
      </w:pPr>
    </w:p>
    <w:p>
      <w:pPr>
        <w:spacing w:line="600" w:lineRule="exact"/>
        <w:jc w:val="center"/>
        <w:outlineLvl w:val="0"/>
        <w:rPr>
          <w:rFonts w:ascii="方正小标宋简体" w:hAnsi="方正小标宋简体" w:eastAsia="方正小标宋简体" w:cs="方正小标宋简体"/>
          <w:b w:val="0"/>
          <w:bCs w:val="0"/>
        </w:rPr>
      </w:pPr>
      <w:r>
        <w:rPr>
          <w:rFonts w:ascii="方正小标宋简体" w:hAnsi="方正小标宋简体" w:eastAsia="方正小标宋简体" w:cs="方正小标宋简体"/>
          <w:color w:val="000000"/>
          <w:sz w:val="44"/>
          <w:szCs w:val="44"/>
        </w:rPr>
        <w:t>第</w:t>
      </w:r>
      <w:r>
        <w:rPr>
          <w:rFonts w:ascii="方正小标宋简体" w:hAnsi="方正小标宋简体" w:eastAsia="方正小标宋简体" w:cs="方正小标宋简体"/>
          <w:b w:val="0"/>
          <w:bCs w:val="0"/>
          <w:sz w:val="44"/>
          <w:szCs w:val="44"/>
        </w:rPr>
        <w:t>四部分  附件</w:t>
      </w:r>
      <w:bookmarkEnd w:id="53"/>
    </w:p>
    <w:p>
      <w:pPr>
        <w:spacing w:line="600" w:lineRule="exact"/>
        <w:jc w:val="center"/>
        <w:rPr>
          <w:rFonts w:ascii="方正小标宋简体" w:hAnsi="方正小标宋简体" w:eastAsia="方正小标宋简体" w:cs="Times New Roman"/>
          <w:color w:val="FF0000"/>
          <w:kern w:val="0"/>
          <w:sz w:val="44"/>
          <w:szCs w:val="44"/>
          <w:lang w:val="zh-CN"/>
        </w:rPr>
      </w:pPr>
    </w:p>
    <w:p>
      <w:pPr>
        <w:spacing w:line="600" w:lineRule="exact"/>
        <w:jc w:val="center"/>
        <w:rPr>
          <w:rFonts w:ascii="宋体" w:hAnsi="宋体" w:eastAsia="宋体" w:cs="Times New Roman"/>
          <w:sz w:val="32"/>
          <w:szCs w:val="32"/>
          <w:lang w:val="zh-CN"/>
        </w:rPr>
      </w:pPr>
      <w:r>
        <w:rPr>
          <w:rFonts w:ascii="仿宋_GB2312" w:hAnsi="仿宋_GB2312" w:eastAsia="仿宋_GB2312" w:cs="仿宋_GB2312"/>
          <w:sz w:val="32"/>
          <w:szCs w:val="32"/>
        </w:rPr>
        <w:t>本单位无专项预算项目</w:t>
      </w: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napToGrid w:val="0"/>
        <w:spacing w:line="600" w:lineRule="exact"/>
        <w:ind w:firstLine="720"/>
        <w:rPr>
          <w:rFonts w:ascii="黑体" w:hAnsi="黑体" w:eastAsia="黑体" w:cs="Times New Roman"/>
          <w:sz w:val="32"/>
          <w:szCs w:val="32"/>
          <w:lang w:val="zh-CN"/>
        </w:rPr>
      </w:pPr>
    </w:p>
    <w:p>
      <w:pPr>
        <w:spacing w:line="60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第五部分  附表</w:t>
      </w:r>
      <w:bookmarkEnd w:id="40"/>
      <w:bookmarkEnd w:id="41"/>
      <w:bookmarkStart w:id="54" w:name="_Toc15396619"/>
    </w:p>
    <w:p>
      <w:pPr>
        <w:widowControl w:val="0"/>
        <w:jc w:val="both"/>
        <w:rPr>
          <w:rFonts w:ascii="方正小标宋_GBK" w:hAnsi="方正小标宋_GBK" w:eastAsia="方正小标宋_GBK" w:cs="方正小标宋_GBK"/>
          <w:color w:val="000000"/>
          <w:kern w:val="0"/>
          <w:sz w:val="44"/>
          <w:szCs w:val="44"/>
          <w:lang w:val="en-US" w:eastAsia="zh-CN" w:bidi="ar-SA"/>
        </w:rPr>
      </w:pPr>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一、收入支出决算总表</w:t>
      </w:r>
      <w:bookmarkEnd w:id="54"/>
    </w:p>
    <w:p>
      <w:pPr>
        <w:spacing w:line="600" w:lineRule="exact"/>
        <w:rPr>
          <w:rFonts w:ascii="仿宋_GB2312" w:hAnsi="仿宋_GB2312" w:eastAsia="仿宋_GB2312" w:cs="仿宋_GB2312"/>
          <w:sz w:val="32"/>
          <w:szCs w:val="32"/>
        </w:rPr>
      </w:pPr>
      <w:bookmarkStart w:id="55" w:name="_Toc15396620"/>
      <w:r>
        <w:rPr>
          <w:rFonts w:ascii="仿宋_GB2312" w:hAnsi="仿宋_GB2312" w:eastAsia="仿宋_GB2312" w:cs="仿宋_GB2312"/>
          <w:sz w:val="32"/>
          <w:szCs w:val="32"/>
        </w:rPr>
        <w:t>二、收入决算表</w:t>
      </w:r>
      <w:bookmarkEnd w:id="55"/>
    </w:p>
    <w:p>
      <w:pPr>
        <w:spacing w:line="600" w:lineRule="exact"/>
        <w:rPr>
          <w:rFonts w:ascii="仿宋_GB2312" w:hAnsi="仿宋_GB2312" w:eastAsia="仿宋_GB2312" w:cs="仿宋_GB2312"/>
          <w:sz w:val="32"/>
          <w:szCs w:val="32"/>
        </w:rPr>
      </w:pPr>
      <w:bookmarkStart w:id="56" w:name="_Toc15396621"/>
      <w:r>
        <w:rPr>
          <w:rFonts w:ascii="仿宋_GB2312" w:hAnsi="仿宋_GB2312" w:eastAsia="仿宋_GB2312" w:cs="仿宋_GB2312"/>
          <w:sz w:val="32"/>
          <w:szCs w:val="32"/>
        </w:rPr>
        <w:t>三、支出决算表</w:t>
      </w:r>
      <w:bookmarkEnd w:id="56"/>
    </w:p>
    <w:p>
      <w:pPr>
        <w:spacing w:line="600" w:lineRule="exact"/>
        <w:rPr>
          <w:rFonts w:ascii="仿宋_GB2312" w:hAnsi="仿宋_GB2312" w:eastAsia="仿宋_GB2312" w:cs="仿宋_GB2312"/>
          <w:sz w:val="32"/>
          <w:szCs w:val="32"/>
        </w:rPr>
      </w:pPr>
      <w:bookmarkStart w:id="57" w:name="_Toc15396622"/>
      <w:r>
        <w:rPr>
          <w:rFonts w:ascii="仿宋_GB2312" w:hAnsi="仿宋_GB2312" w:eastAsia="仿宋_GB2312" w:cs="仿宋_GB2312"/>
          <w:sz w:val="32"/>
          <w:szCs w:val="32"/>
        </w:rPr>
        <w:t>四、财政拨款收入支出决算总表</w:t>
      </w:r>
      <w:bookmarkEnd w:id="57"/>
    </w:p>
    <w:p>
      <w:pPr>
        <w:spacing w:line="600" w:lineRule="exact"/>
        <w:rPr>
          <w:rFonts w:ascii="仿宋_GB2312" w:hAnsi="仿宋_GB2312" w:eastAsia="仿宋_GB2312" w:cs="仿宋_GB2312"/>
          <w:sz w:val="32"/>
          <w:szCs w:val="32"/>
        </w:rPr>
      </w:pPr>
      <w:bookmarkStart w:id="58" w:name="_Toc15396623"/>
      <w:r>
        <w:rPr>
          <w:rFonts w:ascii="仿宋_GB2312" w:hAnsi="仿宋_GB2312" w:eastAsia="仿宋_GB2312" w:cs="仿宋_GB2312"/>
          <w:sz w:val="32"/>
          <w:szCs w:val="32"/>
        </w:rPr>
        <w:t>五、财政拨款支出决算明细表</w:t>
      </w:r>
      <w:bookmarkEnd w:id="58"/>
      <w:bookmarkStart w:id="59" w:name="_Toc15396624"/>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六、一般公共预算财政拨款支出决算表</w:t>
      </w:r>
      <w:bookmarkEnd w:id="59"/>
    </w:p>
    <w:p>
      <w:pPr>
        <w:spacing w:line="600" w:lineRule="exact"/>
        <w:rPr>
          <w:rFonts w:ascii="仿宋_GB2312" w:hAnsi="仿宋_GB2312" w:eastAsia="仿宋_GB2312" w:cs="仿宋_GB2312"/>
          <w:sz w:val="32"/>
          <w:szCs w:val="32"/>
        </w:rPr>
      </w:pPr>
      <w:bookmarkStart w:id="60" w:name="_Toc15396625"/>
      <w:r>
        <w:rPr>
          <w:rFonts w:ascii="仿宋_GB2312" w:hAnsi="仿宋_GB2312" w:eastAsia="仿宋_GB2312" w:cs="仿宋_GB2312"/>
          <w:sz w:val="32"/>
          <w:szCs w:val="32"/>
        </w:rPr>
        <w:t>七、一般公共预算财政拨款支出决算明细表</w:t>
      </w:r>
      <w:bookmarkEnd w:id="60"/>
    </w:p>
    <w:p>
      <w:pPr>
        <w:spacing w:line="600" w:lineRule="exact"/>
        <w:rPr>
          <w:rFonts w:ascii="仿宋_GB2312" w:hAnsi="仿宋_GB2312" w:eastAsia="仿宋_GB2312" w:cs="仿宋_GB2312"/>
          <w:sz w:val="32"/>
          <w:szCs w:val="32"/>
        </w:rPr>
      </w:pPr>
      <w:bookmarkStart w:id="61" w:name="_Toc15396626"/>
      <w:r>
        <w:rPr>
          <w:rFonts w:ascii="仿宋_GB2312" w:hAnsi="仿宋_GB2312" w:eastAsia="仿宋_GB2312" w:cs="仿宋_GB2312"/>
          <w:sz w:val="32"/>
          <w:szCs w:val="32"/>
        </w:rPr>
        <w:t>八、一般公共预算财政拨款基本支出决算表</w:t>
      </w:r>
      <w:bookmarkEnd w:id="61"/>
    </w:p>
    <w:p>
      <w:pPr>
        <w:spacing w:line="600" w:lineRule="exact"/>
        <w:rPr>
          <w:rFonts w:ascii="仿宋_GB2312" w:hAnsi="仿宋_GB2312" w:eastAsia="仿宋_GB2312" w:cs="仿宋_GB2312"/>
          <w:sz w:val="32"/>
          <w:szCs w:val="32"/>
        </w:rPr>
      </w:pPr>
      <w:bookmarkStart w:id="62" w:name="_Toc15396627"/>
      <w:r>
        <w:rPr>
          <w:rFonts w:ascii="仿宋_GB2312" w:hAnsi="仿宋_GB2312" w:eastAsia="仿宋_GB2312" w:cs="仿宋_GB2312"/>
          <w:sz w:val="32"/>
          <w:szCs w:val="32"/>
        </w:rPr>
        <w:t>九、一般公共预算财政拨款项目支出决算表</w:t>
      </w:r>
      <w:bookmarkEnd w:id="62"/>
    </w:p>
    <w:p>
      <w:pPr>
        <w:spacing w:line="600" w:lineRule="exact"/>
        <w:rPr>
          <w:rFonts w:ascii="仿宋_GB2312" w:hAnsi="仿宋_GB2312" w:eastAsia="仿宋_GB2312" w:cs="仿宋_GB2312"/>
          <w:sz w:val="32"/>
          <w:szCs w:val="32"/>
        </w:rPr>
      </w:pPr>
      <w:bookmarkStart w:id="63" w:name="_Toc15396628"/>
      <w:r>
        <w:rPr>
          <w:rFonts w:ascii="仿宋_GB2312" w:hAnsi="仿宋_GB2312" w:eastAsia="仿宋_GB2312" w:cs="仿宋_GB2312"/>
          <w:sz w:val="32"/>
          <w:szCs w:val="32"/>
        </w:rPr>
        <w:t>十、一般公共预算财政拨款“三公”经费支出决算表</w:t>
      </w:r>
      <w:bookmarkEnd w:id="63"/>
    </w:p>
    <w:p>
      <w:pPr>
        <w:spacing w:line="600" w:lineRule="exact"/>
        <w:rPr>
          <w:rFonts w:ascii="仿宋_GB2312" w:hAnsi="仿宋_GB2312" w:eastAsia="仿宋_GB2312" w:cs="仿宋_GB2312"/>
          <w:sz w:val="32"/>
          <w:szCs w:val="32"/>
        </w:rPr>
      </w:pPr>
      <w:bookmarkStart w:id="64" w:name="_Toc15396629"/>
      <w:r>
        <w:rPr>
          <w:rFonts w:ascii="仿宋_GB2312" w:hAnsi="仿宋_GB2312" w:eastAsia="仿宋_GB2312" w:cs="仿宋_GB2312"/>
          <w:sz w:val="32"/>
          <w:szCs w:val="32"/>
        </w:rPr>
        <w:t>十一、政府性基金预算财政拨款收入支出决算表</w:t>
      </w:r>
      <w:bookmarkEnd w:id="64"/>
    </w:p>
    <w:p>
      <w:pPr>
        <w:spacing w:line="600" w:lineRule="exact"/>
        <w:rPr>
          <w:rFonts w:ascii="仿宋_GB2312" w:hAnsi="仿宋_GB2312" w:eastAsia="仿宋_GB2312" w:cs="仿宋_GB2312"/>
          <w:sz w:val="32"/>
          <w:szCs w:val="32"/>
        </w:rPr>
      </w:pPr>
      <w:bookmarkStart w:id="65" w:name="_Toc15396630"/>
      <w:r>
        <w:rPr>
          <w:rFonts w:ascii="仿宋_GB2312" w:hAnsi="仿宋_GB2312" w:eastAsia="仿宋_GB2312" w:cs="仿宋_GB2312"/>
          <w:sz w:val="32"/>
          <w:szCs w:val="32"/>
        </w:rPr>
        <w:t>十二、政府性基金预算财政拨款“三公”经费支出决算表</w:t>
      </w:r>
      <w:bookmarkEnd w:id="65"/>
    </w:p>
    <w:p>
      <w:pPr>
        <w:spacing w:line="600" w:lineRule="exact"/>
        <w:rPr>
          <w:rFonts w:ascii="仿宋_GB2312" w:hAnsi="仿宋_GB2312" w:eastAsia="仿宋_GB2312" w:cs="仿宋_GB2312"/>
          <w:sz w:val="32"/>
          <w:szCs w:val="32"/>
        </w:rPr>
      </w:pPr>
      <w:bookmarkStart w:id="66" w:name="_Toc15396631"/>
      <w:r>
        <w:rPr>
          <w:rFonts w:ascii="仿宋_GB2312" w:hAnsi="仿宋_GB2312" w:eastAsia="仿宋_GB2312" w:cs="仿宋_GB2312"/>
          <w:sz w:val="32"/>
          <w:szCs w:val="32"/>
        </w:rPr>
        <w:t>十三、国有资本经营预算财政拨款收入支出决算表</w:t>
      </w:r>
      <w:bookmarkEnd w:id="66"/>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十四、国有资本经营预算财政拨款支出决算表</w:t>
      </w:r>
    </w:p>
    <w:p/>
    <w:sectPr>
      <w:headerReference r:id="rId4" w:type="default"/>
      <w:footerReference r:id="rId5" w:type="default"/>
      <w:pgSz w:w="11906" w:h="16838"/>
      <w:pgMar w:top="1701" w:right="1587" w:bottom="1701" w:left="1587" w:header="851" w:footer="1417" w:gutter="0"/>
      <w:pgNumType w:start="1"/>
      <w:cols w:space="720" w:num="1"/>
      <w:formProt w:val="0"/>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1"/>
    <w:family w:val="auto"/>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mc:AlternateContent>
        <mc:Choice Requires="wps">
          <w:drawing>
            <wp:anchor distT="0" distB="0" distL="0" distR="0" simplePos="0" relativeHeight="251659264" behindDoc="1" locked="0" layoutInCell="0" allowOverlap="1">
              <wp:simplePos x="0" y="0"/>
              <wp:positionH relativeFrom="margin">
                <wp:align>outside</wp:align>
              </wp:positionH>
              <wp:positionV relativeFrom="paragraph">
                <wp:posOffset>635</wp:posOffset>
              </wp:positionV>
              <wp:extent cx="1829435" cy="229870"/>
              <wp:effectExtent l="0" t="0" r="0" b="0"/>
              <wp:wrapNone/>
              <wp:docPr id="7" name="文本框 12"/>
              <wp:cNvGraphicFramePr/>
              <a:graphic xmlns:a="http://schemas.openxmlformats.org/drawingml/2006/main">
                <a:graphicData uri="http://schemas.microsoft.com/office/word/2010/wordprocessingShape">
                  <wps:wsp>
                    <wps:cNvSpPr/>
                    <wps:spPr>
                      <a:xfrm>
                        <a:off x="0" y="0"/>
                        <a:ext cx="1828800" cy="229320"/>
                      </a:xfrm>
                      <a:prstGeom prst="rect">
                        <a:avLst/>
                      </a:prstGeom>
                      <a:noFill/>
                      <a:ln w="6350">
                        <a:noFill/>
                      </a:ln>
                      <a:effectLst/>
                    </wps:spPr>
                    <wps:style>
                      <a:lnRef idx="0">
                        <a:schemeClr val="accent1"/>
                      </a:lnRef>
                      <a:fillRef idx="0">
                        <a:schemeClr val="accent1"/>
                      </a:fillRef>
                      <a:effectRef idx="0">
                        <a:schemeClr val="accent1"/>
                      </a:effectRef>
                      <a:fontRef idx="minor"/>
                    </wps:style>
                    <wps:txbx>
                      <w:txbxContent>
                        <w:p>
                          <w:pPr>
                            <w:widowControl w:val="0"/>
                            <w:tabs>
                              <w:tab w:val="center" w:pos="4153"/>
                              <w:tab w:val="right" w:pos="8306"/>
                            </w:tabs>
                            <w:snapToGrid w:val="0"/>
                            <w:jc w:val="left"/>
                            <w:rPr>
                              <w:rFonts w:ascii="宋体" w:hAnsi="宋体" w:eastAsia="宋体" w:cs="宋体"/>
                              <w:kern w:val="0"/>
                              <w:sz w:val="28"/>
                              <w:szCs w:val="28"/>
                              <w:lang w:val="en-US" w:eastAsia="zh-CN" w:bidi="ar-SA"/>
                            </w:rPr>
                          </w:pPr>
                          <w:r>
                            <w:rPr>
                              <w:rFonts w:ascii="宋体" w:hAnsi="宋体" w:eastAsia="宋体" w:cs="宋体"/>
                              <w:color w:val="000000"/>
                              <w:kern w:val="0"/>
                              <w:sz w:val="28"/>
                              <w:szCs w:val="28"/>
                              <w:lang w:val="en-US" w:eastAsia="zh-CN" w:bidi="ar-SA"/>
                            </w:rPr>
                            <w:t xml:space="preserve">— </w:t>
                          </w:r>
                          <w:r>
                            <w:rPr>
                              <w:rFonts w:ascii="宋体" w:hAnsi="宋体" w:eastAsia="宋体" w:cs="宋体"/>
                              <w:color w:val="000000"/>
                              <w:kern w:val="0"/>
                              <w:sz w:val="28"/>
                              <w:szCs w:val="28"/>
                              <w:lang w:val="en-US" w:eastAsia="zh-CN" w:bidi="ar-SA"/>
                            </w:rPr>
                            <w:fldChar w:fldCharType="begin"/>
                          </w:r>
                          <w:r>
                            <w:rPr>
                              <w:rFonts w:ascii="宋体" w:hAnsi="宋体" w:eastAsia="宋体" w:cs="宋体"/>
                              <w:color w:val="000000"/>
                              <w:kern w:val="0"/>
                              <w:sz w:val="28"/>
                              <w:szCs w:val="28"/>
                              <w:lang w:val="en-US" w:eastAsia="zh-CN" w:bidi="ar-SA"/>
                            </w:rPr>
                            <w:instrText xml:space="preserve">PAGE</w:instrText>
                          </w:r>
                          <w:r>
                            <w:rPr>
                              <w:rFonts w:ascii="宋体" w:hAnsi="宋体" w:eastAsia="宋体" w:cs="宋体"/>
                              <w:color w:val="000000"/>
                              <w:kern w:val="0"/>
                              <w:sz w:val="28"/>
                              <w:szCs w:val="28"/>
                              <w:lang w:val="en-US" w:eastAsia="zh-CN" w:bidi="ar-SA"/>
                            </w:rPr>
                            <w:fldChar w:fldCharType="separate"/>
                          </w:r>
                          <w:r>
                            <w:rPr>
                              <w:rFonts w:ascii="宋体" w:hAnsi="宋体" w:eastAsia="宋体" w:cs="宋体"/>
                              <w:color w:val="000000"/>
                              <w:kern w:val="0"/>
                              <w:sz w:val="28"/>
                              <w:szCs w:val="28"/>
                              <w:lang w:val="en-US" w:eastAsia="zh-CN" w:bidi="ar-SA"/>
                            </w:rPr>
                            <w:t>21</w:t>
                          </w:r>
                          <w:r>
                            <w:rPr>
                              <w:rFonts w:ascii="宋体" w:hAnsi="宋体" w:eastAsia="宋体" w:cs="宋体"/>
                              <w:color w:val="000000"/>
                              <w:kern w:val="0"/>
                              <w:sz w:val="28"/>
                              <w:szCs w:val="28"/>
                              <w:lang w:val="en-US" w:eastAsia="zh-CN" w:bidi="ar-SA"/>
                            </w:rPr>
                            <w:fldChar w:fldCharType="end"/>
                          </w:r>
                          <w:r>
                            <w:rPr>
                              <w:rFonts w:ascii="宋体" w:hAnsi="宋体" w:eastAsia="宋体" w:cs="宋体"/>
                              <w:color w:val="000000"/>
                              <w:kern w:val="0"/>
                              <w:sz w:val="28"/>
                              <w:szCs w:val="28"/>
                              <w:lang w:val="en-US" w:eastAsia="zh-CN" w:bidi="ar-SA"/>
                            </w:rPr>
                            <w:t xml:space="preserve"> —</w:t>
                          </w:r>
                        </w:p>
                      </w:txbxContent>
                    </wps:txbx>
                    <wps:bodyPr lIns="0" tIns="0" rIns="0" bIns="0">
                      <a:spAutoFit/>
                    </wps:bodyPr>
                  </wps:wsp>
                </a:graphicData>
              </a:graphic>
            </wp:anchor>
          </w:drawing>
        </mc:Choice>
        <mc:Fallback>
          <w:pict>
            <v:rect id="文本框 12" o:spid="_x0000_s1026" o:spt="1" style="position:absolute;left:0pt;margin-top:0.05pt;height:18.1pt;width:144.05pt;mso-position-horizontal:outside;mso-position-horizontal-relative:margin;z-index:-251657216;mso-width-relative:page;mso-height-relative:page;" filled="f" stroked="f" coordsize="21600,21600" o:allowincell="f" o:gfxdata="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nl4FXTAAAABAEA&#10;AA8AAAAAAAAAAQAgAAAAIgAAAGRycy9kb3ducmV2LnhtbFBLAQIUABQAAAAIAIdO4kBMJrDLrQEA&#10;AEADAAAOAAAAAAAAAAEAIAAAACIBAABkcnMvZTJvRG9jLnhtbFBLBQYAAAAABgAGAFkBAABBBQAA&#10;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宋体" w:hAnsi="宋体" w:eastAsia="宋体" w:cs="宋体"/>
                        <w:kern w:val="0"/>
                        <w:sz w:val="28"/>
                        <w:szCs w:val="28"/>
                        <w:lang w:val="en-US" w:eastAsia="zh-CN" w:bidi="ar-SA"/>
                      </w:rPr>
                    </w:pPr>
                    <w:r>
                      <w:rPr>
                        <w:rFonts w:ascii="宋体" w:hAnsi="宋体" w:eastAsia="宋体" w:cs="宋体"/>
                        <w:color w:val="000000"/>
                        <w:kern w:val="0"/>
                        <w:sz w:val="28"/>
                        <w:szCs w:val="28"/>
                        <w:lang w:val="en-US" w:eastAsia="zh-CN" w:bidi="ar-SA"/>
                      </w:rPr>
                      <w:t xml:space="preserve">— </w:t>
                    </w:r>
                    <w:r>
                      <w:rPr>
                        <w:rFonts w:ascii="宋体" w:hAnsi="宋体" w:eastAsia="宋体" w:cs="宋体"/>
                        <w:color w:val="000000"/>
                        <w:kern w:val="0"/>
                        <w:sz w:val="28"/>
                        <w:szCs w:val="28"/>
                        <w:lang w:val="en-US" w:eastAsia="zh-CN" w:bidi="ar-SA"/>
                      </w:rPr>
                      <w:fldChar w:fldCharType="begin"/>
                    </w:r>
                    <w:r>
                      <w:rPr>
                        <w:rFonts w:ascii="宋体" w:hAnsi="宋体" w:eastAsia="宋体" w:cs="宋体"/>
                        <w:color w:val="000000"/>
                        <w:kern w:val="0"/>
                        <w:sz w:val="28"/>
                        <w:szCs w:val="28"/>
                        <w:lang w:val="en-US" w:eastAsia="zh-CN" w:bidi="ar-SA"/>
                      </w:rPr>
                      <w:instrText xml:space="preserve">PAGE</w:instrText>
                    </w:r>
                    <w:r>
                      <w:rPr>
                        <w:rFonts w:ascii="宋体" w:hAnsi="宋体" w:eastAsia="宋体" w:cs="宋体"/>
                        <w:color w:val="000000"/>
                        <w:kern w:val="0"/>
                        <w:sz w:val="28"/>
                        <w:szCs w:val="28"/>
                        <w:lang w:val="en-US" w:eastAsia="zh-CN" w:bidi="ar-SA"/>
                      </w:rPr>
                      <w:fldChar w:fldCharType="separate"/>
                    </w:r>
                    <w:r>
                      <w:rPr>
                        <w:rFonts w:ascii="宋体" w:hAnsi="宋体" w:eastAsia="宋体" w:cs="宋体"/>
                        <w:color w:val="000000"/>
                        <w:kern w:val="0"/>
                        <w:sz w:val="28"/>
                        <w:szCs w:val="28"/>
                        <w:lang w:val="en-US" w:eastAsia="zh-CN" w:bidi="ar-SA"/>
                      </w:rPr>
                      <w:t>21</w:t>
                    </w:r>
                    <w:r>
                      <w:rPr>
                        <w:rFonts w:ascii="宋体" w:hAnsi="宋体" w:eastAsia="宋体" w:cs="宋体"/>
                        <w:color w:val="000000"/>
                        <w:kern w:val="0"/>
                        <w:sz w:val="28"/>
                        <w:szCs w:val="28"/>
                        <w:lang w:val="en-US" w:eastAsia="zh-CN" w:bidi="ar-SA"/>
                      </w:rPr>
                      <w:fldChar w:fldCharType="end"/>
                    </w:r>
                    <w:r>
                      <w:rPr>
                        <w:rFonts w:ascii="宋体" w:hAnsi="宋体" w:eastAsia="宋体" w:cs="宋体"/>
                        <w:color w:val="000000"/>
                        <w:kern w:val="0"/>
                        <w:sz w:val="28"/>
                        <w:szCs w:val="28"/>
                        <w:lang w:val="en-US" w:eastAsia="zh-CN" w:bidi="ar-SA"/>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0"/>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27A4B"/>
    <w:rsid w:val="2BF27A4B"/>
    <w:rsid w:val="47B6371F"/>
    <w:rsid w:val="6B23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label 0</c:f>
              <c:strCache>
                <c:ptCount val="1"/>
                <c:pt idx="0">
                  <c:v>序列 1</c:v>
                </c:pt>
              </c:strCache>
            </c:strRef>
          </c:tx>
          <c:spPr>
            <a:solidFill>
              <a:srgbClr val="4F81B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2021年（万元）</c:v>
                </c:pt>
                <c:pt idx="1">
                  <c:v>2020年（万元）</c:v>
                </c:pt>
              </c:strCache>
            </c:strRef>
          </c:cat>
          <c:val>
            <c:numRef>
              <c:f>0</c:f>
              <c:numCache>
                <c:formatCode>General</c:formatCode>
                <c:ptCount val="2"/>
                <c:pt idx="0">
                  <c:v>216.6</c:v>
                </c:pt>
                <c:pt idx="1">
                  <c:v>149.39</c:v>
                </c:pt>
              </c:numCache>
            </c:numRef>
          </c:val>
        </c:ser>
        <c:dLbls>
          <c:showLegendKey val="0"/>
          <c:showVal val="0"/>
          <c:showCatName val="0"/>
          <c:showSerName val="0"/>
          <c:showPercent val="0"/>
          <c:showBubbleSize val="0"/>
        </c:dLbls>
        <c:gapWidth val="150"/>
        <c:axId val="30982993"/>
        <c:axId val="575104"/>
      </c:barChart>
      <c:catAx>
        <c:axId val="30982993"/>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575104"/>
        <c:crosses val="autoZero"/>
        <c:auto val="1"/>
        <c:lblAlgn val="ctr"/>
        <c:lblOffset val="100"/>
        <c:noMultiLvlLbl val="0"/>
      </c:catAx>
      <c:valAx>
        <c:axId val="575104"/>
        <c:scaling>
          <c:orientation val="minMax"/>
        </c:scaling>
        <c:delete val="1"/>
        <c:axPos val="l"/>
        <c:majorGridlines>
          <c:spPr>
            <a:ln w="9360" cap="flat" cmpd="sng" algn="ctr">
              <a:solidFill>
                <a:srgbClr val="878787"/>
              </a:solidFill>
              <a:prstDash val="solid"/>
              <a:round/>
            </a:ln>
          </c:spPr>
        </c:majorGridlines>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30982993"/>
        <c:crosses val="autoZero"/>
        <c:crossBetween val="between"/>
      </c:valAx>
      <c:spPr>
        <a:solidFill>
          <a:srgbClr val="FFFFFF"/>
        </a:solidFill>
        <a:ln w="0">
          <a:noFill/>
        </a:ln>
      </c:spPr>
    </c:plotArea>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400" b="0" i="0" u="none" strike="noStrike" kern="1200" spc="-1" baseline="0">
                <a:solidFill>
                  <a:srgbClr val="595959"/>
                </a:solidFill>
                <a:latin typeface="Calibri" panose="020F0502020204030204"/>
                <a:ea typeface="+mn-ea"/>
                <a:cs typeface="+mn-cs"/>
              </a:defRPr>
            </a:pPr>
            <a:r>
              <a:rPr lang="en-US" sz="1400" b="0" strike="noStrike" spc="-1">
                <a:solidFill>
                  <a:srgbClr val="595959"/>
                </a:solidFill>
                <a:latin typeface="Calibri" panose="020F0502020204030204"/>
              </a:rPr>
              <a:t>2021年收入结构图</a:t>
            </a:r>
            <a:endParaRPr lang="en-US" sz="1400" b="0" strike="noStrike" spc="-1">
              <a:solidFill>
                <a:srgbClr val="595959"/>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序列 1</c:v>
                </c:pt>
              </c:strCache>
            </c:strRef>
          </c:tx>
          <c:spPr>
            <a:solidFill>
              <a:srgbClr val="4F81BD"/>
            </a:solidFill>
            <a:ln w="0">
              <a:noFill/>
            </a:ln>
          </c:spPr>
          <c:explosion val="0"/>
          <c:dPt>
            <c:idx val="0"/>
            <c:bubble3D val="0"/>
            <c:spPr>
              <a:solidFill>
                <a:srgbClr val="4F81BD"/>
              </a:solidFill>
              <a:ln w="19080">
                <a:solidFill>
                  <a:srgbClr val="FFFFFF"/>
                </a:solidFill>
                <a:round/>
              </a:ln>
            </c:spPr>
          </c:dPt>
          <c:dPt>
            <c:idx val="1"/>
            <c:bubble3D val="0"/>
            <c:spPr>
              <a:solidFill>
                <a:srgbClr val="C0504D"/>
              </a:solidFill>
              <a:ln w="19080">
                <a:solidFill>
                  <a:srgbClr val="FFFFFF"/>
                </a:solidFill>
                <a:round/>
              </a:ln>
            </c:spPr>
          </c:dPt>
          <c:dPt>
            <c:idx val="2"/>
            <c:bubble3D val="0"/>
            <c:spPr>
              <a:solidFill>
                <a:srgbClr val="9BBB59"/>
              </a:solidFill>
              <a:ln w="19080">
                <a:solidFill>
                  <a:srgbClr val="FFFFFF"/>
                </a:solidFill>
                <a:round/>
              </a:ln>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ctr"/>
              <c:showLegendKey val="0"/>
              <c:showVal val="0"/>
              <c:showCatName val="0"/>
              <c:showSerName val="0"/>
              <c:showPercent val="1"/>
              <c:showBubbleSize val="1"/>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ctr"/>
              <c:showLegendKey val="0"/>
              <c:showVal val="0"/>
              <c:showCatName val="0"/>
              <c:showSerName val="0"/>
              <c:showPercent val="1"/>
              <c:showBubbleSize val="1"/>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ctr"/>
              <c:showLegendKey val="0"/>
              <c:showVal val="0"/>
              <c:showCatName val="0"/>
              <c:showSerName val="0"/>
              <c:showPercent val="1"/>
              <c:showBubbleSize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ctr"/>
            <c:showLegendKey val="0"/>
            <c:showVal val="0"/>
            <c:showCatName val="0"/>
            <c:showSerName val="0"/>
            <c:showPercent val="1"/>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3"/>
                <c:pt idx="0">
                  <c:v>一般公共预算财政拨款收入</c:v>
                </c:pt>
                <c:pt idx="1">
                  <c:v>其他收入</c:v>
                </c:pt>
                <c:pt idx="2">
                  <c:v>合计</c:v>
                </c:pt>
              </c:strCache>
            </c:strRef>
          </c:cat>
          <c:val>
            <c:numRef>
              <c:f>0</c:f>
              <c:numCache>
                <c:formatCode>General</c:formatCode>
                <c:ptCount val="3"/>
                <c:pt idx="0">
                  <c:v>216.6</c:v>
                </c:pt>
                <c:pt idx="1">
                  <c:v>0</c:v>
                </c:pt>
                <c:pt idx="2">
                  <c:v>216.6</c:v>
                </c:pt>
              </c:numCache>
            </c:numRef>
          </c:val>
        </c:ser>
        <c:dLbls>
          <c:showLegendKey val="0"/>
          <c:showVal val="0"/>
          <c:showCatName val="0"/>
          <c:showSerName val="0"/>
          <c:showPercent val="0"/>
          <c:showBubbleSize val="0"/>
          <c:showLeaderLines val="0"/>
        </c:dLbls>
        <c:firstSliceAng val="0"/>
      </c:pieChart>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spc="-1" baseline="0">
                <a:solidFill>
                  <a:srgbClr val="000000"/>
                </a:solidFill>
                <a:latin typeface="Calibri" panose="020F0502020204030204"/>
                <a:ea typeface="+mn-ea"/>
                <a:cs typeface="+mn-cs"/>
              </a:defRPr>
            </a:pPr>
            <a:r>
              <a:rPr lang="en-US" sz="1800" b="1" strike="noStrike" spc="-1">
                <a:solidFill>
                  <a:srgbClr val="000000"/>
                </a:solidFill>
                <a:latin typeface="Calibri" panose="020F0502020204030204"/>
              </a:rPr>
              <a:t>2021年支出结构图</a:t>
            </a:r>
            <a:endParaRPr lang="en-US"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2020年支出情况 金额(万元)</c:v>
                </c:pt>
              </c:strCache>
            </c:strRef>
          </c:tx>
          <c:spPr>
            <a:solidFill>
              <a:srgbClr val="4F81BD"/>
            </a:solidFill>
            <a:ln w="0">
              <a:noFill/>
            </a:ln>
          </c:spPr>
          <c:explosion val="25"/>
          <c:dPt>
            <c:idx val="0"/>
            <c:bubble3D val="0"/>
            <c:spPr>
              <a:solidFill>
                <a:srgbClr val="4F81BD"/>
              </a:solidFill>
              <a:ln w="0">
                <a:noFill/>
              </a:ln>
            </c:spPr>
          </c:dPt>
          <c:dPt>
            <c:idx val="1"/>
            <c:bubble3D val="0"/>
            <c:spPr>
              <a:solidFill>
                <a:srgbClr val="C0504D"/>
              </a:solidFill>
              <a:ln w="0">
                <a:noFill/>
              </a:ln>
            </c:spPr>
          </c:dPt>
          <c:dPt>
            <c:idx val="2"/>
            <c:bubble3D val="0"/>
            <c:spPr>
              <a:solidFill>
                <a:srgbClr val="9BBB59"/>
              </a:solidFill>
              <a:ln w="0">
                <a:noFill/>
              </a:ln>
            </c:spPr>
          </c:dPt>
          <c:dLbls>
            <c:dLbl>
              <c:idx val="0"/>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1"/>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dLbl>
              <c:idx val="2"/>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3"/>
                <c:pt idx="0">
                  <c:v>基本支出</c:v>
                </c:pt>
                <c:pt idx="1">
                  <c:v>项目支出</c:v>
                </c:pt>
                <c:pt idx="2">
                  <c:v>合计</c:v>
                </c:pt>
              </c:strCache>
            </c:strRef>
          </c:cat>
          <c:val>
            <c:numRef>
              <c:f>0</c:f>
              <c:numCache>
                <c:formatCode>General</c:formatCode>
                <c:ptCount val="3"/>
                <c:pt idx="0">
                  <c:v>216.6</c:v>
                </c:pt>
                <c:pt idx="1">
                  <c:v>0</c:v>
                </c:pt>
                <c:pt idx="2">
                  <c:v>216.6</c:v>
                </c:pt>
              </c:numCache>
            </c:numRef>
          </c:val>
        </c:ser>
        <c:dLbls>
          <c:showLegendKey val="0"/>
          <c:showVal val="0"/>
          <c:showCatName val="0"/>
          <c:showSerName val="0"/>
          <c:showPercent val="0"/>
          <c:showBubbleSize val="0"/>
          <c:showLeaderLines val="0"/>
        </c:dLbls>
        <c:firstSliceAng val="0"/>
      </c:pieChart>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lang="zh-CN" altLang="en-US" sz="1800" b="1" strike="noStrike" spc="-1">
                <a:solidFill>
                  <a:srgbClr val="000000"/>
                </a:solidFill>
                <a:latin typeface="Calibri" panose="020F0502020204030204"/>
              </a:rPr>
              <a:t>财政拨款收、支决算总计变动情况 金额</a:t>
            </a:r>
            <a:r>
              <a:rPr lang="en-US" altLang="zh-CN" sz="1800" b="1" strike="noStrike" spc="-1">
                <a:solidFill>
                  <a:srgbClr val="000000"/>
                </a:solidFill>
                <a:latin typeface="Calibri" panose="020F0502020204030204"/>
              </a:rPr>
              <a:t>(</a:t>
            </a:r>
            <a:r>
              <a:rPr lang="zh-CN" altLang="en-US" sz="1800" b="1" strike="noStrike" spc="-1">
                <a:solidFill>
                  <a:srgbClr val="000000"/>
                </a:solidFill>
                <a:latin typeface="Calibri" panose="020F0502020204030204"/>
              </a:rPr>
              <a:t>万元</a:t>
            </a:r>
            <a:r>
              <a:rPr lang="en-US" altLang="zh-CN" sz="1800" b="1" strike="noStrike" spc="-1">
                <a:solidFill>
                  <a:srgbClr val="000000"/>
                </a:solidFill>
                <a:latin typeface="Calibri" panose="020F0502020204030204"/>
              </a:rPr>
              <a:t>)</a:t>
            </a:r>
            <a:endParaRPr lang="en-US" altLang="zh-CN"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clustered"/>
        <c:varyColors val="0"/>
        <c:ser>
          <c:idx val="0"/>
          <c:order val="0"/>
          <c:tx>
            <c:strRef>
              <c:f>label 0</c:f>
              <c:strCache>
                <c:ptCount val="1"/>
                <c:pt idx="0">
                  <c:v>财政拨款收、支决算总计变动情况 金额(万元)</c:v>
                </c:pt>
              </c:strCache>
            </c:strRef>
          </c:tx>
          <c:spPr>
            <a:solidFill>
              <a:srgbClr val="4F81B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2020年</c:v>
                </c:pt>
                <c:pt idx="1">
                  <c:v>2021年</c:v>
                </c:pt>
              </c:strCache>
            </c:strRef>
          </c:cat>
          <c:val>
            <c:numRef>
              <c:f>0</c:f>
              <c:numCache>
                <c:formatCode>General</c:formatCode>
                <c:ptCount val="2"/>
                <c:pt idx="0">
                  <c:v>149.39</c:v>
                </c:pt>
                <c:pt idx="1">
                  <c:v>216.6</c:v>
                </c:pt>
              </c:numCache>
            </c:numRef>
          </c:val>
        </c:ser>
        <c:dLbls>
          <c:showLegendKey val="0"/>
          <c:showVal val="0"/>
          <c:showCatName val="0"/>
          <c:showSerName val="0"/>
          <c:showPercent val="0"/>
          <c:showBubbleSize val="0"/>
        </c:dLbls>
        <c:gapWidth val="150"/>
        <c:axId val="27361363"/>
        <c:axId val="29634745"/>
      </c:barChart>
      <c:catAx>
        <c:axId val="27361363"/>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29634745"/>
        <c:crosses val="autoZero"/>
        <c:auto val="1"/>
        <c:lblAlgn val="ctr"/>
        <c:lblOffset val="100"/>
        <c:noMultiLvlLbl val="0"/>
      </c:catAx>
      <c:valAx>
        <c:axId val="29634745"/>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27361363"/>
        <c:crosses val="autoZero"/>
        <c:crossBetween val="between"/>
      </c:valAx>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lang="zh-CN" altLang="en-US" sz="1800" b="1" strike="noStrike" spc="-1">
                <a:solidFill>
                  <a:srgbClr val="000000"/>
                </a:solidFill>
                <a:latin typeface="Calibri" panose="020F0502020204030204"/>
              </a:rPr>
              <a:t>一般公共预算财政拨款支出决算变动情况 金额</a:t>
            </a:r>
            <a:r>
              <a:rPr lang="en-US" altLang="zh-CN" sz="1800" b="1" strike="noStrike" spc="-1">
                <a:solidFill>
                  <a:srgbClr val="000000"/>
                </a:solidFill>
                <a:latin typeface="Calibri" panose="020F0502020204030204"/>
              </a:rPr>
              <a:t>(</a:t>
            </a:r>
            <a:r>
              <a:rPr lang="zh-CN" altLang="en-US" sz="1800" b="1" strike="noStrike" spc="-1">
                <a:solidFill>
                  <a:srgbClr val="000000"/>
                </a:solidFill>
                <a:latin typeface="Calibri" panose="020F0502020204030204"/>
              </a:rPr>
              <a:t>万元</a:t>
            </a:r>
            <a:r>
              <a:rPr lang="en-US" altLang="zh-CN" sz="1800" b="1" strike="noStrike" spc="-1">
                <a:solidFill>
                  <a:srgbClr val="000000"/>
                </a:solidFill>
                <a:latin typeface="Calibri" panose="020F0502020204030204"/>
              </a:rPr>
              <a:t>)</a:t>
            </a:r>
            <a:endParaRPr lang="en-US" altLang="zh-CN"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clustered"/>
        <c:varyColors val="0"/>
        <c:ser>
          <c:idx val="0"/>
          <c:order val="0"/>
          <c:tx>
            <c:strRef>
              <c:f>label 0</c:f>
              <c:strCache>
                <c:ptCount val="1"/>
                <c:pt idx="0">
                  <c:v>一般公共预算财政拨款支出决算变动情况 金额(万元)</c:v>
                </c:pt>
              </c:strCache>
            </c:strRef>
          </c:tx>
          <c:spPr>
            <a:solidFill>
              <a:srgbClr val="4F81B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2020年</c:v>
                </c:pt>
                <c:pt idx="1">
                  <c:v>2021年</c:v>
                </c:pt>
              </c:strCache>
            </c:strRef>
          </c:cat>
          <c:val>
            <c:numRef>
              <c:f>0</c:f>
              <c:numCache>
                <c:formatCode>General</c:formatCode>
                <c:ptCount val="2"/>
                <c:pt idx="0">
                  <c:v>149.39</c:v>
                </c:pt>
                <c:pt idx="1">
                  <c:v>216.6</c:v>
                </c:pt>
              </c:numCache>
            </c:numRef>
          </c:val>
        </c:ser>
        <c:dLbls>
          <c:showLegendKey val="0"/>
          <c:showVal val="0"/>
          <c:showCatName val="0"/>
          <c:showSerName val="0"/>
          <c:showPercent val="0"/>
          <c:showBubbleSize val="0"/>
        </c:dLbls>
        <c:gapWidth val="150"/>
        <c:axId val="79803662"/>
        <c:axId val="50802542"/>
      </c:barChart>
      <c:catAx>
        <c:axId val="79803662"/>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50802542"/>
        <c:crosses val="autoZero"/>
        <c:auto val="1"/>
        <c:lblAlgn val="ctr"/>
        <c:lblOffset val="100"/>
        <c:noMultiLvlLbl val="0"/>
      </c:catAx>
      <c:valAx>
        <c:axId val="50802542"/>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79803662"/>
        <c:crosses val="autoZero"/>
        <c:crossBetween val="between"/>
      </c:valAx>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400" b="0" i="0" u="none" strike="noStrike" kern="1200" spc="-1" baseline="0">
                <a:solidFill>
                  <a:srgbClr val="595959"/>
                </a:solidFill>
                <a:latin typeface="Calibri" panose="020F0502020204030204"/>
                <a:ea typeface="+mn-ea"/>
                <a:cs typeface="+mn-cs"/>
              </a:defRPr>
            </a:pPr>
            <a:r>
              <a:rPr lang="zh-CN" altLang="en-US" sz="1400" b="0" strike="noStrike" spc="-1">
                <a:solidFill>
                  <a:srgbClr val="595959"/>
                </a:solidFill>
                <a:latin typeface="Calibri" panose="020F0502020204030204"/>
              </a:rPr>
              <a:t>一般公共预算财政拨款支出决算结构</a:t>
            </a:r>
            <a:endParaRPr lang="zh-CN" altLang="en-US" sz="1400" b="0" strike="noStrike" spc="-1">
              <a:solidFill>
                <a:srgbClr val="595959"/>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序列 1</c:v>
                </c:pt>
              </c:strCache>
            </c:strRef>
          </c:tx>
          <c:spPr>
            <a:solidFill>
              <a:srgbClr val="4F81BD"/>
            </a:solidFill>
            <a:ln w="0">
              <a:noFill/>
            </a:ln>
          </c:spPr>
          <c:explosion val="0"/>
          <c:dPt>
            <c:idx val="0"/>
            <c:bubble3D val="0"/>
            <c:spPr>
              <a:solidFill>
                <a:srgbClr val="4F81BD"/>
              </a:solidFill>
              <a:ln w="19080">
                <a:solidFill>
                  <a:srgbClr val="FFFFFF"/>
                </a:solidFill>
                <a:round/>
              </a:ln>
            </c:spPr>
          </c:dPt>
          <c:dPt>
            <c:idx val="1"/>
            <c:bubble3D val="0"/>
            <c:spPr>
              <a:solidFill>
                <a:srgbClr val="C0504D"/>
              </a:solidFill>
              <a:ln w="19080">
                <a:solidFill>
                  <a:srgbClr val="FFFFFF"/>
                </a:solidFill>
                <a:round/>
              </a:ln>
            </c:spPr>
          </c:dPt>
          <c:dPt>
            <c:idx val="2"/>
            <c:bubble3D val="0"/>
            <c:spPr>
              <a:solidFill>
                <a:srgbClr val="9BBB59"/>
              </a:solidFill>
              <a:ln w="19080">
                <a:solidFill>
                  <a:srgbClr val="FFFFFF"/>
                </a:solidFill>
                <a:round/>
              </a:ln>
            </c:spPr>
          </c:dPt>
          <c:dPt>
            <c:idx val="3"/>
            <c:bubble3D val="0"/>
            <c:spPr>
              <a:solidFill>
                <a:srgbClr val="8064A2"/>
              </a:solidFill>
              <a:ln w="19080">
                <a:solidFill>
                  <a:srgbClr val="FFFFFF"/>
                </a:solidFill>
                <a:round/>
              </a:ln>
            </c:spPr>
          </c:dPt>
          <c:dLbls>
            <c:dLbl>
              <c:idx val="0"/>
              <c:layout/>
              <c:numFmt formatCode="General" sourceLinked="0"/>
              <c:spPr>
                <a:noFill/>
                <a:ln>
                  <a:noFill/>
                </a:ln>
                <a:effectLst/>
              </c:spPr>
              <c:txPr>
                <a:bodyPr rot="0" spcFirstLastPara="0" vertOverflow="ellipsis" vert="horz" wrap="square" lIns="38100" tIns="19050" rIns="38100" bIns="19050" anchor="ctr" anchorCtr="1"/>
                <a:lstStyle/>
                <a:p>
                  <a:pPr>
                    <a:defRPr lang="zh-CN" sz="1200" b="1" i="0" u="none" strike="noStrike" kern="1200" spc="-1" baseline="0">
                      <a:solidFill>
                        <a:srgbClr val="404040"/>
                      </a:solidFill>
                      <a:latin typeface="Calibri" panose="020F0502020204030204"/>
                      <a:ea typeface="+mn-ea"/>
                      <a:cs typeface="+mn-cs"/>
                    </a:defRPr>
                  </a:pPr>
                </a:p>
              </c:txPr>
              <c:dLblPos val="inEnd"/>
              <c:showLegendKey val="0"/>
              <c:showVal val="1"/>
              <c:showCatName val="0"/>
              <c:showSerName val="0"/>
              <c:showPercent val="0"/>
              <c:showBubbleSize val="1"/>
              <c:separator>; </c:separator>
              <c:extLst>
                <c:ext xmlns:c15="http://schemas.microsoft.com/office/drawing/2012/chart" uri="{CE6537A1-D6FC-4f65-9D91-7224C49458BB}"/>
              </c:extLst>
            </c:dLbl>
            <c:dLbl>
              <c:idx val="1"/>
              <c:layout/>
              <c:numFmt formatCode="General" sourceLinked="0"/>
              <c:spPr>
                <a:noFill/>
                <a:ln>
                  <a:noFill/>
                </a:ln>
                <a:effectLst/>
              </c:spPr>
              <c:txPr>
                <a:bodyPr rot="0" spcFirstLastPara="0" vertOverflow="ellipsis" vert="horz" wrap="square" lIns="38100" tIns="19050" rIns="38100" bIns="19050" anchor="ctr" anchorCtr="1"/>
                <a:lstStyle/>
                <a:p>
                  <a:pPr>
                    <a:defRPr lang="zh-CN" sz="1200" b="1" i="0" u="none" strike="noStrike" kern="1200" spc="-1" baseline="0">
                      <a:solidFill>
                        <a:srgbClr val="404040"/>
                      </a:solidFill>
                      <a:latin typeface="Calibri" panose="020F0502020204030204"/>
                      <a:ea typeface="+mn-ea"/>
                      <a:cs typeface="+mn-cs"/>
                    </a:defRPr>
                  </a:pPr>
                </a:p>
              </c:txPr>
              <c:dLblPos val="inEnd"/>
              <c:showLegendKey val="0"/>
              <c:showVal val="1"/>
              <c:showCatName val="0"/>
              <c:showSerName val="0"/>
              <c:showPercent val="0"/>
              <c:showBubbleSize val="1"/>
              <c:separator>; </c:separator>
              <c:extLst>
                <c:ext xmlns:c15="http://schemas.microsoft.com/office/drawing/2012/chart" uri="{CE6537A1-D6FC-4f65-9D91-7224C49458BB}"/>
              </c:extLst>
            </c:dLbl>
            <c:dLbl>
              <c:idx val="2"/>
              <c:layout/>
              <c:numFmt formatCode="General" sourceLinked="0"/>
              <c:spPr>
                <a:noFill/>
                <a:ln>
                  <a:noFill/>
                </a:ln>
                <a:effectLst/>
              </c:spPr>
              <c:txPr>
                <a:bodyPr rot="0" spcFirstLastPara="0" vertOverflow="ellipsis" vert="horz" wrap="square" lIns="38100" tIns="19050" rIns="38100" bIns="19050" anchor="ctr" anchorCtr="1"/>
                <a:lstStyle/>
                <a:p>
                  <a:pPr>
                    <a:defRPr lang="zh-CN" sz="1200" b="1" i="0" u="none" strike="noStrike" kern="1200" spc="-1" baseline="0">
                      <a:solidFill>
                        <a:srgbClr val="404040"/>
                      </a:solidFill>
                      <a:latin typeface="Calibri" panose="020F0502020204030204"/>
                      <a:ea typeface="+mn-ea"/>
                      <a:cs typeface="+mn-cs"/>
                    </a:defRPr>
                  </a:pPr>
                </a:p>
              </c:txPr>
              <c:dLblPos val="inEnd"/>
              <c:showLegendKey val="0"/>
              <c:showVal val="1"/>
              <c:showCatName val="0"/>
              <c:showSerName val="0"/>
              <c:showPercent val="0"/>
              <c:showBubbleSize val="1"/>
              <c:separator>; </c:separator>
              <c:extLst>
                <c:ext xmlns:c15="http://schemas.microsoft.com/office/drawing/2012/chart" uri="{CE6537A1-D6FC-4f65-9D91-7224C49458BB}"/>
              </c:extLst>
            </c:dLbl>
            <c:dLbl>
              <c:idx val="3"/>
              <c:layout/>
              <c:numFmt formatCode="General" sourceLinked="0"/>
              <c:spPr>
                <a:noFill/>
                <a:ln>
                  <a:noFill/>
                </a:ln>
                <a:effectLst/>
              </c:spPr>
              <c:txPr>
                <a:bodyPr rot="0" spcFirstLastPara="0" vertOverflow="ellipsis" vert="horz" wrap="square" lIns="38100" tIns="19050" rIns="38100" bIns="19050" anchor="ctr" anchorCtr="1"/>
                <a:lstStyle/>
                <a:p>
                  <a:pPr>
                    <a:defRPr lang="zh-CN" sz="1200" b="1" i="0" u="none" strike="noStrike" kern="1200" spc="-1" baseline="0">
                      <a:solidFill>
                        <a:srgbClr val="404040"/>
                      </a:solidFill>
                      <a:latin typeface="Calibri" panose="020F0502020204030204"/>
                      <a:ea typeface="+mn-ea"/>
                      <a:cs typeface="+mn-cs"/>
                    </a:defRPr>
                  </a:pPr>
                </a:p>
              </c:txPr>
              <c:dLblPos val="inEnd"/>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1" i="0" u="none" strike="noStrike" kern="1200" spc="-1" baseline="0">
                    <a:solidFill>
                      <a:srgbClr val="404040"/>
                    </a:solidFill>
                    <a:latin typeface="Calibri" panose="020F0502020204030204"/>
                    <a:ea typeface="+mn-ea"/>
                    <a:cs typeface="+mn-cs"/>
                  </a:defRPr>
                </a:pPr>
              </a:p>
            </c:txPr>
            <c:dLblPos val="in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4"/>
                <c:pt idx="0">
                  <c:v>公共安全支出</c:v>
                </c:pt>
                <c:pt idx="1">
                  <c:v>社会保障和就业（类）支出</c:v>
                </c:pt>
                <c:pt idx="2">
                  <c:v>卫生健康支出</c:v>
                </c:pt>
                <c:pt idx="3">
                  <c:v>住房保障支出</c:v>
                </c:pt>
              </c:strCache>
            </c:strRef>
          </c:cat>
          <c:val>
            <c:numRef>
              <c:f>0</c:f>
              <c:numCache>
                <c:formatCode>General</c:formatCode>
                <c:ptCount val="4"/>
                <c:pt idx="0">
                  <c:v>149.02</c:v>
                </c:pt>
                <c:pt idx="1">
                  <c:v>12.03</c:v>
                </c:pt>
                <c:pt idx="2">
                  <c:v>9.6</c:v>
                </c:pt>
                <c:pt idx="3">
                  <c:v>45.95</c:v>
                </c:pt>
              </c:numCache>
            </c:numRef>
          </c:val>
        </c:ser>
        <c:dLbls>
          <c:showLegendKey val="0"/>
          <c:showVal val="0"/>
          <c:showCatName val="0"/>
          <c:showSerName val="0"/>
          <c:showPercent val="0"/>
          <c:showBubbleSize val="0"/>
          <c:showLeaderLines val="0"/>
        </c:dLbls>
        <c:firstSliceAng val="0"/>
      </c:pieChart>
      <c:spPr>
        <a:noFill/>
        <a:ln w="0">
          <a:noFill/>
        </a:ln>
      </c:spPr>
    </c:plotArea>
    <c:legend>
      <c:legendPos val="r"/>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1"/>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2023-09-21T07:31:00Z</dcterms:created>
  <dc:creator>Administrator</dc:creator>
  <cp:lastModifiedBy>YJLing</cp:lastModifiedBy>
  <dcterms:modified xsi:type="dcterms:W3CDTF">2023-09-21T08:31:23Z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