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四川省司法厅信息发布设备采购项目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采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购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文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  <w:shd w:val="clear" w:color="auto" w:fill="F7F7F7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shd w:val="clear" w:color="auto" w:fill="F7F7F7"/>
        </w:rPr>
        <w:t>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四川省司法厅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2022年12月20日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各供应商：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四川省司法厅拟采购一批信息发布设备，诚邀各供应商参加询价。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项目名称：四川省司法厅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发布设备采购项目。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2.采购方式：询价采购。一次报出不得更改的价格，符合采购需中标价即为合同价。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3．投标预算控制价：2</w:t>
      </w:r>
      <w:r>
        <w:rPr>
          <w:rFonts w:ascii="仿宋_GB2312" w:eastAsia="仿宋_GB2312"/>
          <w:sz w:val="32"/>
          <w:szCs w:val="32"/>
        </w:rPr>
        <w:t>2.99</w:t>
      </w:r>
      <w:r>
        <w:rPr>
          <w:rFonts w:hint="eastAsia" w:ascii="仿宋_GB2312" w:eastAsia="仿宋_GB2312"/>
          <w:sz w:val="32"/>
          <w:szCs w:val="32"/>
        </w:rPr>
        <w:t>万元。（超过该预算为废标）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.供应商资格要求：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（1）具有独立承担民事责任的能力；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（2）具有良好的商业信誉和健全的财务会计制度；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（3）具有履行合同所必须的设备和专业技术能力；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（4）具有依法缴纳税收和社会保障资金的良好记录；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（5）参加本次采购活动前三年内，在经营活动中没有重大违法记录；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（6）法律、行政法规规定的其他条件；</w:t>
      </w:r>
    </w:p>
    <w:p>
      <w:pPr>
        <w:spacing w:line="57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（7）本项目不接受联合体投标。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.采购内容：详情及需求见《采购报价清单》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.投标截止时间：2022年12月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:00</w:t>
      </w:r>
    </w:p>
    <w:p>
      <w:pPr>
        <w:spacing w:line="57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.投标方式：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（1）邮寄方式递交：供应商可将响应文件原件（密封）直接邮寄至四川省司法厅科信处（成都市青羊区上翔街24号）。</w:t>
      </w:r>
    </w:p>
    <w:p>
      <w:pPr>
        <w:pStyle w:val="4"/>
        <w:shd w:val="clear" w:color="auto" w:fill="FFFFFF"/>
        <w:spacing w:before="0" w:beforeAutospacing="0" w:after="0" w:afterAutospacing="0" w:line="570" w:lineRule="exact"/>
        <w:ind w:firstLine="320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（2）现场递交：供应商可将报价文件（密封）在截止时间前递交至四川省司法厅2205办公室（成都市青羊区上翔街24号）。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响应文件必须在递交响应文件截止时间前送达四川省司法厅。逾期送达或密封和标注不符合文件规定的申请文件恕不接受。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.投标保证金：无。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.履约保证金：无。</w:t>
      </w:r>
    </w:p>
    <w:p>
      <w:pPr>
        <w:spacing w:line="57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履行合同：中标人与招标人签订合同后，合同双方应严格执行合同条款，履行合同规定的义务，保证合同的顺利完成。在合同履行过程中，如发生合同纠纷，合同双方应按照《合同法》的相关规定进行处理。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.交货地点：四川省司法厅。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.投标费用：投标人参加投标的有关费用由投标人自行承担。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.投标报价：应包括完成项目的材料、人工、运输、安装、管理、利润及税金等。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.验收：中标人交货时，由招标人依据合同对照样品组织验收，确保货物质量。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.投标人须知：报价信封上注明项目名称。标的未密封、错漏报、无单位公章或超过开标时间、采购预算的，作废标处理。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.联系人：邓野，联系电话：13518115976。</w:t>
      </w:r>
    </w:p>
    <w:p>
      <w:pPr>
        <w:spacing w:line="57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采购报价清单</w:t>
      </w:r>
    </w:p>
    <w:tbl>
      <w:tblPr>
        <w:tblStyle w:val="5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"/>
        <w:gridCol w:w="399"/>
        <w:gridCol w:w="4467"/>
        <w:gridCol w:w="254"/>
        <w:gridCol w:w="256"/>
        <w:gridCol w:w="678"/>
        <w:gridCol w:w="678"/>
        <w:gridCol w:w="13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名称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参数要求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数量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合计（元）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液晶电视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1.显示尺寸≥55英寸；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2.背光源：LED；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3.屏幕亮度：≥200cd/m2；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4.屏幕比例：16:9；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5.屏幕分辨率：≥2160P；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6.安装方式：支持壁挂安装和支架安装；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7.接口：≥2个HDMI接口，≥2个USB接口；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8.屏幕相应时间≤8ms；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9.包括安装支架。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1号楼每层2台，共14台；2号楼每层2台，共12台；3号楼每层1台，共4台。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1.显示尺寸≥43英寸；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2.背光源：LED；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3.屏幕亮度：≥200cd/m2；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4.屏幕比例：16:9；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5.屏幕分辨率：≥1080P；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6.安装方式：支持壁挂安装和支架安装；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7.接口：≥2个HDMI接口，≥2个USB接口；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8.屏幕相应时间≤8ms；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9.包括安装支架。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1.显示尺寸≥32英寸；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2.背光源：LED；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3.屏幕亮度：≥200cd/m2；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4.屏幕比例：16:9；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5.屏幕分辨率：≥720P；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6.安装方式：支持壁挂安装和支架安装；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7.接口：≥1个HDMI接口，≥1个USB接口；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8.屏幕相应时间≤8ms；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9.包括安装支架。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信息发布播放终端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1.多媒体信息发布终端播放器；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2.终端具备多时段定时开、关机功能；支持异常断电后重启，系统自动延续播放功能；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3.本地下载播放：具备通过网络接收媒体内容，存贮于本地后循环播放、插播、定时播放、垫片等方式播放；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4.画面分割：具备自由分屏方式；具备视频/图文混叠，多种透明效果；5.视频格式：具备 MPEG-1、MPEG-2、AVI、MP4、MOV、FLV 等主流视频格式；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6.音频格式：具备 MPEG-1 Layers I、MPEG-4，AAC-LC,WAV,24-bit等多种音频格式；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7.图片格式：具备 BMP、JPEG、PNG、GIF 等多种图片格式；网络具备局域网、WIFI 等方式；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8.视频输出接口：HDMI；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9.网络接口：10/100/1000M自适应网口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10.安装位置：液晶电视背面安装；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套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同上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0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信息发布管理器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1.处理器：参照不低于i7配置标准。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2.内存：参照不低于16GB 1600MHz非ECC DDR3内存；4个DIMM插槽。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3.显卡：参照不低于GTX1050TI 4G配置标准。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4.存储：参照不低于500G SATA 6.0Gb/s 7200 RP，64G SSD，I/O端口：前面2*USB2.0、2*USB3.0、1*麦克风、1*耳机；背面：4*USB2.0、2*USB 3.0、2*PS2、2*DisplayPort、1*VGA、1*RJ45、1*串行端口、1*音频输入/麦克风、1*音频输出。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5.硬盘:固态硬盘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6.含≥21英寸液晶显示器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系统采用B/S架构，支持主流操作系统，如windows系统、linux系统。实现终端远程监控（终端工作状态，播放信息，下载监控），终端远程管理（远程升级、重启、关机、调节音量）。实用的权限与群组管理，多级审核机制，联网集中并分权限管理。可视化信息编辑与发布，按任务分屏功能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8.支持拖拽式的节目编排、所见即所得的编辑效果，支持设备远程管理、故障自修复机制、准确的错误提示，方便系统运维。操作简单便捷，一键实现素材的追加或覆盖更新 。设备异常时自动向管理中心告警；根据服务器端授权，设备可自动远程升级系统；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9.提供统一的通讯协议，兼容终端、一体机、窗口屏、平板电脑等多种播放设备。支持跨平台安装，支持windows、linux等各种操作系统。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24口接入交换机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1.接入交换机，提供≥24个千兆电口，≥4个千兆光口；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2.交换容量≥256Gbps，包转发率≥51Mpps；每台设备配置≥2块千兆光模块；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3.设备需具备STP/RSTP/MSTP，具备MAC地址黑洞；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4.设备需具备LACP ，具备手动聚合；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5.设备需具备基于端口的VLAN (4K VLANs) ，具备基于MAC的VLAN ，具备QinQ ，具备VLAN Mapping，具备GVRP；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6.设备具备静态路由功能，具备RIPv1/v2、OSPF路由功能；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7.设备具备每端口8个优先级队列，具备802.1p/DSCP/TOS流量分类，具备端口限速和流限速，具备SP、WRR、SP+WRR队列调度；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8.设备具备 Portal, MAC,802.1x 认证，具备 AAA, Radius 认证，具备 802.1X 认证，具备 端口隔离、端口安全，具备 IP+MAC+port 绑定，具备 ARP detection；</w:t>
            </w:r>
          </w:p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9.设备具备通过CLI, Telnet,Console口进行配置，具备SNMPv1/v2/v3 ，具备WEB网管，具备 NTP ，具备电源告警，具备实时温度检测和告警。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台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1/2/3号楼各1台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辅材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线缆、配件等辅材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批</w:t>
            </w:r>
          </w:p>
        </w:tc>
        <w:tc>
          <w:tcPr>
            <w:tcW w:w="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包括完成项目的材料、人工、运输、安装、管理、利润及税费等。</w:t>
            </w:r>
          </w:p>
          <w:p>
            <w:pPr>
              <w:spacing w:line="288" w:lineRule="auto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包含1年的免费售后服务。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sz w:val="20"/>
                <w:szCs w:val="20"/>
                <w:lang w:bidi="ar"/>
              </w:rPr>
            </w:pPr>
            <w:r>
              <w:rPr>
                <w:rFonts w:hint="eastAsia" w:eastAsia="宋体"/>
                <w:sz w:val="20"/>
                <w:szCs w:val="20"/>
                <w:lang w:bidi="ar"/>
              </w:rPr>
              <w:t>总合计：       （大写：         ）</w:t>
            </w:r>
          </w:p>
        </w:tc>
      </w:tr>
    </w:tbl>
    <w:p>
      <w:pPr>
        <w:spacing w:line="720" w:lineRule="auto"/>
        <w:jc w:val="center"/>
        <w:rPr>
          <w:sz w:val="24"/>
        </w:rPr>
      </w:pPr>
    </w:p>
    <w:p>
      <w:pPr>
        <w:spacing w:line="720" w:lineRule="auto"/>
      </w:pPr>
      <w:r>
        <w:rPr>
          <w:rFonts w:hint="eastAsia"/>
        </w:rPr>
        <w:t>报价供应商：                                     （盖章）</w:t>
      </w:r>
    </w:p>
    <w:p>
      <w:pPr>
        <w:spacing w:line="720" w:lineRule="auto"/>
      </w:pPr>
      <w:r>
        <w:rPr>
          <w:rFonts w:hint="eastAsia"/>
        </w:rPr>
        <w:t xml:space="preserve"> 联系人：           联系电话：</w:t>
      </w:r>
    </w:p>
    <w:p>
      <w:pPr>
        <w:spacing w:line="720" w:lineRule="auto"/>
      </w:pPr>
      <w:r>
        <w:rPr>
          <w:rFonts w:hint="eastAsia"/>
        </w:rPr>
        <w:t xml:space="preserve">     年   月    日</w:t>
      </w:r>
    </w:p>
    <w:p>
      <w:pPr>
        <w:spacing w:line="570" w:lineRule="exact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E"/>
    <w:rsid w:val="000A0F53"/>
    <w:rsid w:val="003843EE"/>
    <w:rsid w:val="0064438A"/>
    <w:rsid w:val="00782B61"/>
    <w:rsid w:val="00AA5874"/>
    <w:rsid w:val="00CD02F0"/>
    <w:rsid w:val="00DD38A2"/>
    <w:rsid w:val="00E37886"/>
    <w:rsid w:val="00FD356E"/>
    <w:rsid w:val="17D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Char"/>
    <w:basedOn w:val="7"/>
    <w:link w:val="3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6</Pages>
  <Words>470</Words>
  <Characters>2684</Characters>
  <Lines>22</Lines>
  <Paragraphs>6</Paragraphs>
  <TotalTime>4</TotalTime>
  <ScaleCrop>false</ScaleCrop>
  <LinksUpToDate>false</LinksUpToDate>
  <CharactersWithSpaces>3148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2022-12-20T09:47:00Z</dcterms:created>
  <dc:creator>Administrator</dc:creator>
  <cp:lastModifiedBy>Administrator</cp:lastModifiedBy>
  <dcterms:modified xsi:type="dcterms:W3CDTF">2022-12-20T10:16:24Z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