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b/>
          <w:snapToGrid w:val="0"/>
          <w:spacing w:val="6"/>
          <w:sz w:val="32"/>
          <w:szCs w:val="32"/>
        </w:rPr>
      </w:pPr>
      <w:r>
        <w:rPr>
          <w:rFonts w:ascii="Times New Roman" w:eastAsia="方正黑体简体" w:cs="Times New Roman"/>
          <w:b/>
          <w:snapToGrid w:val="0"/>
          <w:spacing w:val="6"/>
          <w:sz w:val="32"/>
          <w:szCs w:val="32"/>
        </w:rPr>
        <w:t>附件</w:t>
      </w:r>
      <w:r>
        <w:rPr>
          <w:rFonts w:ascii="Times New Roman" w:hAnsi="Times New Roman" w:eastAsia="黑体" w:cs="Times New Roman"/>
          <w:b/>
          <w:snapToGrid w:val="0"/>
          <w:spacing w:val="6"/>
          <w:sz w:val="32"/>
          <w:szCs w:val="32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/>
          <w:bCs/>
          <w:snapToGrid w:val="0"/>
          <w:spacing w:val="6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/>
          <w:bCs/>
          <w:snapToGrid w:val="0"/>
          <w:spacing w:val="6"/>
          <w:sz w:val="44"/>
          <w:szCs w:val="32"/>
        </w:rPr>
      </w:pPr>
      <w:r>
        <w:rPr>
          <w:rFonts w:ascii="Times New Roman" w:hAnsi="Times New Roman" w:eastAsia="方正小标宋简体" w:cs="Times New Roman"/>
          <w:b/>
          <w:bCs/>
          <w:snapToGrid w:val="0"/>
          <w:spacing w:val="6"/>
          <w:sz w:val="44"/>
          <w:szCs w:val="32"/>
        </w:rPr>
        <w:t>四川省人民政府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/>
          <w:bCs/>
          <w:snapToGrid w:val="0"/>
          <w:spacing w:val="6"/>
          <w:sz w:val="44"/>
          <w:szCs w:val="32"/>
        </w:rPr>
      </w:pPr>
      <w:r>
        <w:rPr>
          <w:rFonts w:ascii="Times New Roman" w:hAnsi="Times New Roman" w:eastAsia="方正小标宋简体" w:cs="Times New Roman"/>
          <w:b/>
          <w:bCs/>
          <w:snapToGrid w:val="0"/>
          <w:spacing w:val="6"/>
          <w:sz w:val="44"/>
          <w:szCs w:val="32"/>
        </w:rPr>
        <w:t>关于向集成授权改革试点所在市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/>
          <w:bCs/>
          <w:snapToGrid w:val="0"/>
          <w:spacing w:val="6"/>
          <w:sz w:val="44"/>
          <w:szCs w:val="32"/>
        </w:rPr>
      </w:pPr>
      <w:r>
        <w:rPr>
          <w:rFonts w:ascii="Times New Roman" w:hAnsi="Times New Roman" w:eastAsia="方正小标宋简体" w:cs="Times New Roman"/>
          <w:b/>
          <w:bCs/>
          <w:snapToGrid w:val="0"/>
          <w:spacing w:val="6"/>
          <w:sz w:val="44"/>
          <w:szCs w:val="32"/>
        </w:rPr>
        <w:t>赋予部分省级权限先行先试的决定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方正仿宋简体" w:cs="Times New Roman"/>
          <w:snapToGrid w:val="0"/>
          <w:spacing w:val="6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67" w:firstLineChars="200"/>
        <w:rPr>
          <w:rFonts w:ascii="Times New Roman" w:hAnsi="Times New Roman" w:eastAsia="方正仿宋简体" w:cs="Times New Roman"/>
          <w:b/>
          <w:bCs/>
          <w:snapToGrid w:val="0"/>
          <w:spacing w:val="6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napToGrid w:val="0"/>
          <w:spacing w:val="6"/>
          <w:sz w:val="32"/>
          <w:szCs w:val="32"/>
        </w:rPr>
        <w:t>为贯彻落实习近平总书记关于加强改革系统集成、协同高</w:t>
      </w:r>
      <w:r>
        <w:rPr>
          <w:rFonts w:ascii="Times New Roman" w:hAnsi="Times New Roman" w:eastAsia="方正仿宋简体" w:cs="Times New Roman"/>
          <w:b/>
          <w:bCs/>
          <w:snapToGrid w:val="0"/>
          <w:sz w:val="32"/>
          <w:szCs w:val="32"/>
        </w:rPr>
        <w:t>效和鼓励基层探索更多原创性、差异化改革的重要要求，</w:t>
      </w:r>
      <w:r>
        <w:rPr>
          <w:rFonts w:ascii="Times New Roman" w:hAnsi="Times New Roman" w:eastAsia="方正仿宋简体" w:cs="Times New Roman"/>
          <w:b/>
          <w:bCs/>
          <w:snapToGrid w:val="0"/>
          <w:spacing w:val="6"/>
          <w:sz w:val="32"/>
          <w:szCs w:val="32"/>
        </w:rPr>
        <w:t>支持集成授权改革试点先行先试，增强试点区域发展权能，激发内生动力，加快打造一批支撑成渝地区双城经济圈建设的动力引擎，省政府决定将部分省级权限事项赋予集成授权改革试点所在市实施。</w:t>
      </w:r>
    </w:p>
    <w:p>
      <w:pPr>
        <w:adjustRightInd w:val="0"/>
        <w:snapToGrid w:val="0"/>
        <w:spacing w:line="600" w:lineRule="exact"/>
        <w:ind w:firstLine="667" w:firstLineChars="200"/>
        <w:rPr>
          <w:rFonts w:ascii="Times New Roman" w:hAnsi="Times New Roman" w:eastAsia="方正仿宋简体" w:cs="Times New Roman"/>
          <w:b/>
          <w:bCs/>
          <w:snapToGrid w:val="0"/>
          <w:spacing w:val="6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napToGrid w:val="0"/>
          <w:spacing w:val="6"/>
          <w:sz w:val="32"/>
          <w:szCs w:val="32"/>
        </w:rPr>
        <w:t>集成授权改革试点所在市和省直有关部门（单位）要加强协调配合，自本决定公布之日起30个工作日内完成权限赋予、公示等工作。集成授权改革试点所在市要进一步优化服务流程，依法规范行权，切实增强发展权能。承接的权限事项不得进一步下放或者委托。省直有关部门（单位）要强化业务指导培训，加强纠纷排查、预防和化解，帮助解决工作中遇到的问题和困难，通过日常检查、随机抽查等方式加强</w:t>
      </w:r>
      <w:r>
        <w:rPr>
          <w:rFonts w:ascii="Times New Roman" w:hAnsi="Times New Roman" w:eastAsia="方正仿宋简体" w:cs="Times New Roman"/>
          <w:b/>
          <w:bCs/>
          <w:snapToGrid w:val="0"/>
          <w:sz w:val="32"/>
          <w:szCs w:val="32"/>
        </w:rPr>
        <w:t>对赋予权限事项的监督管理。省政府办公厅、省委改革办、</w:t>
      </w:r>
      <w:r>
        <w:rPr>
          <w:rFonts w:ascii="Times New Roman" w:hAnsi="Times New Roman" w:eastAsia="方正仿宋简体" w:cs="Times New Roman"/>
          <w:b/>
          <w:bCs/>
          <w:snapToGrid w:val="0"/>
          <w:spacing w:val="6"/>
          <w:sz w:val="32"/>
          <w:szCs w:val="32"/>
        </w:rPr>
        <w:t>司法厅要抓好赋予权限事项的跟踪问效，定期对工作开展评估，并根据评估结果及时调整本决定涉及的权限事项，确保放得下、接得住、用得好。</w:t>
      </w:r>
    </w:p>
    <w:p>
      <w:pPr>
        <w:adjustRightInd w:val="0"/>
        <w:snapToGrid w:val="0"/>
        <w:spacing w:line="600" w:lineRule="exact"/>
        <w:ind w:firstLine="667" w:firstLineChars="200"/>
        <w:rPr>
          <w:rFonts w:ascii="Times New Roman" w:hAnsi="Times New Roman" w:eastAsia="方正仿宋简体" w:cs="Times New Roman"/>
          <w:b/>
          <w:bCs/>
          <w:snapToGrid w:val="0"/>
          <w:spacing w:val="6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napToGrid w:val="0"/>
          <w:spacing w:val="6"/>
          <w:sz w:val="32"/>
          <w:szCs w:val="32"/>
        </w:rPr>
        <w:t>本决定自2024年  月  日起施行。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038B9"/>
    <w:rsid w:val="4280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2023-12-29T09:38:00Z</dcterms:created>
  <dc:creator>Administrator</dc:creator>
  <cp:lastModifiedBy>Administrator</cp:lastModifiedBy>
  <dcterms:modified xsi:type="dcterms:W3CDTF">2023-12-29T09:38:43Z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