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96475"/>
      <w:bookmarkStart w:id="4" w:name="_Toc15377193"/>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val="en-US" w:eastAsia="zh-CN"/>
        </w:rPr>
        <w:t>司法厅</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val="en-US" w:eastAsia="zh-CN"/>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Style w:val="13"/>
          <w:rFonts w:hint="eastAsia"/>
          <w:sz w:val="24"/>
        </w:rPr>
        <w:t>第一部分</w:t>
      </w:r>
      <w:r>
        <w:rPr>
          <w:rStyle w:val="13"/>
          <w:sz w:val="24"/>
        </w:rPr>
        <w:t xml:space="preserve"> </w:t>
      </w:r>
      <w:r>
        <w:rPr>
          <w:rStyle w:val="13"/>
          <w:rFonts w:hint="eastAsia"/>
          <w:sz w:val="24"/>
        </w:rPr>
        <w:t>部门概况</w:t>
      </w:r>
    </w:p>
    <w:p>
      <w:pPr>
        <w:pStyle w:val="11"/>
        <w:adjustRightInd w:val="0"/>
        <w:snapToGrid w:val="0"/>
        <w:spacing w:line="440" w:lineRule="exact"/>
        <w:jc w:val="left"/>
        <w:rPr>
          <w:rFonts w:ascii="仿宋" w:hAnsi="仿宋" w:eastAsia="仿宋"/>
          <w:sz w:val="24"/>
        </w:rPr>
      </w:pPr>
      <w:r>
        <w:rPr>
          <w:rStyle w:val="13"/>
          <w:rFonts w:hint="eastAsia"/>
          <w:sz w:val="24"/>
        </w:rPr>
        <w:t>一、基本职能及主要工作</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二、机构设置</w:t>
      </w:r>
    </w:p>
    <w:p>
      <w:pPr>
        <w:pStyle w:val="10"/>
        <w:adjustRightInd w:val="0"/>
        <w:snapToGrid w:val="0"/>
        <w:spacing w:before="0" w:line="440" w:lineRule="exact"/>
        <w:jc w:val="left"/>
        <w:rPr>
          <w:sz w:val="24"/>
          <w:szCs w:val="24"/>
        </w:rPr>
      </w:pPr>
      <w:r>
        <w:rPr>
          <w:rStyle w:val="13"/>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二、收入决算情况说明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三、支出决算情况说明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七、</w:t>
      </w:r>
      <w:r>
        <w:rPr>
          <w:rStyle w:val="13"/>
          <w:sz w:val="24"/>
        </w:rPr>
        <w:t>“</w:t>
      </w:r>
      <w:r>
        <w:rPr>
          <w:rStyle w:val="13"/>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szCs w:val="24"/>
        </w:rPr>
      </w:pPr>
      <w:r>
        <w:rPr>
          <w:rFonts w:hint="eastAsia" w:ascii="仿宋" w:hAnsi="仿宋" w:eastAsia="仿宋"/>
          <w:color w:val="auto"/>
          <w:sz w:val="24"/>
          <w:u w:val="none"/>
        </w:rPr>
        <w:t>九、</w:t>
      </w:r>
      <w:r>
        <w:rPr>
          <w:rStyle w:val="13"/>
          <w:sz w:val="24"/>
        </w:rPr>
        <w:t xml:space="preserve"> 国</w:t>
      </w:r>
      <w:r>
        <w:rPr>
          <w:rStyle w:val="13"/>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szCs w:val="28"/>
        </w:rPr>
      </w:pPr>
      <w:r>
        <w:rPr>
          <w:rStyle w:val="15"/>
          <w:rFonts w:hint="eastAsia" w:ascii="仿宋" w:hAnsi="仿宋" w:eastAsia="仿宋"/>
          <w:color w:val="000000" w:themeColor="text1"/>
          <w:sz w:val="24"/>
          <w:szCs w:val="24"/>
          <w:u w:val="none"/>
          <w14:textFill>
            <w14:solidFill>
              <w14:schemeClr w14:val="tx1"/>
            </w14:solidFill>
          </w14:textFill>
        </w:rPr>
        <w:t>十、</w:t>
      </w:r>
      <w:r>
        <w:rPr>
          <w:rStyle w:val="13"/>
          <w:rFonts w:hint="eastAsia"/>
          <w:sz w:val="24"/>
        </w:rPr>
        <w:t>其他重要事项的情况说明</w:t>
      </w:r>
      <w:r>
        <w:rPr>
          <w:rFonts w:ascii="仿宋" w:hAnsi="仿宋" w:eastAsia="仿宋"/>
          <w:color w:val="0000FF" w:themeColor="hyperlink"/>
          <w:sz w:val="24"/>
          <w:szCs w:val="28"/>
          <w:u w:val="single"/>
          <w14:textFill>
            <w14:solidFill>
              <w14:schemeClr w14:val="hlink"/>
            </w14:solidFill>
          </w14:textFill>
        </w:rPr>
        <w:tab/>
      </w:r>
    </w:p>
    <w:p>
      <w:pPr>
        <w:pStyle w:val="10"/>
        <w:adjustRightInd w:val="0"/>
        <w:snapToGrid w:val="0"/>
        <w:spacing w:before="0" w:line="440" w:lineRule="exact"/>
        <w:jc w:val="left"/>
        <w:rPr>
          <w:rFonts w:cstheme="minorBidi"/>
          <w:sz w:val="24"/>
          <w:szCs w:val="24"/>
        </w:rPr>
      </w:pPr>
      <w:r>
        <w:rPr>
          <w:rStyle w:val="13"/>
          <w:rFonts w:hint="eastAsia"/>
          <w:sz w:val="24"/>
        </w:rPr>
        <w:t>第三部分</w:t>
      </w:r>
      <w:r>
        <w:rPr>
          <w:rStyle w:val="13"/>
          <w:sz w:val="24"/>
        </w:rPr>
        <w:t xml:space="preserve"> </w:t>
      </w:r>
      <w:r>
        <w:rPr>
          <w:rStyle w:val="13"/>
          <w:rFonts w:hint="eastAsia"/>
          <w:sz w:val="24"/>
        </w:rPr>
        <w:t>名词解释</w:t>
      </w:r>
    </w:p>
    <w:p>
      <w:pPr>
        <w:pStyle w:val="10"/>
        <w:adjustRightInd w:val="0"/>
        <w:snapToGrid w:val="0"/>
        <w:spacing w:before="0" w:line="440" w:lineRule="exact"/>
        <w:jc w:val="left"/>
        <w:rPr>
          <w:rFonts w:cstheme="minorBidi"/>
          <w:sz w:val="24"/>
          <w:szCs w:val="24"/>
        </w:rPr>
      </w:pPr>
      <w:r>
        <w:rPr>
          <w:rStyle w:val="13"/>
          <w:rFonts w:hint="eastAsia"/>
          <w:sz w:val="24"/>
        </w:rPr>
        <w:t>第四部分</w:t>
      </w:r>
      <w:r>
        <w:rPr>
          <w:rStyle w:val="13"/>
          <w:sz w:val="24"/>
        </w:rPr>
        <w:t xml:space="preserve"> </w:t>
      </w:r>
      <w:r>
        <w:rPr>
          <w:rStyle w:val="13"/>
          <w:rFonts w:hint="eastAsia"/>
          <w:sz w:val="24"/>
        </w:rPr>
        <w:t>附件</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附件</w:t>
      </w:r>
      <w:r>
        <w:rPr>
          <w:rStyle w:val="13"/>
          <w:sz w:val="24"/>
        </w:rPr>
        <w:t>1</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附件</w:t>
      </w:r>
      <w:r>
        <w:rPr>
          <w:rStyle w:val="13"/>
          <w:sz w:val="24"/>
        </w:rPr>
        <w:t>2</w:t>
      </w:r>
    </w:p>
    <w:p>
      <w:pPr>
        <w:pStyle w:val="10"/>
        <w:adjustRightInd w:val="0"/>
        <w:snapToGrid w:val="0"/>
        <w:spacing w:before="0" w:line="440" w:lineRule="exact"/>
        <w:jc w:val="left"/>
        <w:rPr>
          <w:rFonts w:cstheme="minorBidi"/>
          <w:sz w:val="24"/>
          <w:szCs w:val="24"/>
        </w:rPr>
      </w:pPr>
      <w:r>
        <w:rPr>
          <w:rStyle w:val="13"/>
          <w:rFonts w:hint="eastAsia"/>
          <w:sz w:val="24"/>
        </w:rPr>
        <w:t>第五部分</w:t>
      </w:r>
      <w:r>
        <w:rPr>
          <w:rStyle w:val="13"/>
          <w:sz w:val="24"/>
        </w:rPr>
        <w:t xml:space="preserve"> </w:t>
      </w:r>
      <w:r>
        <w:rPr>
          <w:rStyle w:val="13"/>
          <w:rFonts w:hint="eastAsia"/>
          <w:sz w:val="24"/>
        </w:rPr>
        <w:t>附表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一、</w:t>
      </w:r>
      <w:r>
        <w:rPr>
          <w:rStyle w:val="13"/>
          <w:rFonts w:hint="eastAsia"/>
          <w:sz w:val="24"/>
        </w:rPr>
        <w:t>收入支出决算总表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二、</w:t>
      </w:r>
      <w:r>
        <w:rPr>
          <w:rStyle w:val="13"/>
          <w:rFonts w:hint="eastAsia"/>
          <w:sz w:val="24"/>
        </w:rPr>
        <w:t>收入</w:t>
      </w:r>
      <w:r>
        <w:rPr>
          <w:rFonts w:hint="eastAsia" w:ascii="仿宋" w:hAnsi="仿宋" w:eastAsia="仿宋"/>
          <w:color w:val="auto"/>
          <w:sz w:val="24"/>
          <w:u w:val="none"/>
        </w:rPr>
        <w:t>决算</w:t>
      </w:r>
      <w:r>
        <w:rPr>
          <w:rStyle w:val="13"/>
          <w:rFonts w:hint="eastAsia"/>
          <w:sz w:val="24"/>
        </w:rPr>
        <w:t>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三、</w:t>
      </w:r>
      <w:r>
        <w:rPr>
          <w:rStyle w:val="13"/>
          <w:rFonts w:hint="eastAsia"/>
          <w:sz w:val="24"/>
        </w:rPr>
        <w:t>支出</w:t>
      </w:r>
      <w:r>
        <w:rPr>
          <w:rFonts w:hint="eastAsia" w:ascii="仿宋" w:hAnsi="仿宋" w:eastAsia="仿宋"/>
          <w:color w:val="auto"/>
          <w:sz w:val="24"/>
          <w:u w:val="none"/>
        </w:rPr>
        <w:t>决算</w:t>
      </w:r>
      <w:r>
        <w:rPr>
          <w:rStyle w:val="13"/>
          <w:rFonts w:hint="eastAsia"/>
          <w:sz w:val="24"/>
        </w:rPr>
        <w:t>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四、</w:t>
      </w:r>
      <w:r>
        <w:rPr>
          <w:rStyle w:val="13"/>
          <w:rFonts w:hint="eastAsia"/>
          <w:sz w:val="24"/>
        </w:rPr>
        <w:t>财政拨款收入支出决算总表</w:t>
      </w:r>
    </w:p>
    <w:p>
      <w:pPr>
        <w:pStyle w:val="11"/>
        <w:adjustRightInd w:val="0"/>
        <w:snapToGrid w:val="0"/>
        <w:spacing w:line="440" w:lineRule="exact"/>
        <w:jc w:val="left"/>
        <w:rPr>
          <w:rFonts w:ascii="仿宋" w:hAnsi="仿宋" w:eastAsia="仿宋"/>
          <w:sz w:val="24"/>
          <w:szCs w:val="24"/>
        </w:rPr>
      </w:pPr>
      <w:r>
        <w:rPr>
          <w:rFonts w:hint="eastAsia" w:ascii="仿宋" w:hAnsi="仿宋" w:eastAsia="仿宋"/>
          <w:color w:val="auto"/>
          <w:sz w:val="24"/>
          <w:szCs w:val="24"/>
          <w:u w:val="none"/>
        </w:rPr>
        <w:t>五、财政拨款支出决算明细表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六、</w:t>
      </w:r>
      <w:r>
        <w:rPr>
          <w:rStyle w:val="13"/>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七、</w:t>
      </w:r>
      <w:r>
        <w:rPr>
          <w:rStyle w:val="13"/>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八、</w:t>
      </w:r>
      <w:r>
        <w:rPr>
          <w:rStyle w:val="13"/>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九、</w:t>
      </w:r>
      <w:r>
        <w:rPr>
          <w:rStyle w:val="13"/>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w:t>
      </w:r>
      <w:r>
        <w:rPr>
          <w:rStyle w:val="13"/>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十一、</w:t>
      </w:r>
      <w:r>
        <w:rPr>
          <w:rStyle w:val="13"/>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十二、</w:t>
      </w:r>
      <w:r>
        <w:rPr>
          <w:rStyle w:val="13"/>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color w:val="auto"/>
          <w:sz w:val="24"/>
          <w:szCs w:val="24"/>
          <w:u w:val="none"/>
        </w:rPr>
        <w:t>十三、</w:t>
      </w:r>
      <w:r>
        <w:rPr>
          <w:rStyle w:val="13"/>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u w:val="none"/>
        </w:rPr>
        <w:t>(注：</w:t>
      </w:r>
      <w:r>
        <w:rPr>
          <w:rFonts w:hint="eastAsia" w:ascii="仿宋" w:hAnsi="仿宋" w:eastAsia="仿宋"/>
          <w:color w:val="FF0000"/>
          <w:sz w:val="24"/>
          <w:u w:val="none"/>
        </w:rPr>
        <w:t>请部门根据实际注明页码</w:t>
      </w:r>
      <w:r>
        <w:rPr>
          <w:rFonts w:ascii="仿宋" w:hAnsi="仿宋" w:eastAsia="仿宋"/>
          <w:color w:val="FF0000"/>
          <w:sz w:val="24"/>
          <w:u w:val="none"/>
        </w:rPr>
        <w:t>)</w:t>
      </w:r>
    </w:p>
    <w:p>
      <w:pPr>
        <w:widowControl/>
        <w:spacing w:line="440" w:lineRule="exact"/>
        <w:jc w:val="left"/>
        <w:rPr>
          <w:rFonts w:ascii="仿宋" w:hAnsi="仿宋" w:eastAsia="仿宋"/>
          <w:bCs/>
          <w:kern w:val="44"/>
          <w:sz w:val="24"/>
          <w:szCs w:val="24"/>
        </w:rPr>
      </w:pPr>
      <w:bookmarkStart w:id="12" w:name="_Toc15396599"/>
      <w:bookmarkStart w:id="13" w:name="_Toc15377196"/>
      <w:r>
        <w:rPr>
          <w:rFonts w:ascii="仿宋" w:hAnsi="仿宋" w:eastAsia="仿宋"/>
          <w:b/>
          <w:color w:val="auto"/>
          <w:sz w:val="24"/>
          <w:u w:val="none"/>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widowControl/>
        <w:shd w:val="clear" w:color="auto" w:fill="FFFFFF"/>
        <w:ind w:firstLine="630"/>
        <w:rPr>
          <w:rFonts w:ascii="仿宋_GB2312" w:eastAsia="仿宋_GB2312"/>
          <w:bCs/>
          <w:color w:val="000000"/>
          <w:kern w:val="0"/>
          <w:sz w:val="32"/>
          <w:szCs w:val="32"/>
        </w:rPr>
      </w:pPr>
      <w:r>
        <w:rPr>
          <w:rFonts w:hint="eastAsia" w:ascii="仿宋_GB2312" w:eastAsia="仿宋_GB2312"/>
          <w:bCs/>
          <w:color w:val="000000"/>
          <w:kern w:val="0"/>
          <w:sz w:val="32"/>
          <w:szCs w:val="32"/>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600" w:lineRule="exact"/>
        <w:ind w:firstLine="627" w:firstLineChars="196"/>
        <w:rPr>
          <w:rFonts w:ascii="仿宋_GB2312" w:eastAsia="仿宋_GB2312"/>
          <w:bCs/>
          <w:color w:val="000000"/>
          <w:kern w:val="0"/>
          <w:sz w:val="32"/>
          <w:szCs w:val="32"/>
        </w:rPr>
      </w:pPr>
      <w:r>
        <w:rPr>
          <w:rFonts w:hint="eastAsia" w:ascii="仿宋_GB2312" w:eastAsia="仿宋_GB2312"/>
          <w:bCs/>
          <w:color w:val="000000"/>
          <w:kern w:val="0"/>
          <w:sz w:val="32"/>
          <w:szCs w:val="32"/>
        </w:rPr>
        <w:t>201</w:t>
      </w:r>
      <w:r>
        <w:rPr>
          <w:rFonts w:hint="eastAsia" w:ascii="仿宋_GB2312" w:eastAsia="仿宋_GB2312"/>
          <w:bCs/>
          <w:color w:val="000000"/>
          <w:kern w:val="0"/>
          <w:sz w:val="32"/>
          <w:szCs w:val="32"/>
          <w:lang w:val="en-US" w:eastAsia="zh-CN"/>
        </w:rPr>
        <w:t>9</w:t>
      </w:r>
      <w:r>
        <w:rPr>
          <w:rFonts w:hint="eastAsia" w:ascii="仿宋_GB2312" w:eastAsia="仿宋_GB2312"/>
          <w:bCs/>
          <w:color w:val="000000"/>
          <w:kern w:val="0"/>
          <w:sz w:val="32"/>
          <w:szCs w:val="32"/>
        </w:rPr>
        <w:t>年，在省委省政府的坚强领导下，司法厅以习近平新时代中国特色社会主义思想和习近平总书记对四川工作系列重要指示精神为指导，认真贯彻落实党的十九大、十九届二中、三中全会精神和省委十一届三次、四次全会精神，坚持围绕中心、服务大局，各项工作有序推进，取得良好成效。现将一年来的主要事业成效报告如下：</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一、坚持政治引领，党建先行，把牢四川司法行政正确航向</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扎实开展“不忘初心、牢记使命”主题教育，统筹开展“打造红色引擎、传承红色基因”寻根洗礼、万案大评查等8大活动。在抓好中央8项、省委3项问题专项整治的基础上，增加驻在式调研反馈问题、厅党委专项巡察发现问题、形式主义官僚主义在系统内的变异问题、执法领域“四不”问题和窗口服务行业办事“难慢繁”等问题检视，形成19个专项整治方案，实行菜单式管理、项目化推进、挂图式作战，完成一个、销号一个，确保整改落实见人见物。坚持“首题必政治”学习制度，明确党委会、行政办公会、中心组学习会等会议第一议题为政治理论学习，对中央、省委、省委政法委每次全会、每项部署，第一时间组织学习讨论，把“学原文、谈体会、提措施”模式固化为班子成员和部门负责人规定动作。坚持重大事项请示报告制度，报经司法部、省委、省人大常委会、省政府、省政协、省委政法委、省委组织部审核，建立12项请示、24项报告事项清单，在全国司法行政率先制定《请示报告事项办理机制》</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创新推进基层党建，选树“十个标准化”示范党支部50个、“六个规范化”示范基层党委10个，基层党支部建设“四川司法行政样本”入选中政委队伍建设经验交流材料，组织实施法律服务行业党组织应建必建“清零行动”，全国率先发布《新时代四川律师行业党建工作标准化手册》，律师、公证行业党建正从有形全覆盖向有效全覆盖转变。</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二、坚持以良法善治为目标，推进依法治省水平全面提升</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健全党领导法治工作的体制机制。明确依法治省办作为全面依法治省工作策划员、调度员、督导员、考评员、施工员的“五员”定位，确定“统、链、督”工作思路。省市县三级均已组建党委法治建设议事协调机构及办事机构，制定了“两规则一细则”、年度工作要点及任务台账；创新制定了办公室工作管理办法和协调小组联络员制度；规范了省市县三级法治建设议事协调机构设置和称谓；研究制定了《全面依法治省工作优化协同高效运行的指导意见》和立法、执法、司法、守法普法协调小组优化协同高效运作的实施意见，形成规范标准的运行机制。省委领导下的全省上下贯通、左右联动、同频共振、协调配合的法治工作格局基本形成。提升行政立法工作质量。编制《四川省地方行政立法工作流程图》，建立立项审查评估、专家论证制度，从立法项目的立项论证、调研起草、审查论证，再到意见征求和推进协调全方位进行了制度重构。2019年省政府制定类立法计划项目22个，已完成20个</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推进新时代法治政府建设。持续深化“放管服”改革，开展证明事项告知承诺制试点，在4个市和5个省直部门推行84类证明事项告知承诺制。加强行政执法人员能力建设，在全国率先组织3.6万人参加行政执法人员资格全省统考。出台全面落实行政执法“三项制度”的实施意见，启动行政执法标准化建设，打造“教科书式执法”。建立省市县乡四级政府合法性审核机制。扎实开展法治政府建设示范创建，全省共69个市县政府申报示范创建。</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三、坚持服务全省中心大局，司法行政职能作用进一步彰显</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全力维护社会和谐稳定。把好矛盾风险源头关、监测关、管控关，治理能力不断提升。深入开展监管场所安全隐患大排查大整治、百日安全大会战，建立社区矫正安全风险分析研判制度，与德阳市联合开展“携手2019”反恐应急联合演练，全省监管场所持续保持安全稳定。完成司法所规范化建设任务，组织举办司法所业务技能大比武和“尖兵—2019”警体技能大比武。深化“诉非衔接”“检调、公调、访调对接”，开展矛盾纠纷排查39.04万余次，调解39.49万余件、成功率98.8%，化解1.8万余件疑难复杂矛盾纠纷，民转刑案件较去年同比减少64件。深入开展普法依法治理。用活宣传引导、互动参与、良序培育等手段，普治并举持续深化。组织编撰8大类法治宣传用语指导目录，在重要地段和黄金时段精准投放法治公益广告。牵头承办四川省庆祝新中国成立70周年大型成就展“民主法治”部分，组织评选2019年四川十大法治人物，成功举办新中国成立70周年四川法治历程回顾暨“12.4”宪法宣传周主题活动。创新推出52期大型法治访谈栏目《法治四川行——高墙故事》，累计收看突破1亿人次，引起社会强烈反响。主动将戒毒融入脱贫攻坚和社会治理体系，在凉山州建立5个“爱之家”工作站，在涉毒地区建立27个社区康复指导站，实现对禁毒防艾重点区域的社区戒毒与康复全覆盖。在德阳开展“一核三治”乡村治理试点，在雅安芦山推行“1+8”基层治理模式，构建以基层党组织为核心的“一核多元”共建共享治理体系，法治示范县（市、区）创建数居全国第一、民主法治示范村（社区）创建数居全国第二。全力服务高质量发展。着眼防风险、惠民生、促发展，保障机制不断健全。严格落实四川司法行政服务保障民营企业发展“十项举措”“十个不准”，组织开展营商环境法治大督察，积极推进西部法律服务中心建设，指导成都建立国际商事争端解决机制，“一带一路”国际仲裁中心、商事调解中心和外国法查明中心签约入驻成都“欧洲中心”。会同省委政法委、省法学会打造“丝法通”APP，汇集16国130多部法律法规，录入法律机构500余家，50余名法律服务人员每天为“一带一路”企业提供在线涉外法律服务。在商会、园区设立外来（民营）企业投诉服务工作站19家，办理投诉228件，为企业减少、挽回经济损失3.09亿元。组织开展“农民工劳动合同普查与体检”和法律援助为农民工讨薪“暖冬行动”，为农民工讨回欠薪、挽回经济损失5.02亿元，被《人民日报》法治头条专题报道。全面深化司法行政改革。坚持统筹推进、示范引领、上下联动，改革试点取得突破。积极参与庭审实质化改革，制定《民族地区区县法律援助对口帮扶实施方案》，65家律师事务所对口帮扶34个少数民族县，全面推进律师刑事辩护全覆盖试点。认真抓好巡回检察问题整改，公正文明执法水平有效提升。推进监禁刑与非监禁刑有机衔接，出台刑罚执行一体化建设实施方案。制定律师专业水平评价体系，公证参与司法辅助、律师调解试点取得良好成效。持续优化公共法律服务。聚焦普惠均等、便捷高效、智能精准，服务体系更加完善。将公共法律服务纳入我省基本公共服务标准体系，建成市县两级公共法律服务中心204个，乡镇（街道）公共法律服务站4687个，村（社区）公共法律服务室52253个。一村一法律顾问实现全覆盖，12348热线升级为全天候24小时响应，首个高校公共法律服务站在四川师范大学设立，覆盖城乡“全时空、全业务”的现代公共法律服务体系正加速形成。全系统全年办理律师业务61.6万余件、公证113万余件、司法鉴定14.68万余件、仲裁4124件、法律援助4.1万余件、基层法律服务7.4万余件，我省驻中国法网驻场人员实际上线率、参与解答率、服务量连续排名全国第一。</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司法厅</w:t>
      </w:r>
      <w:r>
        <w:rPr>
          <w:rFonts w:hint="eastAsia" w:ascii="仿宋" w:hAnsi="仿宋" w:eastAsia="仿宋"/>
          <w:sz w:val="32"/>
          <w:szCs w:val="32"/>
        </w:rPr>
        <w:t>下属二级单位</w:t>
      </w:r>
      <w:r>
        <w:rPr>
          <w:rFonts w:hint="eastAsia" w:ascii="仿宋" w:hAnsi="仿宋" w:eastAsia="仿宋"/>
          <w:sz w:val="32"/>
          <w:szCs w:val="32"/>
          <w:lang w:val="en-US" w:eastAsia="zh-CN"/>
        </w:rPr>
        <w:t>4</w:t>
      </w:r>
      <w:r>
        <w:rPr>
          <w:rFonts w:hint="eastAsia" w:ascii="仿宋" w:hAnsi="仿宋" w:eastAsia="仿宋"/>
          <w:sz w:val="32"/>
          <w:szCs w:val="32"/>
        </w:rPr>
        <w:t>个，其中行政单位</w:t>
      </w:r>
      <w:r>
        <w:rPr>
          <w:rFonts w:hint="eastAsia" w:ascii="仿宋" w:hAnsi="仿宋" w:eastAsia="仿宋"/>
          <w:sz w:val="32"/>
          <w:szCs w:val="32"/>
          <w:lang w:val="en-US" w:eastAsia="zh-CN"/>
        </w:rPr>
        <w:t>2</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司法厅</w:t>
      </w:r>
      <w:r>
        <w:rPr>
          <w:rFonts w:hint="eastAsia" w:ascii="仿宋" w:hAnsi="仿宋" w:eastAsia="仿宋"/>
          <w:color w:val="000000"/>
          <w:sz w:val="32"/>
          <w:szCs w:val="32"/>
        </w:rPr>
        <w:t>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433"/>
      <w:bookmarkStart w:id="23" w:name="_Toc15377202"/>
      <w:bookmarkStart w:id="24" w:name="_Toc15306276"/>
      <w:bookmarkStart w:id="25" w:name="_Toc15378449"/>
      <w:r>
        <w:rPr>
          <w:rFonts w:hint="eastAsia" w:ascii="仿宋" w:hAnsi="仿宋" w:eastAsia="仿宋"/>
          <w:color w:val="000000"/>
          <w:sz w:val="32"/>
          <w:szCs w:val="32"/>
          <w:lang w:eastAsia="zh-CN"/>
        </w:rPr>
        <w:t>四川省司法厅（本级）</w:t>
      </w:r>
      <w:bookmarkEnd w:id="22"/>
      <w:bookmarkEnd w:id="23"/>
      <w:bookmarkEnd w:id="24"/>
      <w:bookmarkEnd w:id="25"/>
      <w:bookmarkStart w:id="26" w:name="_Toc15306277"/>
      <w:bookmarkStart w:id="27" w:name="_Toc15377203"/>
      <w:bookmarkStart w:id="28" w:name="_Toc15378450"/>
      <w:bookmarkStart w:id="29" w:name="_Toc15377434"/>
    </w:p>
    <w:bookmarkEnd w:id="26"/>
    <w:bookmarkEnd w:id="27"/>
    <w:bookmarkEnd w:id="28"/>
    <w:bookmarkEnd w:id="29"/>
    <w:p>
      <w:pPr>
        <w:pStyle w:val="5"/>
        <w:numPr>
          <w:ilvl w:val="0"/>
          <w:numId w:val="1"/>
        </w:numPr>
        <w:adjustRightInd w:val="0"/>
        <w:snapToGrid w:val="0"/>
        <w:spacing w:before="93" w:line="600" w:lineRule="exact"/>
        <w:ind w:left="1152"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四川省司法厅机关服务中心</w:t>
      </w:r>
    </w:p>
    <w:p>
      <w:pPr>
        <w:pStyle w:val="5"/>
        <w:numPr>
          <w:ilvl w:val="0"/>
          <w:numId w:val="1"/>
        </w:numPr>
        <w:adjustRightInd w:val="0"/>
        <w:snapToGrid w:val="0"/>
        <w:spacing w:before="93" w:line="600" w:lineRule="exact"/>
        <w:ind w:left="1152"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四川省法律援助中心</w:t>
      </w:r>
    </w:p>
    <w:p>
      <w:pPr>
        <w:pStyle w:val="5"/>
        <w:numPr>
          <w:ilvl w:val="0"/>
          <w:numId w:val="1"/>
        </w:numPr>
        <w:adjustRightInd w:val="0"/>
        <w:snapToGrid w:val="0"/>
        <w:spacing w:before="93" w:line="600" w:lineRule="exact"/>
        <w:ind w:left="1152" w:hanging="480" w:firstLineChars="0"/>
        <w:rPr>
          <w:rFonts w:ascii="仿宋" w:hAnsi="仿宋" w:eastAsia="仿宋"/>
          <w:color w:val="000000"/>
          <w:sz w:val="32"/>
          <w:szCs w:val="32"/>
        </w:rPr>
      </w:pPr>
      <w:r>
        <w:rPr>
          <w:rFonts w:hint="eastAsia" w:ascii="仿宋" w:hAnsi="仿宋" w:eastAsia="仿宋"/>
          <w:color w:val="000000"/>
          <w:sz w:val="32"/>
          <w:szCs w:val="32"/>
          <w:lang w:eastAsia="zh-CN"/>
        </w:rPr>
        <w:t>四川司法警官职业学院</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30" w:name="_Toc15377204"/>
      <w:bookmarkStart w:id="31"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30"/>
      <w:bookmarkEnd w:id="31"/>
    </w:p>
    <w:p/>
    <w:p>
      <w:pPr>
        <w:pStyle w:val="23"/>
        <w:numPr>
          <w:ilvl w:val="0"/>
          <w:numId w:val="2"/>
        </w:numPr>
        <w:spacing w:line="600" w:lineRule="exact"/>
        <w:ind w:firstLineChars="0"/>
        <w:outlineLvl w:val="1"/>
        <w:rPr>
          <w:rStyle w:val="25"/>
          <w:rFonts w:ascii="黑体" w:hAnsi="黑体" w:eastAsia="黑体"/>
          <w:b w:val="0"/>
        </w:rPr>
      </w:pPr>
      <w:bookmarkStart w:id="32" w:name="_Toc15377205"/>
      <w:bookmarkStart w:id="33"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2"/>
      <w:bookmarkEnd w:id="33"/>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1029.30</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5.04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370840</wp:posOffset>
            </wp:positionH>
            <wp:positionV relativeFrom="paragraph">
              <wp:posOffset>110490</wp:posOffset>
            </wp:positionV>
            <wp:extent cx="4865370" cy="2553335"/>
            <wp:effectExtent l="4445" t="4445" r="6985"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34" w:name="_Toc15396604"/>
      <w:bookmarkStart w:id="35"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4"/>
      <w:bookmarkEnd w:id="3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17959.01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92.54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u w:val="none"/>
          <w14:textFill>
            <w14:solidFill>
              <w14:schemeClr w14:val="tx1"/>
            </w14:solidFill>
          </w14:textFill>
        </w:rPr>
        <w:t>上级补助收入</w:t>
      </w:r>
      <w:r>
        <w:rPr>
          <w:rFonts w:hint="eastAsia" w:ascii="仿宋" w:hAnsi="仿宋" w:eastAsia="仿宋"/>
          <w:color w:val="000000" w:themeColor="text1"/>
          <w:sz w:val="32"/>
          <w:szCs w:val="32"/>
          <w:u w:val="none"/>
          <w:lang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1446.97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1"/>
        <w:rPr>
          <w:rFonts w:ascii="仿宋" w:hAnsi="仿宋" w:eastAsia="仿宋"/>
          <w:b/>
          <w:color w:val="FF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38735</wp:posOffset>
            </wp:positionH>
            <wp:positionV relativeFrom="paragraph">
              <wp:posOffset>130175</wp:posOffset>
            </wp:positionV>
            <wp:extent cx="5080000" cy="2873375"/>
            <wp:effectExtent l="4445" t="4445" r="20955" b="177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36" w:name="_Toc15377207"/>
      <w:bookmarkStart w:id="37"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6"/>
      <w:bookmarkEnd w:id="3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12599.74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64.93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6806.24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35.07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b/>
          <w:color w:val="FF0000"/>
          <w:sz w:val="32"/>
          <w:szCs w:val="32"/>
        </w:rPr>
      </w:pPr>
      <w:r>
        <w:rPr>
          <w:rFonts w:hint="eastAsia" w:ascii="仿宋" w:hAnsi="仿宋" w:eastAsia="仿宋"/>
          <w:color w:val="000000"/>
          <w:sz w:val="32"/>
          <w:szCs w:val="32"/>
          <w:shd w:val="pct10" w:color="auto" w:fill="FFFFFF"/>
          <w:lang w:eastAsia="zh-CN"/>
        </w:rPr>
        <w:drawing>
          <wp:anchor distT="0" distB="0" distL="114300" distR="114300" simplePos="0" relativeHeight="251660288" behindDoc="0" locked="0" layoutInCell="1" allowOverlap="1">
            <wp:simplePos x="0" y="0"/>
            <wp:positionH relativeFrom="column">
              <wp:posOffset>68580</wp:posOffset>
            </wp:positionH>
            <wp:positionV relativeFrom="paragraph">
              <wp:posOffset>424815</wp:posOffset>
            </wp:positionV>
            <wp:extent cx="5080000" cy="2691130"/>
            <wp:effectExtent l="4445" t="4445" r="20955"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8" w:name="_Toc15396606"/>
      <w:bookmarkStart w:id="39"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8"/>
      <w:bookmarkEnd w:id="39"/>
    </w:p>
    <w:p>
      <w:pPr>
        <w:spacing w:line="600" w:lineRule="exact"/>
        <w:ind w:firstLine="640"/>
        <w:rPr>
          <w:rFonts w:hint="eastAsia"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530.73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2.87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5"/>
          <w:rFonts w:ascii="黑体" w:hAnsi="黑体" w:eastAsia="黑体"/>
          <w:b w:val="0"/>
        </w:rPr>
      </w:pPr>
      <w:bookmarkStart w:id="40" w:name="_Toc15377209"/>
      <w:bookmarkStart w:id="4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0"/>
      <w:bookmarkEnd w:id="41"/>
    </w:p>
    <w:p>
      <w:pPr>
        <w:spacing w:line="600" w:lineRule="exact"/>
        <w:ind w:firstLine="643"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92.54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530.73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2.87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242570</wp:posOffset>
            </wp:positionH>
            <wp:positionV relativeFrom="paragraph">
              <wp:posOffset>10795</wp:posOffset>
            </wp:positionV>
            <wp:extent cx="5024755" cy="2976245"/>
            <wp:effectExtent l="4445" t="4445" r="19050" b="1016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3" w:name="_Toc15377211"/>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drawing>
          <wp:anchor distT="0" distB="0" distL="114300" distR="114300" simplePos="0" relativeHeight="251666432" behindDoc="0" locked="0" layoutInCell="1" allowOverlap="1">
            <wp:simplePos x="0" y="0"/>
            <wp:positionH relativeFrom="column">
              <wp:posOffset>85090</wp:posOffset>
            </wp:positionH>
            <wp:positionV relativeFrom="paragraph">
              <wp:posOffset>3110230</wp:posOffset>
            </wp:positionV>
            <wp:extent cx="4921250" cy="2715260"/>
            <wp:effectExtent l="4445" t="4445" r="8255" b="234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17959.02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28.59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公共安全支出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9482.52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52.80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教育支出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6264.54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34.88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bCs/>
          <w:color w:val="000000" w:themeColor="text1"/>
          <w:sz w:val="32"/>
          <w:szCs w:val="32"/>
          <w14:textFill>
            <w14:solidFill>
              <w14:schemeClr w14:val="tx1"/>
            </w14:solidFill>
          </w14:textFill>
        </w:rPr>
        <w:t>（类）支出</w:t>
      </w:r>
      <w:r>
        <w:rPr>
          <w:rFonts w:hint="eastAsia" w:ascii="仿宋" w:hAnsi="仿宋" w:eastAsia="仿宋"/>
          <w:b/>
          <w:bCs/>
          <w:color w:val="000000" w:themeColor="text1"/>
          <w:sz w:val="32"/>
          <w:szCs w:val="32"/>
          <w:lang w:val="en-US" w:eastAsia="zh-CN"/>
          <w14:textFill>
            <w14:solidFill>
              <w14:schemeClr w14:val="tx1"/>
            </w14:solidFill>
          </w14:textFill>
        </w:rPr>
        <w:t>1308.55</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7.29</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332.86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1.85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（类）</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533.96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灾害防治及应急管理（类）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8.00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3" w:firstLineChars="200"/>
        <w:outlineLvl w:val="2"/>
        <w:rPr>
          <w:rFonts w:ascii="仿宋" w:hAnsi="仿宋" w:eastAsia="仿宋"/>
          <w:color w:val="FF0000"/>
          <w:sz w:val="32"/>
          <w:szCs w:val="32"/>
        </w:rPr>
      </w:pPr>
      <w:bookmarkStart w:id="45" w:name="_Toc15377213"/>
      <w:bookmarkStart w:id="46" w:name="_Toc15377444"/>
      <w:bookmarkStart w:id="47" w:name="_Toc15378460"/>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17959.02</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5"/>
      <w:bookmarkEnd w:id="46"/>
      <w:bookmarkEnd w:id="47"/>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纪检监察事务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大案要案查处</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组织事务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其他组织事务支出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市场监督管理事务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其他市场监督管理事务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5312.03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5312.03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1623.92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机关服务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129.30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基层司法业务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598.78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普法宣传</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法律援助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749.99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国家统一法律资格考试</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56.99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法制建设</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232.85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其他公共安全</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其他公共安全</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78.66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教育支出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职业教育</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高等职业教育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6264.54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未归口管理的行政事业单位离退休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773.66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378.46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机关事业单位职业年金缴费支出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抚恤</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死亡抚恤</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141.19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0.39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304.68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事业单位医疗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4.81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公务员医疗补助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23.37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住房保障支付</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住房公积金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347.75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购房补贴</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186.21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eastAsia="zh-CN"/>
        </w:rPr>
        <w:t>灾害防治及应急管理支出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应急管理事务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其他应急管理事务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8" w:name="_Toc15396608"/>
      <w:bookmarkStart w:id="4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8"/>
      <w:bookmarkEnd w:id="49"/>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9255.47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2480.85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50" w:name="_Toc15377215"/>
      <w:bookmarkStart w:id="51"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0"/>
      <w:bookmarkEnd w:id="51"/>
    </w:p>
    <w:p>
      <w:pPr>
        <w:spacing w:line="600" w:lineRule="exact"/>
        <w:ind w:firstLine="640"/>
        <w:outlineLvl w:val="2"/>
        <w:rPr>
          <w:rFonts w:ascii="仿宋" w:hAnsi="仿宋" w:eastAsia="仿宋"/>
          <w:b/>
          <w:color w:val="000000"/>
          <w:sz w:val="32"/>
          <w:szCs w:val="32"/>
        </w:rPr>
      </w:pPr>
      <w:bookmarkStart w:id="52" w:name="_Toc15377216"/>
      <w:r>
        <w:rPr>
          <w:rFonts w:hint="eastAsia" w:ascii="仿宋" w:hAnsi="仿宋" w:eastAsia="仿宋"/>
          <w:b/>
          <w:color w:val="000000"/>
          <w:sz w:val="32"/>
          <w:szCs w:val="32"/>
        </w:rPr>
        <w:t>（一）“三公”经费财政拨款支出决算总体情况说明</w:t>
      </w:r>
      <w:bookmarkEnd w:id="52"/>
    </w:p>
    <w:p>
      <w:pPr>
        <w:snapToGrid w:val="0"/>
        <w:spacing w:line="560" w:lineRule="exact"/>
        <w:ind w:firstLine="640" w:firstLineChars="200"/>
        <w:rPr>
          <w:rFonts w:ascii="仿宋_GB2312" w:hAnsi="仿宋" w:eastAsia="仿宋_GB2312" w:cs="仿宋_GB2312"/>
          <w:color w:val="000000"/>
          <w:kern w:val="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93.14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65.59</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小于</w:t>
      </w:r>
      <w:r>
        <w:rPr>
          <w:rFonts w:hint="eastAsia" w:ascii="仿宋" w:hAnsi="仿宋" w:eastAsia="仿宋"/>
          <w:color w:val="000000"/>
          <w:sz w:val="32"/>
          <w:szCs w:val="32"/>
        </w:rPr>
        <w:t>预算数的主要原因是</w:t>
      </w:r>
      <w:r>
        <w:rPr>
          <w:rFonts w:hint="eastAsia" w:ascii="仿宋_GB2312" w:hAnsi="仿宋" w:eastAsia="仿宋_GB2312" w:cs="仿宋_GB2312"/>
          <w:color w:val="000000"/>
          <w:kern w:val="0"/>
          <w:sz w:val="32"/>
          <w:szCs w:val="32"/>
        </w:rPr>
        <w:t>是继续认真贯彻落实中央“八项规定”、省委、省政府“十项规定”、司法部“十二项规定”精神和厉行节约要求，进一步规范因公出国（境）、公务接待、公车用车运行管理，从严控制“三公”经费开支，全年实际支出比预算有较大幅度的节约。</w:t>
      </w:r>
    </w:p>
    <w:p>
      <w:pPr>
        <w:spacing w:line="600" w:lineRule="exact"/>
        <w:ind w:firstLine="640"/>
        <w:outlineLvl w:val="2"/>
        <w:rPr>
          <w:rFonts w:ascii="仿宋" w:hAnsi="仿宋" w:eastAsia="仿宋"/>
          <w:b/>
          <w:color w:val="000000"/>
          <w:sz w:val="32"/>
          <w:szCs w:val="32"/>
        </w:rPr>
      </w:pPr>
      <w:bookmarkStart w:id="53" w:name="_Toc15377217"/>
      <w:r>
        <w:rPr>
          <w:rFonts w:hint="eastAsia" w:ascii="仿宋" w:hAnsi="仿宋" w:eastAsia="仿宋"/>
          <w:b/>
          <w:color w:val="000000"/>
          <w:sz w:val="32"/>
          <w:szCs w:val="32"/>
        </w:rPr>
        <w:t>（二）“三公”经费财政拨款支出决算具体情况说明</w:t>
      </w:r>
      <w:bookmarkEnd w:id="53"/>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7456" behindDoc="0" locked="0" layoutInCell="1" allowOverlap="1">
            <wp:simplePos x="0" y="0"/>
            <wp:positionH relativeFrom="column">
              <wp:posOffset>39370</wp:posOffset>
            </wp:positionH>
            <wp:positionV relativeFrom="paragraph">
              <wp:posOffset>1874520</wp:posOffset>
            </wp:positionV>
            <wp:extent cx="5080000" cy="2458720"/>
            <wp:effectExtent l="4445" t="4445" r="20955" b="1333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9.64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10.35</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75.33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80.88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8.77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9.64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32.13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1.39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12.60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9</w:t>
      </w:r>
      <w:r>
        <w:rPr>
          <w:rFonts w:hint="eastAsia" w:ascii="仿宋_GB2312" w:hAnsi="仿宋" w:eastAsia="仿宋_GB2312" w:cs="仿宋_GB2312"/>
          <w:color w:val="000000"/>
          <w:kern w:val="0"/>
          <w:sz w:val="32"/>
          <w:szCs w:val="32"/>
        </w:rPr>
        <w:t>年我厅严格按照《四川省因公临时出国经费管理办法》（川财行〔2015〕299号）文件要求，对出国人员提供的出国相关证明材料和费用凭证进行认真审核后报销。</w:t>
      </w:r>
    </w:p>
    <w:p>
      <w:p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前往香港参加四川持续发展项目川港人才交流计划四川社区公共管理研修交流团；前往台湾参加“川台</w:t>
      </w:r>
      <w:r>
        <w:rPr>
          <w:rFonts w:hint="eastAsia" w:ascii="仿宋_GB2312" w:eastAsia="仿宋_GB2312"/>
          <w:color w:val="000000"/>
          <w:sz w:val="32"/>
          <w:szCs w:val="32"/>
          <w:lang w:val="en-US" w:eastAsia="zh-CN"/>
        </w:rPr>
        <w:t>70条</w:t>
      </w:r>
      <w:r>
        <w:rPr>
          <w:rFonts w:hint="eastAsia" w:ascii="仿宋_GB2312" w:eastAsia="仿宋_GB2312"/>
          <w:color w:val="000000"/>
          <w:sz w:val="32"/>
          <w:szCs w:val="32"/>
          <w:lang w:eastAsia="zh-CN"/>
        </w:rPr>
        <w:t>”赴台宣传调研；前往芬兰参加中芬社区矫正代表团；前往德国参加四川省中德地方交流合作研修班。</w:t>
      </w:r>
      <w:bookmarkStart w:id="81" w:name="_GoBack"/>
      <w:bookmarkEnd w:id="81"/>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75.33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84.14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5.24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7.48</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hint="eastAsia" w:ascii="仿宋_GB2312" w:eastAsia="仿宋_GB2312"/>
          <w:b w:val="0"/>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75.33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基层司法工作、普法宣传、法律援助、国家统一法律资格考试</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8.17</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45.39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1.65</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16.80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cs="宋体"/>
          <w:color w:val="000000"/>
          <w:kern w:val="0"/>
          <w:sz w:val="32"/>
          <w:szCs w:val="30"/>
        </w:rPr>
        <w:t>严格按照《四川省党政机关公务接待管理办法》要求，坚持有利公务、务实节俭的标准，严格控制接待规模、接待标准。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8.17</w:t>
      </w:r>
      <w:r>
        <w:rPr>
          <w:rFonts w:hint="eastAsia" w:ascii="仿宋_GB2312" w:eastAsia="仿宋_GB2312"/>
          <w:color w:val="000000"/>
          <w:sz w:val="32"/>
          <w:szCs w:val="32"/>
        </w:rPr>
        <w:t>万元，主要用于开展业务活动开支的交通费、住宿费、用餐费等。国内公务接待</w:t>
      </w:r>
      <w:r>
        <w:rPr>
          <w:rFonts w:hint="eastAsia" w:ascii="仿宋_GB2312" w:eastAsia="仿宋_GB2312"/>
          <w:color w:val="000000"/>
          <w:sz w:val="32"/>
          <w:szCs w:val="32"/>
          <w:lang w:val="en-US" w:eastAsia="zh-CN"/>
        </w:rPr>
        <w:t>113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764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7.17</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val="en-US" w:eastAsia="zh-CN"/>
          <w14:textFill>
            <w14:solidFill>
              <w14:schemeClr w14:val="tx1"/>
            </w14:solidFill>
          </w14:textFill>
        </w:rPr>
        <w:t>。</w:t>
      </w:r>
    </w:p>
    <w:p>
      <w:pPr>
        <w:spacing w:line="600" w:lineRule="exact"/>
        <w:ind w:firstLine="640"/>
        <w:outlineLvl w:val="1"/>
        <w:rPr>
          <w:rFonts w:ascii="黑体" w:eastAsia="黑体"/>
          <w:color w:val="000000"/>
          <w:sz w:val="32"/>
          <w:szCs w:val="32"/>
        </w:rPr>
      </w:pPr>
      <w:bookmarkStart w:id="54" w:name="_Toc15377218"/>
      <w:bookmarkStart w:id="55"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4"/>
      <w:bookmarkEnd w:id="5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5"/>
          <w:rFonts w:ascii="黑体" w:hAnsi="黑体" w:eastAsia="黑体"/>
          <w:b w:val="0"/>
        </w:rPr>
      </w:pPr>
      <w:bookmarkStart w:id="56" w:name="_Toc15396611"/>
      <w:bookmarkStart w:id="57" w:name="_Toc15377219"/>
      <w:r>
        <w:rPr>
          <w:rStyle w:val="25"/>
          <w:rFonts w:hint="eastAsia" w:ascii="黑体" w:hAnsi="黑体" w:eastAsia="黑体"/>
          <w:b w:val="0"/>
        </w:rPr>
        <w:t>国有资本经营预算支出决算情况说明</w:t>
      </w:r>
      <w:bookmarkEnd w:id="56"/>
      <w:bookmarkEnd w:id="5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8" w:name="_Toc15377221"/>
      <w:bookmarkStart w:id="59"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8"/>
      <w:bookmarkEnd w:id="59"/>
    </w:p>
    <w:p>
      <w:pPr>
        <w:spacing w:line="600" w:lineRule="exact"/>
        <w:ind w:firstLine="643" w:firstLineChars="200"/>
        <w:outlineLvl w:val="2"/>
        <w:rPr>
          <w:rFonts w:ascii="仿宋" w:hAnsi="仿宋" w:eastAsia="仿宋"/>
          <w:color w:val="000000"/>
          <w:sz w:val="32"/>
          <w:szCs w:val="32"/>
        </w:rPr>
      </w:pPr>
      <w:bookmarkStart w:id="60" w:name="_Toc15377222"/>
      <w:r>
        <w:rPr>
          <w:rFonts w:hint="eastAsia" w:ascii="仿宋" w:hAnsi="仿宋" w:eastAsia="仿宋"/>
          <w:b/>
          <w:color w:val="000000"/>
          <w:sz w:val="32"/>
          <w:szCs w:val="32"/>
        </w:rPr>
        <w:t>（一）机关运行经费支出情况</w:t>
      </w:r>
      <w:bookmarkEnd w:id="60"/>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2463.91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1137.55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85.76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2019年完成机构改革，原司法厅和原省人民政府法治办公室合并成立新司法厅。</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1" w:name="_Toc15377223"/>
      <w:r>
        <w:rPr>
          <w:rFonts w:hint="eastAsia" w:ascii="仿宋" w:hAnsi="仿宋" w:eastAsia="仿宋"/>
          <w:b/>
          <w:color w:val="000000"/>
          <w:sz w:val="32"/>
          <w:szCs w:val="32"/>
        </w:rPr>
        <w:t>（二）政府采购支出情况</w:t>
      </w:r>
      <w:bookmarkEnd w:id="61"/>
    </w:p>
    <w:p>
      <w:pPr>
        <w:spacing w:line="600" w:lineRule="exact"/>
        <w:ind w:firstLine="640" w:firstLineChars="200"/>
        <w:outlineLvl w:val="9"/>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1720.25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164.57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1.58</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1554.10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信息化建设及政府购买服务</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27.00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27.00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2" w:name="_Toc15377224"/>
      <w:r>
        <w:rPr>
          <w:rFonts w:hint="eastAsia" w:ascii="仿宋" w:hAnsi="仿宋" w:eastAsia="仿宋"/>
          <w:b/>
          <w:color w:val="000000"/>
          <w:sz w:val="32"/>
          <w:szCs w:val="32"/>
        </w:rPr>
        <w:t>（三）国有资产占有使用情况</w:t>
      </w:r>
      <w:bookmarkEnd w:id="62"/>
    </w:p>
    <w:p>
      <w:pPr>
        <w:autoSpaceDE w:val="0"/>
        <w:autoSpaceDN w:val="0"/>
        <w:adjustRightInd w:val="0"/>
        <w:spacing w:line="600" w:lineRule="exact"/>
        <w:ind w:firstLine="640" w:firstLineChars="200"/>
        <w:jc w:val="left"/>
        <w:outlineLvl w:val="9"/>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执法执勤用车</w:t>
      </w:r>
      <w:r>
        <w:rPr>
          <w:rFonts w:hint="eastAsia" w:ascii="仿宋_GB2312" w:eastAsia="仿宋_GB2312"/>
          <w:color w:val="000000"/>
          <w:sz w:val="32"/>
          <w:szCs w:val="32"/>
          <w:lang w:val="en-US" w:eastAsia="zh-CN"/>
        </w:rPr>
        <w:t>13辆、</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w:t>
      </w:r>
      <w:r>
        <w:rPr>
          <w:rFonts w:hint="eastAsia" w:ascii="仿宋_GB2312" w:eastAsia="仿宋_GB2312"/>
          <w:color w:val="000000" w:themeColor="text1"/>
          <w:sz w:val="32"/>
          <w:szCs w:val="32"/>
          <w:lang w:eastAsia="zh-CN"/>
          <w14:textFill>
            <w14:solidFill>
              <w14:schemeClr w14:val="tx1"/>
            </w14:solidFill>
          </w14:textFill>
        </w:rPr>
        <w:t>于离退休老干部用车及警校教学用车。</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台（套）。</w:t>
      </w:r>
    </w:p>
    <w:p>
      <w:pPr>
        <w:autoSpaceDE w:val="0"/>
        <w:autoSpaceDN w:val="0"/>
        <w:adjustRightInd w:val="0"/>
        <w:spacing w:line="600" w:lineRule="exact"/>
        <w:ind w:left="0" w:firstLine="643" w:firstLineChars="200"/>
        <w:jc w:val="left"/>
        <w:outlineLvl w:val="2"/>
        <w:rPr>
          <w:rFonts w:ascii="仿宋" w:hAnsi="仿宋" w:eastAsia="仿宋" w:cs="Times New Roman"/>
          <w:b/>
          <w:bCs w:val="0"/>
          <w:color w:val="000000"/>
          <w:sz w:val="32"/>
          <w:szCs w:val="32"/>
        </w:rPr>
      </w:pPr>
      <w:r>
        <w:rPr>
          <w:rFonts w:hint="eastAsia" w:ascii="仿宋" w:hAnsi="仿宋" w:eastAsia="仿宋" w:cs="Times New Roman"/>
          <w:b/>
          <w:bCs w:val="0"/>
          <w:color w:val="000000"/>
          <w:sz w:val="32"/>
          <w:szCs w:val="32"/>
          <w:u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法律援助经费项目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个项目开展了绩效目标完成情况自评。</w:t>
      </w:r>
    </w:p>
    <w:p>
      <w:pPr>
        <w:widowControl/>
        <w:shd w:val="clear" w:color="auto" w:fill="FFFFFF"/>
        <w:spacing w:line="240" w:lineRule="auto"/>
        <w:ind w:firstLine="63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Times New Roman" w:eastAsia="仿宋_GB2312" w:cs="Times New Roman"/>
          <w:bCs/>
          <w:color w:val="000000"/>
          <w:kern w:val="0"/>
          <w:sz w:val="32"/>
          <w:szCs w:val="32"/>
          <w:highlight w:val="none"/>
          <w:shd w:val="clear" w:color="auto" w:fill="auto"/>
          <w:lang w:val="en-US" w:eastAsia="zh-CN"/>
        </w:rPr>
        <w:t>2019年部门支出绩效自评总分90分，我厅得分85.1分</w:t>
      </w:r>
      <w:r>
        <w:rPr>
          <w:rFonts w:hint="eastAsia" w:ascii="仿宋_GB2312" w:hAnsi="仿宋_GB2312" w:eastAsia="仿宋_GB2312" w:cs="仿宋_GB2312"/>
          <w:sz w:val="32"/>
          <w:szCs w:val="32"/>
        </w:rPr>
        <w:t>。</w:t>
      </w:r>
      <w:r>
        <w:rPr>
          <w:rFonts w:hint="eastAsia" w:ascii="仿宋_GB2312" w:hAnsi="Times New Roman" w:eastAsia="仿宋_GB2312" w:cs="Times New Roman"/>
          <w:bCs/>
          <w:color w:val="000000"/>
          <w:kern w:val="0"/>
          <w:sz w:val="32"/>
          <w:szCs w:val="32"/>
          <w:highlight w:val="none"/>
          <w:lang w:val="en-US" w:eastAsia="zh-CN"/>
        </w:rPr>
        <w:t>2019年</w:t>
      </w:r>
      <w:r>
        <w:rPr>
          <w:rFonts w:hint="eastAsia" w:ascii="仿宋_GB2312" w:hAnsi="Times New Roman" w:eastAsia="仿宋_GB2312" w:cs="Times New Roman"/>
          <w:bCs/>
          <w:color w:val="000000"/>
          <w:kern w:val="0"/>
          <w:sz w:val="32"/>
          <w:szCs w:val="32"/>
          <w:highlight w:val="none"/>
        </w:rPr>
        <w:t>预算执行过程中仍然存在一些问题，主要表现在</w:t>
      </w:r>
      <w:r>
        <w:rPr>
          <w:rFonts w:hint="eastAsia" w:ascii="仿宋_GB2312" w:hAnsi="Times New Roman" w:eastAsia="仿宋_GB2312" w:cs="Times New Roman"/>
          <w:bCs/>
          <w:color w:val="000000"/>
          <w:kern w:val="0"/>
          <w:sz w:val="32"/>
          <w:szCs w:val="32"/>
          <w:highlight w:val="none"/>
          <w:lang w:eastAsia="zh-CN"/>
        </w:rPr>
        <w:t>一是存在</w:t>
      </w:r>
      <w:r>
        <w:rPr>
          <w:rFonts w:hint="eastAsia" w:ascii="仿宋_GB2312" w:hAnsi="Times New Roman" w:eastAsia="仿宋_GB2312" w:cs="Times New Roman"/>
          <w:bCs/>
          <w:color w:val="000000"/>
          <w:kern w:val="0"/>
          <w:sz w:val="32"/>
          <w:szCs w:val="32"/>
          <w:highlight w:val="none"/>
        </w:rPr>
        <w:t>调账较多；</w:t>
      </w:r>
      <w:r>
        <w:rPr>
          <w:rFonts w:hint="eastAsia" w:ascii="仿宋_GB2312" w:hAnsi="Times New Roman" w:eastAsia="仿宋_GB2312" w:cs="Times New Roman"/>
          <w:bCs/>
          <w:color w:val="000000"/>
          <w:kern w:val="0"/>
          <w:sz w:val="32"/>
          <w:szCs w:val="32"/>
          <w:highlight w:val="none"/>
          <w:lang w:eastAsia="zh-CN"/>
        </w:rPr>
        <w:t>二是</w:t>
      </w:r>
      <w:r>
        <w:rPr>
          <w:rFonts w:hint="eastAsia" w:ascii="仿宋_GB2312" w:hAnsi="Times New Roman" w:eastAsia="仿宋_GB2312" w:cs="Times New Roman"/>
          <w:bCs/>
          <w:color w:val="000000"/>
          <w:kern w:val="0"/>
          <w:sz w:val="32"/>
          <w:szCs w:val="32"/>
          <w:highlight w:val="none"/>
        </w:rPr>
        <w:t>预算执行未严格按照预算编制执行；</w:t>
      </w:r>
      <w:r>
        <w:rPr>
          <w:rFonts w:hint="eastAsia" w:ascii="仿宋_GB2312" w:hAnsi="Times New Roman" w:eastAsia="仿宋_GB2312" w:cs="Times New Roman"/>
          <w:bCs/>
          <w:color w:val="000000"/>
          <w:kern w:val="0"/>
          <w:sz w:val="32"/>
          <w:szCs w:val="32"/>
          <w:highlight w:val="none"/>
          <w:lang w:eastAsia="zh-CN"/>
        </w:rPr>
        <w:t>三是</w:t>
      </w:r>
      <w:r>
        <w:rPr>
          <w:rFonts w:hint="eastAsia" w:ascii="仿宋_GB2312" w:hAnsi="Times New Roman" w:eastAsia="仿宋_GB2312" w:cs="Times New Roman"/>
          <w:bCs/>
          <w:color w:val="000000"/>
          <w:kern w:val="0"/>
          <w:sz w:val="32"/>
          <w:szCs w:val="32"/>
          <w:highlight w:val="none"/>
        </w:rPr>
        <w:t>仍然存在无预算的支出</w:t>
      </w:r>
      <w:r>
        <w:rPr>
          <w:rFonts w:hint="eastAsia" w:ascii="仿宋_GB2312" w:hAnsi="Times New Roman" w:eastAsia="仿宋_GB2312" w:cs="Times New Roman"/>
          <w:bCs/>
          <w:color w:val="000000"/>
          <w:kern w:val="0"/>
          <w:sz w:val="32"/>
          <w:szCs w:val="32"/>
          <w:highlight w:val="none"/>
          <w:lang w:eastAsia="zh-CN"/>
        </w:rPr>
        <w:t>；四是</w:t>
      </w:r>
      <w:r>
        <w:rPr>
          <w:rFonts w:hint="eastAsia" w:ascii="仿宋_GB2312" w:hAnsi="Times New Roman" w:eastAsia="仿宋_GB2312" w:cs="Times New Roman"/>
          <w:bCs/>
          <w:color w:val="000000"/>
          <w:kern w:val="0"/>
          <w:sz w:val="32"/>
          <w:szCs w:val="32"/>
          <w:highlight w:val="none"/>
        </w:rPr>
        <w:t>存在未按预算经济科目开支的现象</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仿宋_GB2312" w:eastAsia="仿宋_GB2312" w:cs="仿宋_GB2312"/>
          <w:sz w:val="32"/>
          <w:szCs w:val="32"/>
        </w:rPr>
        <w:t>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纪检办案经费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“法律援助经费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基层司法业务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普法宣传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auto"/>
          <w:spacing w:val="0"/>
          <w:sz w:val="32"/>
          <w:szCs w:val="32"/>
          <w:shd w:val="clear" w:fill="auto"/>
        </w:rPr>
        <w:t>现代质量教育提升计划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纪检办案经费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198.70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99.35</w:t>
      </w:r>
      <w:r>
        <w:rPr>
          <w:rFonts w:hint="eastAsia" w:ascii="仿宋_GB2312" w:hAnsi="仿宋_GB2312" w:eastAsia="仿宋_GB2312" w:cs="仿宋_GB2312"/>
          <w:sz w:val="32"/>
          <w:szCs w:val="32"/>
        </w:rPr>
        <w:t>%。通过项目实施，促进党风廉政建设进一步好转，发现的主要问题：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default"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rPr>
      </w:pPr>
    </w:p>
    <w:tbl>
      <w:tblPr>
        <w:tblStyle w:val="12"/>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8"/>
        <w:gridCol w:w="711"/>
        <w:gridCol w:w="1038"/>
        <w:gridCol w:w="1037"/>
        <w:gridCol w:w="1038"/>
        <w:gridCol w:w="1319"/>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 w:hRule="atLeast"/>
        </w:trPr>
        <w:tc>
          <w:tcPr>
            <w:tcW w:w="7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7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 w:hRule="atLeast"/>
        </w:trPr>
        <w:tc>
          <w:tcPr>
            <w:tcW w:w="1038"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1"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 w:hRule="atLeast"/>
        </w:trPr>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75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纪检办案经费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 w:hRule="atLeast"/>
        </w:trPr>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1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17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项目预算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执行情况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执行数：</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1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1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况</w:t>
            </w:r>
          </w:p>
        </w:tc>
        <w:tc>
          <w:tcPr>
            <w:tcW w:w="38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4"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8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年度绩效指标完成情况</w:t>
            </w: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w:t>
            </w:r>
            <w:r>
              <w:rPr>
                <w:rStyle w:val="30"/>
                <w:rFonts w:eastAsia="宋体"/>
                <w:lang w:val="en-US" w:eastAsia="zh-CN" w:bidi="ar"/>
              </w:rPr>
              <w:br w:type="textWrapping"/>
            </w:r>
            <w:r>
              <w:rPr>
                <w:rStyle w:val="31"/>
                <w:lang w:val="en-US" w:eastAsia="zh-CN" w:bidi="ar"/>
              </w:rPr>
              <w:t>成</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完成巡查单位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完成常规巡察</w:t>
            </w:r>
            <w:r>
              <w:rPr>
                <w:rStyle w:val="30"/>
                <w:rFonts w:eastAsia="宋体"/>
                <w:lang w:val="en-US" w:eastAsia="zh-CN" w:bidi="ar"/>
              </w:rPr>
              <w:t>6</w:t>
            </w:r>
            <w:r>
              <w:rPr>
                <w:rStyle w:val="31"/>
                <w:lang w:val="en-US" w:eastAsia="zh-CN" w:bidi="ar"/>
              </w:rPr>
              <w:t>个单位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完成常规巡察</w:t>
            </w:r>
            <w:r>
              <w:rPr>
                <w:rStyle w:val="30"/>
                <w:rFonts w:eastAsia="宋体"/>
                <w:lang w:val="en-US" w:eastAsia="zh-CN" w:bidi="ar"/>
              </w:rPr>
              <w:t>6</w:t>
            </w:r>
            <w:r>
              <w:rPr>
                <w:rStyle w:val="31"/>
                <w:lang w:val="en-US" w:eastAsia="zh-CN" w:bidi="ar"/>
              </w:rPr>
              <w:t>个单位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办理信访案件不少于</w:t>
            </w:r>
            <w:r>
              <w:rPr>
                <w:rStyle w:val="30"/>
                <w:rFonts w:eastAsia="宋体"/>
                <w:lang w:val="en-US" w:eastAsia="zh-CN" w:bidi="ar"/>
              </w:rPr>
              <w:t>100</w:t>
            </w:r>
            <w:r>
              <w:rPr>
                <w:rStyle w:val="31"/>
                <w:lang w:val="en-US" w:eastAsia="zh-CN" w:bidi="ar"/>
              </w:rPr>
              <w:t>件</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办理信访案件110件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案件完成情况</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不出现冤假错案</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未出现冤假错案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完成时间</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按时上报省纪委统计数据</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按时上报省纪委统计数据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Style w:val="30"/>
                <w:rFonts w:eastAsia="宋体"/>
                <w:lang w:val="en-US" w:eastAsia="zh-CN" w:bidi="ar"/>
              </w:rPr>
              <w:br w:type="textWrapping"/>
            </w:r>
            <w:r>
              <w:rPr>
                <w:rStyle w:val="31"/>
                <w:lang w:val="en-US" w:eastAsia="zh-CN" w:bidi="ar"/>
              </w:rPr>
              <w:t>益</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对社会促进作用</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促进党风廉政建设进一步好转</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促进党风廉政建设进一步好转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w:t>
            </w:r>
            <w:r>
              <w:rPr>
                <w:rStyle w:val="30"/>
                <w:rFonts w:eastAsia="宋体"/>
                <w:lang w:val="en-US" w:eastAsia="zh-CN" w:bidi="ar"/>
              </w:rPr>
              <w:br w:type="textWrapping"/>
            </w:r>
            <w:r>
              <w:rPr>
                <w:rStyle w:val="31"/>
                <w:lang w:val="en-US" w:eastAsia="zh-CN" w:bidi="ar"/>
              </w:rPr>
              <w:t>意</w:t>
            </w:r>
            <w:r>
              <w:rPr>
                <w:rStyle w:val="30"/>
                <w:rFonts w:eastAsia="宋体"/>
                <w:lang w:val="en-US" w:eastAsia="zh-CN" w:bidi="ar"/>
              </w:rPr>
              <w:br w:type="textWrapping"/>
            </w:r>
            <w:r>
              <w:rPr>
                <w:rStyle w:val="31"/>
                <w:lang w:val="en-US" w:eastAsia="zh-CN" w:bidi="ar"/>
              </w:rPr>
              <w:t>度</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办理信访案件，信访对象满意度达到</w:t>
            </w:r>
            <w:r>
              <w:rPr>
                <w:rStyle w:val="30"/>
                <w:rFonts w:eastAsia="宋体"/>
                <w:lang w:val="en-US" w:eastAsia="zh-CN" w:bidi="ar"/>
              </w:rPr>
              <w:t>80%</w:t>
            </w:r>
            <w:r>
              <w:rPr>
                <w:rStyle w:val="31"/>
                <w:lang w:val="en-US" w:eastAsia="zh-CN" w:bidi="ar"/>
              </w:rPr>
              <w:t>以上</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办理信访案件，信访对象满意度达到85</w:t>
            </w:r>
            <w:r>
              <w:rPr>
                <w:rStyle w:val="30"/>
                <w:rFonts w:eastAsia="宋体"/>
                <w:lang w:val="en-US" w:eastAsia="zh-CN" w:bidi="ar"/>
              </w:rPr>
              <w:t>%</w:t>
            </w:r>
            <w:r>
              <w:rPr>
                <w:rStyle w:val="31"/>
                <w:lang w:val="en-US" w:eastAsia="zh-CN" w:bidi="ar"/>
              </w:rPr>
              <w:t>以上</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5"/>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法律援助经费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93.75</w:t>
      </w:r>
      <w:r>
        <w:rPr>
          <w:rFonts w:hint="eastAsia" w:ascii="仿宋_GB2312" w:hAnsi="仿宋_GB2312" w:eastAsia="仿宋_GB2312" w:cs="仿宋_GB2312"/>
          <w:sz w:val="32"/>
          <w:szCs w:val="32"/>
        </w:rPr>
        <w:t>%。通过项目实施，全年实现法律援助服务受援人群36万人次，完成法律援助数量5万件，发现的主要问题：</w:t>
      </w:r>
      <w:r>
        <w:rPr>
          <w:rFonts w:hint="eastAsia" w:ascii="仿宋_GB2312" w:hAnsi="仿宋_GB2312" w:eastAsia="仿宋_GB2312" w:cs="仿宋_GB2312"/>
          <w:sz w:val="32"/>
          <w:szCs w:val="32"/>
          <w:lang w:eastAsia="zh-CN"/>
        </w:rPr>
        <w:t>法律援助项目数量指标分类不细</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tbl>
      <w:tblPr>
        <w:tblStyle w:val="12"/>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80"/>
        <w:gridCol w:w="780"/>
        <w:gridCol w:w="1260"/>
        <w:gridCol w:w="1380"/>
        <w:gridCol w:w="1035"/>
        <w:gridCol w:w="138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85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5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 w:hRule="atLeast"/>
        </w:trPr>
        <w:tc>
          <w:tcPr>
            <w:tcW w:w="138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4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主管部门及代码</w:t>
            </w: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况</w:t>
            </w: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2019年全年要实现法律援助服务受援人群36万人次，完成法律援助数量5万件。</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2019年全年要实现法律援助服务受援人群36万人次，完成法律援助数量5万件。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年度绩效指标完成情况</w:t>
            </w: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w:t>
            </w:r>
            <w:r>
              <w:rPr>
                <w:rStyle w:val="32"/>
                <w:rFonts w:eastAsia="宋体"/>
                <w:lang w:val="en-US" w:eastAsia="zh-CN" w:bidi="ar"/>
              </w:rPr>
              <w:br w:type="textWrapping"/>
            </w:r>
            <w:r>
              <w:rPr>
                <w:rStyle w:val="33"/>
                <w:lang w:val="en-US" w:eastAsia="zh-CN" w:bidi="ar"/>
              </w:rPr>
              <w:t>成</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实现法律援助服务受援人群（人次）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全年实现法律援助服务受援人群</w:t>
            </w:r>
            <w:r>
              <w:rPr>
                <w:rStyle w:val="32"/>
                <w:rFonts w:eastAsia="宋体"/>
                <w:lang w:val="en-US" w:eastAsia="zh-CN" w:bidi="ar"/>
              </w:rPr>
              <w:t>36</w:t>
            </w:r>
            <w:r>
              <w:rPr>
                <w:rStyle w:val="33"/>
                <w:lang w:val="en-US" w:eastAsia="zh-CN" w:bidi="ar"/>
              </w:rPr>
              <w:t>万人次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全年实现法律援助服务受援人群</w:t>
            </w:r>
            <w:r>
              <w:rPr>
                <w:rStyle w:val="32"/>
                <w:rFonts w:eastAsia="宋体"/>
                <w:lang w:val="en-US" w:eastAsia="zh-CN" w:bidi="ar"/>
              </w:rPr>
              <w:t>36</w:t>
            </w:r>
            <w:r>
              <w:rPr>
                <w:rStyle w:val="33"/>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办理法律援助事项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办理法律咨询、代书等其他法律援助事项</w:t>
            </w:r>
            <w:r>
              <w:rPr>
                <w:rStyle w:val="32"/>
                <w:rFonts w:eastAsia="宋体"/>
                <w:lang w:val="en-US" w:eastAsia="zh-CN" w:bidi="ar"/>
              </w:rPr>
              <w:t>31</w:t>
            </w:r>
            <w:r>
              <w:rPr>
                <w:rStyle w:val="33"/>
                <w:lang w:val="en-US" w:eastAsia="zh-CN" w:bidi="ar"/>
              </w:rPr>
              <w:t>万件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办理法律咨询、代书等其他法律援助事项</w:t>
            </w:r>
            <w:r>
              <w:rPr>
                <w:rStyle w:val="32"/>
                <w:rFonts w:eastAsia="宋体"/>
                <w:lang w:val="en-US" w:eastAsia="zh-CN" w:bidi="ar"/>
              </w:rPr>
              <w:t>31</w:t>
            </w:r>
            <w:r>
              <w:rPr>
                <w:rStyle w:val="33"/>
                <w:lang w:val="en-US" w:eastAsia="zh-CN" w:bidi="ar"/>
              </w:rPr>
              <w:t>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完成法律援助数量（件）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全省共受理完成法律援助案件</w:t>
            </w:r>
            <w:r>
              <w:rPr>
                <w:rStyle w:val="32"/>
                <w:rFonts w:eastAsia="宋体"/>
                <w:lang w:val="en-US" w:eastAsia="zh-CN" w:bidi="ar"/>
              </w:rPr>
              <w:t>5</w:t>
            </w:r>
            <w:r>
              <w:rPr>
                <w:rStyle w:val="33"/>
                <w:lang w:val="en-US" w:eastAsia="zh-CN" w:bidi="ar"/>
              </w:rPr>
              <w:t>万件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全省共受理完成法律援助案件</w:t>
            </w:r>
            <w:r>
              <w:rPr>
                <w:rStyle w:val="32"/>
                <w:rFonts w:eastAsia="宋体"/>
                <w:lang w:val="en-US" w:eastAsia="zh-CN" w:bidi="ar"/>
              </w:rPr>
              <w:t>5</w:t>
            </w:r>
            <w:r>
              <w:rPr>
                <w:rStyle w:val="33"/>
                <w:lang w:val="en-US" w:eastAsia="zh-CN" w:bidi="ar"/>
              </w:rPr>
              <w:t>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法律援助案件受理后完成率达到</w:t>
            </w:r>
            <w:r>
              <w:rPr>
                <w:rStyle w:val="32"/>
                <w:rFonts w:eastAsia="宋体"/>
                <w:lang w:val="en-US" w:eastAsia="zh-CN" w:bidi="ar"/>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法律援助案件受理后完成率达到</w:t>
            </w:r>
            <w:r>
              <w:rPr>
                <w:rStyle w:val="32"/>
                <w:rFonts w:eastAsia="宋体"/>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完成时限</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r>
              <w:rPr>
                <w:rStyle w:val="32"/>
                <w:rFonts w:eastAsia="宋体"/>
                <w:lang w:val="en-US" w:eastAsia="zh-CN" w:bidi="ar"/>
              </w:rPr>
              <w:t>2019</w:t>
            </w:r>
            <w:r>
              <w:rPr>
                <w:rStyle w:val="33"/>
                <w:lang w:val="en-US" w:eastAsia="zh-CN" w:bidi="ar"/>
              </w:rPr>
              <w:t>年全年法律援助工作顺利进行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r>
              <w:rPr>
                <w:rStyle w:val="32"/>
                <w:rFonts w:eastAsia="宋体"/>
                <w:lang w:val="en-US" w:eastAsia="zh-CN" w:bidi="ar"/>
              </w:rPr>
              <w:t>2019</w:t>
            </w:r>
            <w:r>
              <w:rPr>
                <w:rStyle w:val="33"/>
                <w:lang w:val="en-US" w:eastAsia="zh-CN" w:bidi="ar"/>
              </w:rPr>
              <w:t>年全年法律援助工作顺利进行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r>
              <w:rPr>
                <w:rStyle w:val="32"/>
                <w:rFonts w:eastAsia="宋体"/>
                <w:lang w:val="en-US" w:eastAsia="zh-CN" w:bidi="ar"/>
              </w:rPr>
              <w:br w:type="textWrapping"/>
            </w:r>
            <w:r>
              <w:rPr>
                <w:rStyle w:val="33"/>
                <w:lang w:val="en-US" w:eastAsia="zh-CN" w:bidi="ar"/>
              </w:rPr>
              <w:t>益</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对工作的促进作用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保障法援工作顺利进行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保障法援工作顺利进行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w:t>
            </w:r>
            <w:r>
              <w:rPr>
                <w:rStyle w:val="32"/>
                <w:rFonts w:eastAsia="宋体"/>
                <w:lang w:val="en-US" w:eastAsia="zh-CN" w:bidi="ar"/>
              </w:rPr>
              <w:br w:type="textWrapping"/>
            </w:r>
            <w:r>
              <w:rPr>
                <w:rStyle w:val="33"/>
                <w:lang w:val="en-US" w:eastAsia="zh-CN" w:bidi="ar"/>
              </w:rPr>
              <w:t>意</w:t>
            </w:r>
            <w:r>
              <w:rPr>
                <w:rStyle w:val="32"/>
                <w:rFonts w:eastAsia="宋体"/>
                <w:lang w:val="en-US" w:eastAsia="zh-CN" w:bidi="ar"/>
              </w:rPr>
              <w:br w:type="textWrapping"/>
            </w:r>
            <w:r>
              <w:rPr>
                <w:rStyle w:val="33"/>
                <w:lang w:val="en-US" w:eastAsia="zh-CN" w:bidi="ar"/>
              </w:rPr>
              <w:t>度</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受援对象满意度达到</w:t>
            </w:r>
            <w:r>
              <w:rPr>
                <w:rStyle w:val="32"/>
                <w:rFonts w:eastAsia="宋体"/>
                <w:lang w:val="en-US" w:eastAsia="zh-CN" w:bidi="ar"/>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受援对象满意度达到</w:t>
            </w:r>
            <w:r>
              <w:rPr>
                <w:rStyle w:val="32"/>
                <w:rFonts w:eastAsia="宋体"/>
                <w:lang w:val="en-US" w:eastAsia="zh-CN" w:bidi="ar"/>
              </w:rPr>
              <w:t>95%</w:t>
            </w:r>
          </w:p>
        </w:tc>
      </w:tr>
    </w:tbl>
    <w:p>
      <w:pPr>
        <w:numPr>
          <w:ilvl w:val="0"/>
          <w:numId w:val="0"/>
        </w:numPr>
        <w:spacing w:line="580" w:lineRule="exact"/>
        <w:ind w:firstLine="0" w:firstLineChars="0"/>
        <w:rPr>
          <w:rFonts w:hint="eastAsia" w:ascii="仿宋_GB2312" w:hAnsi="仿宋_GB2312" w:eastAsia="仿宋_GB2312" w:cs="仿宋_GB2312"/>
          <w:sz w:val="32"/>
          <w:szCs w:val="32"/>
        </w:rPr>
      </w:pP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基层司法业务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598.78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99.80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基层司法业务、</w:t>
      </w:r>
      <w:r>
        <w:rPr>
          <w:rFonts w:hint="eastAsia" w:ascii="仿宋_GB2312" w:hAnsi="仿宋_GB2312" w:eastAsia="仿宋_GB2312" w:cs="仿宋_GB2312"/>
          <w:sz w:val="32"/>
          <w:szCs w:val="32"/>
        </w:rPr>
        <w:t>社区矫正、司法鉴定、外来企业投诉等</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业务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，对构建社会和谐工作起到良好效果。发现的主要问题：</w:t>
      </w:r>
      <w:r>
        <w:rPr>
          <w:rFonts w:hint="eastAsia" w:ascii="仿宋_GB2312" w:hAnsi="仿宋_GB2312" w:eastAsia="仿宋_GB2312" w:cs="仿宋_GB2312"/>
          <w:sz w:val="32"/>
          <w:szCs w:val="32"/>
          <w:lang w:eastAsia="zh-CN"/>
        </w:rPr>
        <w:t>项目整体目标慨括不够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2021年预算编制中项目整体目标更加慨括全面。</w:t>
      </w:r>
    </w:p>
    <w:tbl>
      <w:tblPr>
        <w:tblStyle w:val="12"/>
        <w:tblW w:w="9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525"/>
        <w:gridCol w:w="1485"/>
        <w:gridCol w:w="1515"/>
        <w:gridCol w:w="900"/>
        <w:gridCol w:w="202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91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4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基层司法业务经费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主管部门及代码</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预算数：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执行数：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况</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保障社区矫正、司法鉴定、外来企业投诉等业务职能，对构建社会和谐工作起到良好效果。</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保障社区矫正、司法鉴定、外来企业投诉等业务职能，对构建社会和谐工作起到良好效果。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年度绩效指标完成情况</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开展社区矫正专项活动（次）</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全年开展专项活动</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全年开展专项活动</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司法鉴定</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指导全省</w:t>
            </w:r>
            <w:r>
              <w:rPr>
                <w:rFonts w:ascii="Arial" w:hAnsi="Arial" w:eastAsia="宋体" w:cs="Arial"/>
                <w:i w:val="0"/>
                <w:color w:val="000000"/>
                <w:kern w:val="0"/>
                <w:sz w:val="18"/>
                <w:szCs w:val="18"/>
                <w:u w:val="none"/>
                <w:lang w:val="en-US" w:eastAsia="zh-CN" w:bidi="ar"/>
              </w:rPr>
              <w:t>197</w:t>
            </w:r>
            <w:r>
              <w:rPr>
                <w:rFonts w:hint="eastAsia" w:ascii="宋体" w:hAnsi="宋体" w:eastAsia="宋体" w:cs="宋体"/>
                <w:i w:val="0"/>
                <w:color w:val="000000"/>
                <w:kern w:val="0"/>
                <w:sz w:val="18"/>
                <w:szCs w:val="18"/>
                <w:u w:val="none"/>
                <w:lang w:val="en-US" w:eastAsia="zh-CN" w:bidi="ar"/>
              </w:rPr>
              <w:t>家司法鉴定机构业务工作，组织开展</w:t>
            </w:r>
            <w:r>
              <w:rPr>
                <w:rFonts w:ascii="Arial" w:hAnsi="Arial" w:eastAsia="宋体" w:cs="Arial"/>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次全省司法鉴定管理工作会。</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指导全省</w:t>
            </w:r>
            <w:r>
              <w:rPr>
                <w:rFonts w:ascii="Arial" w:hAnsi="Arial" w:eastAsia="宋体" w:cs="Arial"/>
                <w:i w:val="0"/>
                <w:color w:val="000000"/>
                <w:kern w:val="0"/>
                <w:sz w:val="18"/>
                <w:szCs w:val="18"/>
                <w:u w:val="none"/>
                <w:lang w:val="en-US" w:eastAsia="zh-CN" w:bidi="ar"/>
              </w:rPr>
              <w:t>197</w:t>
            </w:r>
            <w:r>
              <w:rPr>
                <w:rFonts w:hint="eastAsia" w:ascii="宋体" w:hAnsi="宋体" w:eastAsia="宋体" w:cs="宋体"/>
                <w:i w:val="0"/>
                <w:color w:val="000000"/>
                <w:kern w:val="0"/>
                <w:sz w:val="18"/>
                <w:szCs w:val="18"/>
                <w:u w:val="none"/>
                <w:lang w:val="en-US" w:eastAsia="zh-CN" w:bidi="ar"/>
              </w:rPr>
              <w:t>家司法鉴定机构业务工作，组织开展</w:t>
            </w:r>
            <w:r>
              <w:rPr>
                <w:rFonts w:ascii="Arial" w:hAnsi="Arial" w:eastAsia="宋体" w:cs="Arial"/>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次全省司法鉴定管理工作会。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处理外来企业投诉案件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全年受理外来企业投诉案件</w:t>
            </w:r>
            <w:r>
              <w:rPr>
                <w:rFonts w:ascii="Arial" w:hAnsi="Arial" w:eastAsia="宋体" w:cs="Arial"/>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件，走访外来企业、异地驻川商会不少于</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家（次）。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全年受理外来企业投诉案件</w:t>
            </w:r>
            <w:r>
              <w:rPr>
                <w:rFonts w:ascii="Arial" w:hAnsi="Arial" w:eastAsia="宋体" w:cs="Arial"/>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件，走访外来企业、异地驻川商会不少于</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外来企业投诉案件处理率达到</w:t>
            </w:r>
            <w:r>
              <w:rPr>
                <w:rFonts w:ascii="Arial" w:hAnsi="Arial" w:eastAsia="宋体" w:cs="Arial"/>
                <w:i w:val="0"/>
                <w:color w:val="000000"/>
                <w:kern w:val="0"/>
                <w:sz w:val="18"/>
                <w:szCs w:val="18"/>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外来企业投诉案件处理率达到</w:t>
            </w:r>
            <w:r>
              <w:rPr>
                <w:rFonts w:ascii="Arial" w:hAnsi="Arial" w:eastAsia="宋体" w:cs="Arial"/>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工作完成时限</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w:t>
            </w:r>
            <w:r>
              <w:rPr>
                <w:rFonts w:ascii="Arial" w:hAnsi="Arial" w:eastAsia="宋体" w:cs="Arial"/>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t>月</w:t>
            </w:r>
            <w:r>
              <w:rPr>
                <w:rFonts w:ascii="Arial" w:hAnsi="Arial" w:eastAsia="宋体" w:cs="Arial"/>
                <w:i w:val="0"/>
                <w:color w:val="000000"/>
                <w:kern w:val="0"/>
                <w:sz w:val="18"/>
                <w:szCs w:val="18"/>
                <w:u w:val="none"/>
                <w:lang w:val="en-US" w:eastAsia="zh-CN" w:bidi="ar"/>
              </w:rPr>
              <w:t>31</w:t>
            </w:r>
            <w:r>
              <w:rPr>
                <w:rFonts w:hint="eastAsia" w:ascii="宋体" w:hAnsi="宋体" w:eastAsia="宋体" w:cs="宋体"/>
                <w:i w:val="0"/>
                <w:color w:val="000000"/>
                <w:kern w:val="0"/>
                <w:sz w:val="18"/>
                <w:szCs w:val="18"/>
                <w:u w:val="none"/>
                <w:lang w:val="en-US" w:eastAsia="zh-CN" w:bidi="ar"/>
              </w:rPr>
              <w:t>日前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w:t>
            </w:r>
            <w:r>
              <w:rPr>
                <w:rFonts w:ascii="Arial" w:hAnsi="Arial" w:eastAsia="宋体" w:cs="Arial"/>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t>月</w:t>
            </w:r>
            <w:r>
              <w:rPr>
                <w:rFonts w:ascii="Arial" w:hAnsi="Arial" w:eastAsia="宋体" w:cs="Arial"/>
                <w:i w:val="0"/>
                <w:color w:val="000000"/>
                <w:kern w:val="0"/>
                <w:sz w:val="18"/>
                <w:szCs w:val="18"/>
                <w:u w:val="none"/>
                <w:lang w:val="en-US" w:eastAsia="zh-CN" w:bidi="ar"/>
              </w:rPr>
              <w:t>31</w:t>
            </w:r>
            <w:r>
              <w:rPr>
                <w:rFonts w:hint="eastAsia" w:ascii="宋体" w:hAnsi="宋体" w:eastAsia="宋体" w:cs="宋体"/>
                <w:i w:val="0"/>
                <w:color w:val="000000"/>
                <w:kern w:val="0"/>
                <w:sz w:val="18"/>
                <w:szCs w:val="18"/>
                <w:u w:val="none"/>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对工作促进作用</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对构建社会和谐工作起到良好效果。</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对构建社会和谐工作起到良好效果。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走访外来企业、异地驻川商会满意度达到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走访外来企业、异地驻川商会满意度达到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r>
    </w:tbl>
    <w:p>
      <w:pPr>
        <w:widowControl w:val="0"/>
        <w:spacing w:line="580" w:lineRule="exact"/>
        <w:ind w:firstLine="0" w:firstLineChars="0"/>
        <w:jc w:val="both"/>
        <w:rPr>
          <w:rFonts w:hint="eastAsia" w:ascii="仿宋_GB2312" w:hAnsi="仿宋_GB2312" w:eastAsia="仿宋_GB2312" w:cs="仿宋_GB2312"/>
          <w:sz w:val="32"/>
          <w:szCs w:val="32"/>
        </w:rPr>
      </w:pPr>
    </w:p>
    <w:p>
      <w:pPr>
        <w:widowControl w:val="0"/>
        <w:spacing w:line="580" w:lineRule="exact"/>
        <w:ind w:firstLine="640" w:firstLineChars="200"/>
        <w:jc w:val="both"/>
        <w:rPr>
          <w:rFonts w:hint="eastAsia" w:ascii="仿宋_GB2312" w:hAnsi="仿宋_GB2312" w:eastAsia="仿宋_GB2312" w:cs="仿宋_GB2312"/>
          <w:sz w:val="32"/>
          <w:szCs w:val="32"/>
        </w:rPr>
      </w:pPr>
    </w:p>
    <w:p>
      <w:pPr>
        <w:widowControl w:val="0"/>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普法宣传</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全省普法工作，开展专项普法活动，包括法律七进和藏区彝区法制宣传活动等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对构建社会和谐工作起到良好效果。发现的主要问题：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tbl>
      <w:tblPr>
        <w:tblStyle w:val="12"/>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465"/>
        <w:gridCol w:w="1485"/>
        <w:gridCol w:w="1290"/>
        <w:gridCol w:w="660"/>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87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7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6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四川省司法厅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项目预算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执行情况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执行数：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况</w:t>
            </w: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2019年12月31日前完成指导全省普法工作，开展专项普法活动，包括法律七进和藏区彝区法制宣传活动等。</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2019年12月31日前完成指导全省普法工作，开展专项普法活动，包括法律七进和藏区彝区法制宣传活动等。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预期指标值</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成</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开展专项普法活动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开展法律七进和藏区彝区法制宣传活动</w:t>
            </w:r>
            <w:r>
              <w:rPr>
                <w:rStyle w:val="34"/>
                <w:rFonts w:eastAsia="宋体"/>
                <w:lang w:val="en-US" w:eastAsia="zh-CN" w:bidi="ar"/>
              </w:rPr>
              <w:t>1000</w:t>
            </w:r>
            <w:r>
              <w:rPr>
                <w:rFonts w:hint="eastAsia" w:ascii="宋体" w:hAnsi="宋体" w:eastAsia="宋体" w:cs="宋体"/>
                <w:i w:val="0"/>
                <w:color w:val="000000"/>
                <w:kern w:val="0"/>
                <w:sz w:val="20"/>
                <w:szCs w:val="20"/>
                <w:u w:val="none"/>
                <w:lang w:val="en-US" w:eastAsia="zh-CN" w:bidi="ar"/>
              </w:rPr>
              <w:t>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开展法律七进和藏区彝区法制宣传活动</w:t>
            </w:r>
            <w:r>
              <w:rPr>
                <w:rStyle w:val="34"/>
                <w:rFonts w:eastAsia="宋体"/>
                <w:lang w:val="en-US" w:eastAsia="zh-CN" w:bidi="ar"/>
              </w:rPr>
              <w:t>1000</w:t>
            </w:r>
            <w:r>
              <w:rPr>
                <w:rFonts w:hint="eastAsia" w:ascii="宋体" w:hAnsi="宋体" w:eastAsia="宋体" w:cs="宋体"/>
                <w:i w:val="0"/>
                <w:color w:val="000000"/>
                <w:kern w:val="0"/>
                <w:sz w:val="20"/>
                <w:szCs w:val="20"/>
                <w:u w:val="none"/>
                <w:lang w:val="en-US" w:eastAsia="zh-CN" w:bidi="ar"/>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完成普法宣传工作时间</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r>
              <w:rPr>
                <w:rFonts w:hint="eastAsia" w:ascii="宋体" w:hAnsi="宋体" w:eastAsia="宋体" w:cs="宋体"/>
                <w:i w:val="0"/>
                <w:color w:val="000000"/>
                <w:kern w:val="0"/>
                <w:sz w:val="20"/>
                <w:szCs w:val="20"/>
                <w:u w:val="none"/>
                <w:lang w:val="en-US" w:eastAsia="zh-CN" w:bidi="ar"/>
              </w:rPr>
              <w:t>年</w:t>
            </w:r>
            <w:r>
              <w:rPr>
                <w:rStyle w:val="34"/>
                <w:rFonts w:eastAsia="宋体"/>
                <w:lang w:val="en-US" w:eastAsia="zh-CN" w:bidi="ar"/>
              </w:rPr>
              <w:t>12</w:t>
            </w:r>
            <w:r>
              <w:rPr>
                <w:rFonts w:hint="eastAsia" w:ascii="宋体" w:hAnsi="宋体" w:eastAsia="宋体" w:cs="宋体"/>
                <w:i w:val="0"/>
                <w:color w:val="000000"/>
                <w:kern w:val="0"/>
                <w:sz w:val="20"/>
                <w:szCs w:val="20"/>
                <w:u w:val="none"/>
                <w:lang w:val="en-US" w:eastAsia="zh-CN" w:bidi="ar"/>
              </w:rPr>
              <w:t>月</w:t>
            </w:r>
            <w:r>
              <w:rPr>
                <w:rStyle w:val="34"/>
                <w:rFonts w:eastAsia="宋体"/>
                <w:lang w:val="en-US" w:eastAsia="zh-CN" w:bidi="ar"/>
              </w:rPr>
              <w:t>31</w:t>
            </w:r>
            <w:r>
              <w:rPr>
                <w:rFonts w:hint="eastAsia" w:ascii="宋体" w:hAnsi="宋体" w:eastAsia="宋体" w:cs="宋体"/>
                <w:i w:val="0"/>
                <w:color w:val="000000"/>
                <w:kern w:val="0"/>
                <w:sz w:val="20"/>
                <w:szCs w:val="20"/>
                <w:u w:val="none"/>
                <w:lang w:val="en-US" w:eastAsia="zh-CN" w:bidi="ar"/>
              </w:rPr>
              <w:t>日前完成指导全省普法工作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r>
              <w:rPr>
                <w:rFonts w:hint="eastAsia" w:ascii="宋体" w:hAnsi="宋体" w:eastAsia="宋体" w:cs="宋体"/>
                <w:i w:val="0"/>
                <w:color w:val="000000"/>
                <w:kern w:val="0"/>
                <w:sz w:val="20"/>
                <w:szCs w:val="20"/>
                <w:u w:val="none"/>
                <w:lang w:val="en-US" w:eastAsia="zh-CN" w:bidi="ar"/>
              </w:rPr>
              <w:t>年</w:t>
            </w:r>
            <w:r>
              <w:rPr>
                <w:rStyle w:val="34"/>
                <w:rFonts w:eastAsia="宋体"/>
                <w:lang w:val="en-US" w:eastAsia="zh-CN" w:bidi="ar"/>
              </w:rPr>
              <w:t>12</w:t>
            </w:r>
            <w:r>
              <w:rPr>
                <w:rFonts w:hint="eastAsia" w:ascii="宋体" w:hAnsi="宋体" w:eastAsia="宋体" w:cs="宋体"/>
                <w:i w:val="0"/>
                <w:color w:val="000000"/>
                <w:kern w:val="0"/>
                <w:sz w:val="20"/>
                <w:szCs w:val="20"/>
                <w:u w:val="none"/>
                <w:lang w:val="en-US" w:eastAsia="zh-CN" w:bidi="ar"/>
              </w:rPr>
              <w:t>月</w:t>
            </w:r>
            <w:r>
              <w:rPr>
                <w:rStyle w:val="34"/>
                <w:rFonts w:eastAsia="宋体"/>
                <w:lang w:val="en-US" w:eastAsia="zh-CN" w:bidi="ar"/>
              </w:rPr>
              <w:t>31</w:t>
            </w:r>
            <w:r>
              <w:rPr>
                <w:rFonts w:hint="eastAsia" w:ascii="宋体" w:hAnsi="宋体" w:eastAsia="宋体" w:cs="宋体"/>
                <w:i w:val="0"/>
                <w:color w:val="000000"/>
                <w:kern w:val="0"/>
                <w:sz w:val="20"/>
                <w:szCs w:val="20"/>
                <w:u w:val="none"/>
                <w:lang w:val="en-US" w:eastAsia="zh-CN" w:bidi="ar"/>
              </w:rPr>
              <w:t>日前完成指导全省普法工作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对社会的促进作用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全省法制意识提高，尤其是藏区彝区群众法制意识提高</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全省法制意识提高，尤其是藏区彝区群众法制意识提高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覆盖面</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普法宣传活动覆盖全省</w:t>
            </w:r>
            <w:r>
              <w:rPr>
                <w:rStyle w:val="34"/>
                <w:rFonts w:eastAsia="宋体"/>
                <w:lang w:val="en-US" w:eastAsia="zh-CN" w:bidi="ar"/>
              </w:rPr>
              <w:t>21</w:t>
            </w:r>
            <w:r>
              <w:rPr>
                <w:rFonts w:hint="eastAsia" w:ascii="宋体" w:hAnsi="宋体" w:eastAsia="宋体" w:cs="宋体"/>
                <w:i w:val="0"/>
                <w:color w:val="000000"/>
                <w:kern w:val="0"/>
                <w:sz w:val="20"/>
                <w:szCs w:val="20"/>
                <w:u w:val="none"/>
                <w:lang w:val="en-US" w:eastAsia="zh-CN" w:bidi="ar"/>
              </w:rPr>
              <w:t>个市（州），重点覆盖藏区</w:t>
            </w:r>
            <w:r>
              <w:rPr>
                <w:rStyle w:val="34"/>
                <w:rFonts w:eastAsia="宋体"/>
                <w:lang w:val="en-US" w:eastAsia="zh-CN" w:bidi="ar"/>
              </w:rPr>
              <w:t>32</w:t>
            </w:r>
            <w:r>
              <w:rPr>
                <w:rFonts w:hint="eastAsia" w:ascii="宋体" w:hAnsi="宋体" w:eastAsia="宋体" w:cs="宋体"/>
                <w:i w:val="0"/>
                <w:color w:val="000000"/>
                <w:kern w:val="0"/>
                <w:sz w:val="20"/>
                <w:szCs w:val="20"/>
                <w:u w:val="none"/>
                <w:lang w:val="en-US" w:eastAsia="zh-CN" w:bidi="ar"/>
              </w:rPr>
              <w:t>个县，彝区</w:t>
            </w:r>
            <w:r>
              <w:rPr>
                <w:rStyle w:val="34"/>
                <w:rFonts w:eastAsia="宋体"/>
                <w:lang w:val="en-US" w:eastAsia="zh-CN" w:bidi="ar"/>
              </w:rPr>
              <w:t>16</w:t>
            </w:r>
            <w:r>
              <w:rPr>
                <w:rFonts w:hint="eastAsia" w:ascii="宋体" w:hAnsi="宋体" w:eastAsia="宋体" w:cs="宋体"/>
                <w:i w:val="0"/>
                <w:color w:val="000000"/>
                <w:kern w:val="0"/>
                <w:sz w:val="20"/>
                <w:szCs w:val="20"/>
                <w:u w:val="none"/>
                <w:lang w:val="en-US" w:eastAsia="zh-CN" w:bidi="ar"/>
              </w:rPr>
              <w:t>个县。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普法宣传活动覆盖全省</w:t>
            </w:r>
            <w:r>
              <w:rPr>
                <w:rStyle w:val="34"/>
                <w:rFonts w:eastAsia="宋体"/>
                <w:lang w:val="en-US" w:eastAsia="zh-CN" w:bidi="ar"/>
              </w:rPr>
              <w:t>21</w:t>
            </w:r>
            <w:r>
              <w:rPr>
                <w:rFonts w:hint="eastAsia" w:ascii="宋体" w:hAnsi="宋体" w:eastAsia="宋体" w:cs="宋体"/>
                <w:i w:val="0"/>
                <w:color w:val="000000"/>
                <w:kern w:val="0"/>
                <w:sz w:val="20"/>
                <w:szCs w:val="20"/>
                <w:u w:val="none"/>
                <w:lang w:val="en-US" w:eastAsia="zh-CN" w:bidi="ar"/>
              </w:rPr>
              <w:t>个市（州），重点覆盖藏区</w:t>
            </w:r>
            <w:r>
              <w:rPr>
                <w:rStyle w:val="34"/>
                <w:rFonts w:eastAsia="宋体"/>
                <w:lang w:val="en-US" w:eastAsia="zh-CN" w:bidi="ar"/>
              </w:rPr>
              <w:t>32</w:t>
            </w:r>
            <w:r>
              <w:rPr>
                <w:rFonts w:hint="eastAsia" w:ascii="宋体" w:hAnsi="宋体" w:eastAsia="宋体" w:cs="宋体"/>
                <w:i w:val="0"/>
                <w:color w:val="000000"/>
                <w:kern w:val="0"/>
                <w:sz w:val="20"/>
                <w:szCs w:val="20"/>
                <w:u w:val="none"/>
                <w:lang w:val="en-US" w:eastAsia="zh-CN" w:bidi="ar"/>
              </w:rPr>
              <w:t>个县，彝区</w:t>
            </w:r>
            <w:r>
              <w:rPr>
                <w:rStyle w:val="34"/>
                <w:rFonts w:eastAsia="宋体"/>
                <w:lang w:val="en-US" w:eastAsia="zh-CN" w:bidi="ar"/>
              </w:rPr>
              <w:t>16</w:t>
            </w:r>
            <w:r>
              <w:rPr>
                <w:rFonts w:hint="eastAsia" w:ascii="宋体" w:hAnsi="宋体" w:eastAsia="宋体" w:cs="宋体"/>
                <w:i w:val="0"/>
                <w:color w:val="000000"/>
                <w:kern w:val="0"/>
                <w:sz w:val="20"/>
                <w:szCs w:val="20"/>
                <w:u w:val="none"/>
                <w:lang w:val="en-US" w:eastAsia="zh-CN" w:bidi="ar"/>
              </w:rPr>
              <w:t>个县。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意</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藏区、彝区等地普法宣传受众群众满意度达到</w:t>
            </w:r>
            <w:r>
              <w:rPr>
                <w:rStyle w:val="34"/>
                <w:rFonts w:eastAsia="宋体"/>
                <w:lang w:val="en-US" w:eastAsia="zh-CN" w:bidi="ar"/>
              </w:rPr>
              <w:t>95%</w:t>
            </w:r>
            <w:r>
              <w:rPr>
                <w:rFonts w:hint="eastAsia" w:ascii="宋体" w:hAnsi="宋体" w:eastAsia="宋体" w:cs="宋体"/>
                <w:i w:val="0"/>
                <w:color w:val="000000"/>
                <w:kern w:val="0"/>
                <w:sz w:val="20"/>
                <w:szCs w:val="20"/>
                <w:u w:val="none"/>
                <w:lang w:val="en-US" w:eastAsia="zh-CN" w:bidi="ar"/>
              </w:rPr>
              <w:t>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藏区、彝区等地普法宣传受众群众满意度达到</w:t>
            </w:r>
            <w:r>
              <w:rPr>
                <w:rStyle w:val="34"/>
                <w:rFonts w:eastAsia="宋体"/>
                <w:lang w:val="en-US" w:eastAsia="zh-CN" w:bidi="ar"/>
              </w:rPr>
              <w:t>95%</w:t>
            </w:r>
            <w:r>
              <w:rPr>
                <w:rFonts w:hint="eastAsia" w:ascii="宋体" w:hAnsi="宋体" w:eastAsia="宋体" w:cs="宋体"/>
                <w:i w:val="0"/>
                <w:color w:val="000000"/>
                <w:kern w:val="0"/>
                <w:sz w:val="20"/>
                <w:szCs w:val="20"/>
                <w:u w:val="none"/>
                <w:lang w:val="en-US" w:eastAsia="zh-CN" w:bidi="ar"/>
              </w:rPr>
              <w:t>以上</w:t>
            </w:r>
          </w:p>
        </w:tc>
      </w:tr>
    </w:tbl>
    <w:p>
      <w:pPr>
        <w:spacing w:line="580" w:lineRule="exact"/>
        <w:ind w:firstLine="0" w:firstLineChars="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auto"/>
          <w:spacing w:val="0"/>
          <w:sz w:val="32"/>
          <w:szCs w:val="32"/>
          <w:shd w:val="clear" w:fill="auto"/>
        </w:rPr>
        <w:t>现代质量教育提升计划</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106.93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与省内20余个监狱、戒毒所签订“校监校所战略合作”协议，建立了“一主线、二平台、三层次、学习与服务相融合”的人才培养实施路径。</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tbl>
      <w:tblPr>
        <w:tblStyle w:val="12"/>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540"/>
        <w:gridCol w:w="1140"/>
        <w:gridCol w:w="1260"/>
        <w:gridCol w:w="720"/>
        <w:gridCol w:w="19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8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6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现代质量教育提升计划（高职生均拨款标准奖补）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四川司法警官职业学院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项目预算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执行情况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执行数：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况</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根据中央现代职业教育提升计划政策，提升职业教育质量</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与省内20余个监狱、戒毒所签订“校监校所战略合作”协议，建立了“一主线、二平台、三层次、学习与服务相融合”的人才培养实施路径。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年度绩效指标完成情况</w:t>
            </w: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预算完成数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107</w:t>
            </w:r>
            <w:r>
              <w:rPr>
                <w:rFonts w:hint="eastAsia" w:ascii="宋体" w:hAnsi="宋体" w:eastAsia="宋体" w:cs="宋体"/>
                <w:i w:val="0"/>
                <w:color w:val="000000"/>
                <w:kern w:val="0"/>
                <w:sz w:val="16"/>
                <w:szCs w:val="16"/>
                <w:u w:val="none"/>
                <w:lang w:val="en-US" w:eastAsia="zh-CN" w:bidi="ar"/>
              </w:rPr>
              <w:t>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r>
              <w:rPr>
                <w:rFonts w:ascii="Arial" w:hAnsi="Arial" w:eastAsia="宋体" w:cs="Arial"/>
                <w:i w:val="0"/>
                <w:color w:val="000000"/>
                <w:kern w:val="0"/>
                <w:sz w:val="16"/>
                <w:szCs w:val="16"/>
                <w:u w:val="none"/>
                <w:lang w:val="en-US" w:eastAsia="zh-CN" w:bidi="ar"/>
              </w:rPr>
              <w:t>106.93</w:t>
            </w:r>
            <w:r>
              <w:rPr>
                <w:rFonts w:hint="eastAsia" w:ascii="宋体" w:hAnsi="宋体" w:eastAsia="宋体" w:cs="宋体"/>
                <w:i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教学质量提升度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教学质量提升度超</w:t>
            </w:r>
            <w:r>
              <w:rPr>
                <w:rFonts w:ascii="Arial" w:hAnsi="Arial" w:eastAsia="宋体" w:cs="Arial"/>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项目完成时间</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年</w:t>
            </w:r>
            <w:r>
              <w:rPr>
                <w:rFonts w:ascii="Arial" w:hAnsi="Arial" w:eastAsia="宋体" w:cs="Arial"/>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年</w:t>
            </w:r>
            <w:r>
              <w:rPr>
                <w:rFonts w:ascii="Arial" w:hAnsi="Arial" w:eastAsia="宋体" w:cs="Arial"/>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益</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社会贡献度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教师服务地方法治建设增加</w:t>
            </w:r>
            <w:r>
              <w:rPr>
                <w:rFonts w:ascii="Arial" w:hAnsi="Arial" w:eastAsia="宋体" w:cs="Arial"/>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人次；学生服务社会增加</w:t>
            </w:r>
            <w:r>
              <w:rPr>
                <w:rFonts w:ascii="Arial" w:hAnsi="Arial" w:eastAsia="宋体" w:cs="Arial"/>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人次</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教师服务地方法治建设增加</w:t>
            </w:r>
            <w:r>
              <w:rPr>
                <w:rFonts w:ascii="Arial" w:hAnsi="Arial" w:eastAsia="宋体" w:cs="Arial"/>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人次；学生服务社会增加</w:t>
            </w:r>
            <w:r>
              <w:rPr>
                <w:rFonts w:ascii="Arial" w:hAnsi="Arial" w:eastAsia="宋体" w:cs="Arial"/>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意</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教学质量评价学生满意度达到</w:t>
            </w:r>
            <w:r>
              <w:rPr>
                <w:rFonts w:ascii="Arial" w:hAnsi="Arial" w:eastAsia="宋体" w:cs="Arial"/>
                <w:i w:val="0"/>
                <w:color w:val="000000"/>
                <w:kern w:val="0"/>
                <w:sz w:val="16"/>
                <w:szCs w:val="16"/>
                <w:u w:val="none"/>
                <w:lang w:val="en-US" w:eastAsia="zh-CN" w:bidi="ar"/>
              </w:rPr>
              <w:t>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教学质量评价学生满意度达到</w:t>
            </w:r>
            <w:r>
              <w:rPr>
                <w:rFonts w:ascii="Arial" w:hAnsi="Arial" w:eastAsia="宋体" w:cs="Arial"/>
                <w:i w:val="0"/>
                <w:color w:val="000000"/>
                <w:kern w:val="0"/>
                <w:sz w:val="16"/>
                <w:szCs w:val="16"/>
                <w:u w:val="none"/>
                <w:lang w:val="en-US" w:eastAsia="zh-CN" w:bidi="ar"/>
              </w:rPr>
              <w:t>80%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四川省司法厅</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numPr>
          <w:ilvl w:val="0"/>
          <w:numId w:val="6"/>
        </w:numPr>
        <w:spacing w:line="600" w:lineRule="exact"/>
        <w:ind w:firstLine="660" w:firstLineChars="150"/>
        <w:jc w:val="center"/>
        <w:outlineLvl w:val="0"/>
        <w:rPr>
          <w:rStyle w:val="24"/>
          <w:rFonts w:ascii="黑体" w:hAnsi="黑体" w:eastAsia="黑体"/>
          <w:b w:val="0"/>
        </w:rPr>
      </w:pPr>
      <w:bookmarkStart w:id="63" w:name="_Toc15377225"/>
      <w:bookmarkStart w:id="64" w:name="_Toc15396613"/>
      <w:r>
        <w:rPr>
          <w:rFonts w:hint="eastAsia" w:ascii="黑体" w:hAnsi="黑体" w:eastAsia="黑体"/>
          <w:b w:val="0"/>
          <w:color w:val="000000"/>
          <w:sz w:val="44"/>
          <w:szCs w:val="44"/>
          <w:u w:val="none"/>
        </w:rPr>
        <w:t>名</w:t>
      </w:r>
      <w:r>
        <w:rPr>
          <w:rStyle w:val="24"/>
          <w:rFonts w:hint="eastAsia" w:ascii="黑体" w:hAnsi="黑体" w:eastAsia="黑体"/>
          <w:b w:val="0"/>
        </w:rPr>
        <w:t>词解释</w:t>
      </w:r>
      <w:bookmarkEnd w:id="63"/>
      <w:bookmarkEnd w:id="64"/>
    </w:p>
    <w:p>
      <w:pPr>
        <w:spacing w:line="600" w:lineRule="exact"/>
        <w:jc w:val="left"/>
        <w:rPr>
          <w:rFonts w:ascii="宋体"/>
          <w:b/>
          <w:color w:val="000000"/>
          <w:sz w:val="44"/>
          <w:szCs w:val="44"/>
        </w:rPr>
      </w:pP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财政拨款收入：指单位从同级财政部门取得的财政预算资金。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事业收入：指事业单位开展专业业务活动及辅助活动取得的收入。如…（二级预算单位事业收入情况）等。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经营收入：指事业单位在专业业务活动及其辅助活动之外开展非独立核算经营活动取得的收入。如…（二级预算单位经营收入情况）等。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其他收入：指单位取得的除上述收入以外的各项收入。主要是…（收入类型）等。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年初结转和结余：指以前年度尚未完成、结转到本年按有关规定继续使用的资金。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结余分配：指事业单位按照事业单位会计制度的规定从非财政补助结余中分配的事业基金和职工福利基金等。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年末结转和结余：指单位按有关规定结转到下年或以后年度继续使用的资金。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一般公共服务（类）纪检监察事务（款）大案要案查处（项）: 反映查处大要（专）案的支出。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一般公共服务（类）组织事务（款）其他组织事务支出（项）: 反映其他用于中国共产党组织部门的事务支出。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一般公共服务（类）市场监督管理事务（款）其他市场监督管理事务（项）: 反映用于其他市场监督管理事务方面的支出。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公共安全支出（类）司法（款）行政运行（项）: 反映行政单位（包括试行公务员管理的事业单位）的基本支出。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公共安全支出（类）司法（款）一般行政管理事务（项）: 反映行政单位（包括试行公务员管理的事业单位）为单独设置顶级科目的其他项目支出。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公共安全支出（类）司法（款）机关服务（项）: 反映行政单位（包括试行公务员管理的事业单位）提供后勤服务的各类后勤服务中心、医务室等附属事业单位的支出。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公共安全支出（类）司法（款）基层司法业务（项）: 指各级司法行政部门用于基层业务的支出。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公共安全支出（类）司法（款）普法宣传（项）: 指各级司法行政部门用于组织各种媒体的宣传、普法装备与设施、宣传资料、对外宣传、法制作品的审读评审等方面的支出。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公共安全支出（类）司法（款）法律援助（项）: 指各级法律援助机构用于开展法律援助工作的支出。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公共安全支出（类）司法（款）国家统一法律资格考试（项）: 指各级司法行政部门用于举办司法统一考试所需支出，包括报名组织费、命题费、试卷印刷费、阅卷费、考场租赁费等。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公共安全支出（类）司法（款）法制建设（项）: 反映各级政府用于法制建设方面的支出。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公共安全支出（类）其他公共安全（款）其他公共安全（项）: 反映用于其他方面公共安全支出。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教育支出（类）职业教育（款）高等职业教育（项）: 指经国家批准设立的高等职业大学、专科职业教育等方面的支出。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社会保障和就业支出（类）行政事业单位离退休（款）未归口管理的行政事业单位离退休（项）: 指未实行归口管理的行政单位（包括实行公务员管理的事业单位）开支的离退休支出。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社会保障和就业支出（类）行政事业单位离退休（款）机关事业单位基本养老保险缴费支出（项）: 指机关事业单位实施养老保险制度由单位缴纳的基本养老保险支出。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社会保障和就业支出（类）行政事业单位离退休（款）机关事业单位职业年金缴费支出（项）: 反映机关事业单位实施年老保险制度由单位缴纳的职业年金支出。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社会保障和就业支出（类）抚恤（款）死亡抚恤（项）: 指按规定用于烈士和牺牲、病故人员家属的一次性和定期抚恤金以及丧葬补助费。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社会保障和就业支出（类）其他社会保障和就业支出（款）其他社会保障和就业支出（项）: 指其他用于社会保障和就业方面的支出。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卫生健康支出（类）行政事业单位医疗（款）行政单位医疗（项）: 指财政部门集中安排的行政单位基本医疗保险缴费经费，未参加医疗保险的行政单位的公费医疗经费，按国家规定享受离休人员、红军老战士待遇人员的医疗经费。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卫生健康支出（类）行政事业单位医疗（款）事业单位医疗（项）: 指财政部门集中安排的事业单位基本医疗保险缴费经费，未参加医疗保险的事业单位的公费医疗经费，按国家规定享受离休人员待遇的医疗经费。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卫生健康支出（类）行政事业单位医疗（款）公务员医疗补助（项）: 指财政部门集中安排的公务员补助经费。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住房保障支付（类）住房改革支出（款）住房公积金（项）: 指行政事业单位按人力资源和社会保障部、财政部规定的基本工资和津补贴以及规定比例为职工缴纳的住房公积金。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住房保障支出（类）住房改革支出（款）购房补贴（项）: 指按房改政策规定，行政事业单位向符合条件职工（含离退休人员）、军队（含武警）向转役复员离退休人员发放的用于购买住房的补贴。</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灾害防治及应急管理支出（类）应急管理事务（款）其他应急管理事务（项）: 用于其他应急管理方面支出。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基本支出：指为保障机构正常运转、完成日常工作任务而发生的人员支出和公用支出。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项目支出：指在基本支出之外为完成特定行政任务和事业发展目标所发生的支出。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经营支出：指事业单位在专业业务活动及其辅助活动之外开展非独立核算经营活动发生的支出。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65" w:name="_Toc15377226"/>
      <w:r>
        <w:rPr>
          <w:rFonts w:ascii="宋体"/>
          <w:b/>
          <w:color w:val="000000"/>
          <w:sz w:val="44"/>
          <w:szCs w:val="44"/>
        </w:rPr>
        <w:br w:type="page"/>
      </w:r>
      <w:bookmarkStart w:id="6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6"/>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四川省司法厅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9年度</w:t>
      </w:r>
      <w:r>
        <w:rPr>
          <w:rFonts w:hint="eastAsia" w:ascii="方正小标宋简体" w:eastAsia="方正小标宋简体"/>
          <w:sz w:val="44"/>
          <w:szCs w:val="44"/>
          <w:lang w:eastAsia="zh-CN"/>
        </w:rPr>
        <w:t>部门整体支出绩效评价</w:t>
      </w:r>
      <w:r>
        <w:rPr>
          <w:rFonts w:hint="eastAsia" w:ascii="方正小标宋简体" w:eastAsia="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szCs w:val="32"/>
        </w:rPr>
      </w:pP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hAnsi="Times New Roman" w:eastAsia="仿宋_GB2312"/>
          <w:bCs/>
          <w:color w:val="000000"/>
          <w:kern w:val="0"/>
          <w:sz w:val="32"/>
          <w:szCs w:val="32"/>
          <w:highlight w:val="none"/>
        </w:rPr>
      </w:pPr>
      <w:r>
        <w:rPr>
          <w:rFonts w:hint="eastAsia" w:ascii="仿宋_GB2312" w:hAnsi="Times New Roman" w:eastAsia="仿宋_GB2312"/>
          <w:bCs/>
          <w:color w:val="000000"/>
          <w:kern w:val="0"/>
          <w:sz w:val="32"/>
          <w:szCs w:val="32"/>
          <w:highlight w:val="none"/>
        </w:rPr>
        <w:t>一、部门（单位）概况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（一）机构组成</w:t>
      </w:r>
    </w:p>
    <w:p>
      <w:pPr>
        <w:keepNext w:val="0"/>
        <w:keepLines w:val="0"/>
        <w:pageBreakBefore w:val="0"/>
        <w:widowControl/>
        <w:shd w:val="clear" w:color="auto" w:fill="FFFFFF"/>
        <w:wordWrap/>
        <w:topLinePunct w:val="0"/>
        <w:bidi w:val="0"/>
        <w:spacing w:line="240" w:lineRule="auto"/>
        <w:ind w:firstLine="640" w:firstLineChars="20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下属二级预算单位4个，其中行政单位2个，参照公务员法管理的事业单位1个，其他事业单位1个。具体包括：四川省司法厅机关、四川司法警官职业学院、四川省法律援助中心、四川省司法厅机关服务中心。</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（二）机构职能</w:t>
      </w:r>
    </w:p>
    <w:p>
      <w:pPr>
        <w:widowControl/>
        <w:shd w:val="clear" w:color="auto" w:fill="FFFFFF"/>
        <w:ind w:firstLine="630"/>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p>
      <w:pPr>
        <w:keepNext w:val="0"/>
        <w:keepLines w:val="0"/>
        <w:pageBreakBefore w:val="0"/>
        <w:widowControl/>
        <w:numPr>
          <w:ilvl w:val="-1"/>
          <w:numId w:val="0"/>
        </w:numPr>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lang w:eastAsia="zh-CN"/>
        </w:rPr>
        <w:t>（三）人员概况</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四川省司法厅及直属单位核定编制494人，其中行政编制455人、事业编制39人</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201</w:t>
      </w:r>
      <w:r>
        <w:rPr>
          <w:rFonts w:hint="eastAsia" w:ascii="仿宋_GB2312" w:hAnsi="Times New Roman" w:eastAsia="仿宋_GB2312" w:cs="Times New Roman"/>
          <w:bCs/>
          <w:color w:val="000000"/>
          <w:kern w:val="0"/>
          <w:sz w:val="32"/>
          <w:szCs w:val="32"/>
          <w:highlight w:val="none"/>
          <w:lang w:val="en-US" w:eastAsia="zh-CN"/>
        </w:rPr>
        <w:t>9</w:t>
      </w:r>
      <w:r>
        <w:rPr>
          <w:rFonts w:hint="eastAsia" w:ascii="仿宋_GB2312" w:hAnsi="Times New Roman" w:eastAsia="仿宋_GB2312" w:cs="Times New Roman"/>
          <w:bCs/>
          <w:color w:val="000000"/>
          <w:kern w:val="0"/>
          <w:sz w:val="32"/>
          <w:szCs w:val="32"/>
          <w:highlight w:val="none"/>
        </w:rPr>
        <w:t>年末实有在职人员</w:t>
      </w:r>
      <w:r>
        <w:rPr>
          <w:rFonts w:hint="eastAsia" w:ascii="仿宋_GB2312" w:hAnsi="Times New Roman" w:eastAsia="仿宋_GB2312" w:cs="Times New Roman"/>
          <w:bCs/>
          <w:color w:val="000000"/>
          <w:kern w:val="0"/>
          <w:sz w:val="32"/>
          <w:szCs w:val="32"/>
          <w:highlight w:val="none"/>
          <w:lang w:val="en-US" w:eastAsia="zh-CN"/>
        </w:rPr>
        <w:t>417</w:t>
      </w:r>
      <w:r>
        <w:rPr>
          <w:rFonts w:hint="eastAsia" w:ascii="仿宋_GB2312" w:hAnsi="Times New Roman" w:eastAsia="仿宋_GB2312" w:cs="Times New Roman"/>
          <w:bCs/>
          <w:color w:val="000000"/>
          <w:kern w:val="0"/>
          <w:sz w:val="32"/>
          <w:szCs w:val="32"/>
          <w:highlight w:val="none"/>
        </w:rPr>
        <w:t>人，其中行政人员</w:t>
      </w:r>
      <w:r>
        <w:rPr>
          <w:rFonts w:hint="eastAsia" w:ascii="仿宋_GB2312" w:hAnsi="Times New Roman" w:eastAsia="仿宋_GB2312" w:cs="Times New Roman"/>
          <w:bCs/>
          <w:color w:val="000000"/>
          <w:kern w:val="0"/>
          <w:sz w:val="32"/>
          <w:szCs w:val="32"/>
          <w:highlight w:val="none"/>
          <w:lang w:val="en-US" w:eastAsia="zh-CN"/>
        </w:rPr>
        <w:t>378</w:t>
      </w:r>
      <w:r>
        <w:rPr>
          <w:rFonts w:hint="eastAsia" w:ascii="仿宋_GB2312" w:hAnsi="Times New Roman" w:eastAsia="仿宋_GB2312" w:cs="Times New Roman"/>
          <w:bCs/>
          <w:color w:val="000000"/>
          <w:kern w:val="0"/>
          <w:sz w:val="32"/>
          <w:szCs w:val="32"/>
          <w:highlight w:val="none"/>
        </w:rPr>
        <w:t>人、事业人员</w:t>
      </w:r>
      <w:r>
        <w:rPr>
          <w:rFonts w:hint="eastAsia" w:ascii="仿宋_GB2312" w:hAnsi="Times New Roman" w:eastAsia="仿宋_GB2312" w:cs="Times New Roman"/>
          <w:bCs/>
          <w:color w:val="000000"/>
          <w:kern w:val="0"/>
          <w:sz w:val="32"/>
          <w:szCs w:val="32"/>
          <w:highlight w:val="none"/>
          <w:lang w:val="en-US" w:eastAsia="zh-CN"/>
        </w:rPr>
        <w:t>39</w:t>
      </w:r>
      <w:r>
        <w:rPr>
          <w:rFonts w:hint="eastAsia" w:ascii="仿宋_GB2312" w:hAnsi="Times New Roman" w:eastAsia="仿宋_GB2312" w:cs="Times New Roman"/>
          <w:bCs/>
          <w:color w:val="000000"/>
          <w:kern w:val="0"/>
          <w:sz w:val="32"/>
          <w:szCs w:val="32"/>
          <w:highlight w:val="none"/>
        </w:rPr>
        <w:t>人</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2019年末</w:t>
      </w:r>
      <w:r>
        <w:rPr>
          <w:rFonts w:hint="eastAsia" w:ascii="仿宋_GB2312" w:hAnsi="Times New Roman" w:eastAsia="仿宋_GB2312" w:cs="Times New Roman"/>
          <w:bCs/>
          <w:color w:val="000000"/>
          <w:kern w:val="0"/>
          <w:sz w:val="32"/>
          <w:szCs w:val="32"/>
          <w:highlight w:val="none"/>
          <w:lang w:eastAsia="zh-CN"/>
        </w:rPr>
        <w:t>实有</w:t>
      </w:r>
      <w:r>
        <w:rPr>
          <w:rFonts w:hint="eastAsia" w:ascii="仿宋_GB2312" w:hAnsi="Times New Roman" w:eastAsia="仿宋_GB2312" w:cs="Times New Roman"/>
          <w:bCs/>
          <w:color w:val="000000"/>
          <w:kern w:val="0"/>
          <w:sz w:val="32"/>
          <w:szCs w:val="32"/>
          <w:highlight w:val="none"/>
        </w:rPr>
        <w:t>离休人员</w:t>
      </w:r>
      <w:r>
        <w:rPr>
          <w:rFonts w:hint="eastAsia" w:ascii="仿宋_GB2312" w:hAnsi="Times New Roman" w:eastAsia="仿宋_GB2312" w:cs="Times New Roman"/>
          <w:bCs/>
          <w:color w:val="000000"/>
          <w:kern w:val="0"/>
          <w:sz w:val="32"/>
          <w:szCs w:val="32"/>
          <w:highlight w:val="none"/>
          <w:lang w:val="en-US" w:eastAsia="zh-CN"/>
        </w:rPr>
        <w:t>12</w:t>
      </w:r>
      <w:r>
        <w:rPr>
          <w:rFonts w:hint="eastAsia" w:ascii="仿宋_GB2312" w:hAnsi="Times New Roman" w:eastAsia="仿宋_GB2312" w:cs="Times New Roman"/>
          <w:bCs/>
          <w:color w:val="000000"/>
          <w:kern w:val="0"/>
          <w:sz w:val="32"/>
          <w:szCs w:val="32"/>
          <w:highlight w:val="none"/>
        </w:rPr>
        <w:t>人。</w:t>
      </w:r>
      <w:r>
        <w:rPr>
          <w:rFonts w:hint="eastAsia" w:ascii="仿宋_GB2312" w:hAnsi="Times New Roman" w:eastAsia="仿宋_GB2312" w:cs="Times New Roman"/>
          <w:bCs/>
          <w:color w:val="000000"/>
          <w:kern w:val="0"/>
          <w:sz w:val="32"/>
          <w:szCs w:val="32"/>
          <w:highlight w:val="none"/>
          <w:lang w:eastAsia="zh-CN"/>
        </w:rPr>
        <w:t>具体情况为</w:t>
      </w:r>
      <w:r>
        <w:rPr>
          <w:rFonts w:hint="eastAsia" w:ascii="仿宋_GB2312" w:hAnsi="Times New Roman" w:eastAsia="仿宋_GB2312" w:cs="Times New Roman"/>
          <w:bCs/>
          <w:color w:val="000000"/>
          <w:kern w:val="0"/>
          <w:sz w:val="32"/>
          <w:szCs w:val="32"/>
          <w:highlight w:val="none"/>
        </w:rPr>
        <w:t>：</w:t>
      </w:r>
    </w:p>
    <w:p>
      <w:pPr>
        <w:widowControl/>
        <w:shd w:val="clear" w:color="auto" w:fill="FFFFFF"/>
        <w:ind w:firstLine="630" w:firstLineChars="0"/>
        <w:rPr>
          <w:rFonts w:hint="eastAsia" w:ascii="仿宋_GB2312" w:hAnsi="Times New Roman" w:eastAsia="仿宋_GB2312" w:cs="Times New Roman"/>
          <w:b w:val="0"/>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厅机关年末实有在职人员20</w:t>
      </w:r>
      <w:r>
        <w:rPr>
          <w:rFonts w:hint="eastAsia" w:ascii="仿宋_GB2312" w:hAnsi="Times New Roman" w:eastAsia="仿宋_GB2312" w:cs="Times New Roman"/>
          <w:bCs/>
          <w:color w:val="000000"/>
          <w:kern w:val="0"/>
          <w:sz w:val="32"/>
          <w:szCs w:val="32"/>
          <w:highlight w:val="none"/>
          <w:lang w:val="en-US" w:eastAsia="zh-CN"/>
        </w:rPr>
        <w:t>3</w:t>
      </w:r>
      <w:r>
        <w:rPr>
          <w:rFonts w:hint="eastAsia" w:ascii="仿宋_GB2312" w:hAnsi="Times New Roman" w:eastAsia="仿宋_GB2312" w:cs="Times New Roman"/>
          <w:bCs/>
          <w:color w:val="000000"/>
          <w:kern w:val="0"/>
          <w:sz w:val="32"/>
          <w:szCs w:val="32"/>
          <w:highlight w:val="none"/>
        </w:rPr>
        <w:t>人，离休人员实有人数9人，共有人员21</w:t>
      </w:r>
      <w:r>
        <w:rPr>
          <w:rFonts w:hint="eastAsia" w:ascii="仿宋_GB2312" w:hAnsi="Times New Roman" w:eastAsia="仿宋_GB2312" w:cs="Times New Roman"/>
          <w:bCs/>
          <w:color w:val="000000"/>
          <w:kern w:val="0"/>
          <w:sz w:val="32"/>
          <w:szCs w:val="32"/>
          <w:highlight w:val="none"/>
          <w:lang w:val="en-US" w:eastAsia="zh-CN"/>
        </w:rPr>
        <w:t>2</w:t>
      </w:r>
      <w:r>
        <w:rPr>
          <w:rFonts w:hint="eastAsia" w:ascii="仿宋_GB2312" w:hAnsi="Times New Roman" w:eastAsia="仿宋_GB2312" w:cs="Times New Roman"/>
          <w:bCs/>
          <w:color w:val="000000"/>
          <w:kern w:val="0"/>
          <w:sz w:val="32"/>
          <w:szCs w:val="32"/>
          <w:highlight w:val="none"/>
        </w:rPr>
        <w:t>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法律援助中心年末实有在职人员17人，共有人员17人；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后勤服务中心年末实有在职人员12人，共有人员12人；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四川司法警官职业学院在职人员实有人数</w:t>
      </w:r>
      <w:r>
        <w:rPr>
          <w:rFonts w:hint="eastAsia" w:ascii="仿宋_GB2312" w:hAnsi="Times New Roman" w:eastAsia="仿宋_GB2312" w:cs="Times New Roman"/>
          <w:bCs/>
          <w:color w:val="000000"/>
          <w:kern w:val="0"/>
          <w:sz w:val="32"/>
          <w:szCs w:val="32"/>
          <w:highlight w:val="none"/>
          <w:lang w:val="en-US" w:eastAsia="zh-CN"/>
        </w:rPr>
        <w:t>185</w:t>
      </w:r>
      <w:r>
        <w:rPr>
          <w:rFonts w:hint="eastAsia" w:ascii="仿宋_GB2312" w:hAnsi="Times New Roman" w:eastAsia="仿宋_GB2312" w:cs="Times New Roman"/>
          <w:bCs/>
          <w:color w:val="000000"/>
          <w:kern w:val="0"/>
          <w:sz w:val="32"/>
          <w:szCs w:val="32"/>
          <w:highlight w:val="none"/>
        </w:rPr>
        <w:t>人， 离休人员实有人数3人，共有人员</w:t>
      </w:r>
      <w:r>
        <w:rPr>
          <w:rFonts w:hint="eastAsia" w:ascii="仿宋_GB2312" w:hAnsi="Times New Roman" w:eastAsia="仿宋_GB2312" w:cs="Times New Roman"/>
          <w:bCs/>
          <w:color w:val="000000"/>
          <w:kern w:val="0"/>
          <w:sz w:val="32"/>
          <w:szCs w:val="32"/>
          <w:highlight w:val="none"/>
          <w:lang w:val="en-US" w:eastAsia="zh-CN"/>
        </w:rPr>
        <w:t>188</w:t>
      </w:r>
      <w:r>
        <w:rPr>
          <w:rFonts w:hint="eastAsia" w:ascii="仿宋_GB2312" w:hAnsi="Times New Roman" w:eastAsia="仿宋_GB2312" w:cs="Times New Roman"/>
          <w:bCs/>
          <w:color w:val="000000"/>
          <w:kern w:val="0"/>
          <w:sz w:val="32"/>
          <w:szCs w:val="32"/>
          <w:highlight w:val="none"/>
        </w:rPr>
        <w:t>人。</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val="en-US" w:eastAsia="zh-CN"/>
        </w:rPr>
      </w:pPr>
      <w:r>
        <w:rPr>
          <w:rFonts w:hint="eastAsia" w:ascii="仿宋_GB2312" w:hAnsi="Times New Roman" w:eastAsia="仿宋_GB2312"/>
          <w:bCs/>
          <w:color w:val="000000"/>
          <w:kern w:val="0"/>
          <w:sz w:val="32"/>
          <w:szCs w:val="32"/>
          <w:highlight w:val="none"/>
        </w:rPr>
        <w:t>二、部门财政资金收支情况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按照综合预算的原则，省司法厅所有收入和支出均纳入部门预算管理。省司法厅</w:t>
      </w:r>
      <w:r>
        <w:rPr>
          <w:rFonts w:hint="eastAsia" w:ascii="仿宋_GB2312" w:eastAsia="仿宋_GB2312"/>
          <w:bCs/>
          <w:color w:val="000000"/>
          <w:kern w:val="0"/>
          <w:sz w:val="32"/>
          <w:szCs w:val="32"/>
          <w:highlight w:val="none"/>
          <w:lang w:val="en-US" w:eastAsia="zh-CN"/>
        </w:rPr>
        <w:t>2019</w:t>
      </w:r>
      <w:r>
        <w:rPr>
          <w:rFonts w:hint="eastAsia" w:ascii="仿宋_GB2312" w:eastAsia="仿宋_GB2312"/>
          <w:bCs/>
          <w:color w:val="000000"/>
          <w:kern w:val="0"/>
          <w:sz w:val="32"/>
          <w:szCs w:val="32"/>
          <w:highlight w:val="none"/>
        </w:rPr>
        <w:t>年收支总预算</w:t>
      </w:r>
      <w:r>
        <w:rPr>
          <w:rFonts w:hint="eastAsia" w:ascii="仿宋_GB2312" w:eastAsia="仿宋_GB2312"/>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万元,比201</w:t>
      </w:r>
      <w:r>
        <w:rPr>
          <w:rFonts w:hint="eastAsia" w:ascii="仿宋_GB2312" w:eastAsia="仿宋_GB2312"/>
          <w:bCs/>
          <w:color w:val="000000"/>
          <w:kern w:val="0"/>
          <w:sz w:val="32"/>
          <w:szCs w:val="32"/>
          <w:highlight w:val="none"/>
          <w:lang w:val="en-US" w:eastAsia="zh-CN"/>
        </w:rPr>
        <w:t>8</w:t>
      </w:r>
      <w:r>
        <w:rPr>
          <w:rFonts w:hint="eastAsia" w:ascii="仿宋_GB2312" w:eastAsia="仿宋_GB2312"/>
          <w:bCs/>
          <w:color w:val="000000"/>
          <w:kern w:val="0"/>
          <w:sz w:val="32"/>
          <w:szCs w:val="32"/>
          <w:highlight w:val="none"/>
        </w:rPr>
        <w:t>年收支预算总数</w:t>
      </w:r>
      <w:r>
        <w:rPr>
          <w:rFonts w:hint="eastAsia" w:ascii="仿宋_GB2312" w:eastAsia="仿宋_GB2312"/>
          <w:bCs/>
          <w:color w:val="000000"/>
          <w:kern w:val="0"/>
          <w:sz w:val="32"/>
          <w:szCs w:val="32"/>
          <w:highlight w:val="none"/>
          <w:lang w:val="en-US" w:eastAsia="zh-CN"/>
        </w:rPr>
        <w:t>19321.29万元</w:t>
      </w:r>
      <w:r>
        <w:rPr>
          <w:rFonts w:hint="eastAsia" w:ascii="仿宋_GB2312" w:eastAsia="仿宋_GB2312"/>
          <w:bCs/>
          <w:color w:val="000000"/>
          <w:kern w:val="0"/>
          <w:sz w:val="32"/>
          <w:szCs w:val="32"/>
          <w:highlight w:val="none"/>
        </w:rPr>
        <w:t>增加</w:t>
      </w:r>
      <w:r>
        <w:rPr>
          <w:rFonts w:hint="eastAsia" w:ascii="仿宋_GB2312" w:eastAsia="仿宋_GB2312"/>
          <w:bCs/>
          <w:color w:val="000000"/>
          <w:kern w:val="0"/>
          <w:sz w:val="32"/>
          <w:szCs w:val="32"/>
          <w:highlight w:val="none"/>
          <w:lang w:val="en-US" w:eastAsia="zh-CN"/>
        </w:rPr>
        <w:t>5764.67</w:t>
      </w:r>
      <w:r>
        <w:rPr>
          <w:rFonts w:hint="eastAsia" w:ascii="仿宋_GB2312" w:eastAsia="仿宋_GB2312"/>
          <w:bCs/>
          <w:color w:val="000000"/>
          <w:kern w:val="0"/>
          <w:sz w:val="32"/>
          <w:szCs w:val="32"/>
          <w:highlight w:val="none"/>
        </w:rPr>
        <w:t>万元，增加原因是</w:t>
      </w:r>
      <w:r>
        <w:rPr>
          <w:rFonts w:hint="eastAsia" w:ascii="仿宋_GB2312" w:eastAsia="仿宋_GB2312"/>
          <w:bCs/>
          <w:color w:val="000000"/>
          <w:kern w:val="0"/>
          <w:sz w:val="32"/>
          <w:szCs w:val="32"/>
          <w:highlight w:val="none"/>
          <w:lang w:val="en-US" w:eastAsia="zh-CN"/>
        </w:rPr>
        <w:t>2018年度机构改革，原四川省人民政府法制办公室与原司法厅合并组成新司法厅，新增职能业务</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lang w:eastAsia="zh-CN"/>
        </w:rPr>
        <w:t>其中</w:t>
      </w:r>
      <w:r>
        <w:rPr>
          <w:rFonts w:hint="eastAsia" w:ascii="仿宋_GB2312" w:eastAsia="仿宋_GB2312"/>
          <w:bCs/>
          <w:color w:val="000000"/>
          <w:kern w:val="0"/>
          <w:sz w:val="32"/>
          <w:szCs w:val="32"/>
          <w:highlight w:val="none"/>
        </w:rPr>
        <w:t>收入包括：一般公共预算拨款收入</w:t>
      </w:r>
      <w:r>
        <w:rPr>
          <w:rFonts w:hint="eastAsia" w:ascii="仿宋_GB2312" w:hAnsi="Times New Roman" w:eastAsia="仿宋_GB2312" w:cs="Times New Roman"/>
          <w:bCs/>
          <w:color w:val="000000"/>
          <w:kern w:val="0"/>
          <w:sz w:val="32"/>
          <w:szCs w:val="32"/>
          <w:highlight w:val="none"/>
          <w:lang w:val="en-US" w:eastAsia="zh-CN"/>
        </w:rPr>
        <w:t>208</w:t>
      </w:r>
      <w:r>
        <w:rPr>
          <w:rFonts w:hint="eastAsia" w:ascii="仿宋_GB2312" w:eastAsia="仿宋_GB2312"/>
          <w:bCs/>
          <w:color w:val="000000"/>
          <w:kern w:val="0"/>
          <w:sz w:val="32"/>
          <w:szCs w:val="32"/>
          <w:highlight w:val="none"/>
          <w:lang w:val="en-US" w:eastAsia="zh-CN"/>
        </w:rPr>
        <w:t>23.47</w:t>
      </w:r>
      <w:r>
        <w:rPr>
          <w:rFonts w:hint="eastAsia" w:ascii="仿宋_GB2312" w:eastAsia="仿宋_GB2312"/>
          <w:bCs/>
          <w:color w:val="000000"/>
          <w:kern w:val="0"/>
          <w:sz w:val="32"/>
          <w:szCs w:val="32"/>
          <w:highlight w:val="none"/>
        </w:rPr>
        <w:t>万元、其他收入</w:t>
      </w:r>
      <w:r>
        <w:rPr>
          <w:rFonts w:hint="eastAsia" w:ascii="仿宋_GB2312" w:eastAsia="仿宋_GB2312"/>
          <w:bCs/>
          <w:color w:val="000000"/>
          <w:kern w:val="0"/>
          <w:sz w:val="32"/>
          <w:szCs w:val="32"/>
          <w:highlight w:val="none"/>
          <w:lang w:val="en-US" w:eastAsia="zh-CN"/>
        </w:rPr>
        <w:t>3720.00</w:t>
      </w:r>
      <w:r>
        <w:rPr>
          <w:rFonts w:hint="eastAsia" w:ascii="仿宋_GB2312" w:eastAsia="仿宋_GB2312"/>
          <w:bCs/>
          <w:color w:val="000000"/>
          <w:kern w:val="0"/>
          <w:sz w:val="32"/>
          <w:szCs w:val="32"/>
          <w:highlight w:val="none"/>
        </w:rPr>
        <w:t>万元、上年结转</w:t>
      </w:r>
      <w:r>
        <w:rPr>
          <w:rFonts w:hint="eastAsia" w:ascii="仿宋_GB2312" w:eastAsia="仿宋_GB2312"/>
          <w:bCs/>
          <w:color w:val="000000"/>
          <w:kern w:val="0"/>
          <w:sz w:val="32"/>
          <w:szCs w:val="32"/>
          <w:highlight w:val="none"/>
          <w:lang w:val="en-US" w:eastAsia="zh-CN"/>
        </w:rPr>
        <w:t>542.49</w:t>
      </w:r>
      <w:r>
        <w:rPr>
          <w:rFonts w:hint="eastAsia" w:ascii="仿宋_GB2312" w:eastAsia="仿宋_GB2312"/>
          <w:bCs/>
          <w:color w:val="000000"/>
          <w:kern w:val="0"/>
          <w:sz w:val="32"/>
          <w:szCs w:val="32"/>
          <w:highlight w:val="none"/>
        </w:rPr>
        <w:t>万元；支出包括：</w:t>
      </w:r>
      <w:r>
        <w:rPr>
          <w:rFonts w:hint="eastAsia" w:ascii="仿宋_GB2312" w:eastAsia="仿宋_GB2312"/>
          <w:bCs/>
          <w:color w:val="000000"/>
          <w:kern w:val="0"/>
          <w:sz w:val="32"/>
          <w:szCs w:val="32"/>
          <w:highlight w:val="none"/>
          <w:lang w:eastAsia="zh-CN"/>
        </w:rPr>
        <w:t>一般公共服务支出</w:t>
      </w:r>
      <w:r>
        <w:rPr>
          <w:rFonts w:hint="eastAsia" w:ascii="仿宋_GB2312" w:eastAsia="仿宋_GB2312"/>
          <w:bCs/>
          <w:color w:val="000000"/>
          <w:kern w:val="0"/>
          <w:sz w:val="32"/>
          <w:szCs w:val="32"/>
          <w:highlight w:val="none"/>
          <w:lang w:val="en-US" w:eastAsia="zh-CN"/>
        </w:rPr>
        <w:t>28.60万元、</w:t>
      </w:r>
      <w:r>
        <w:rPr>
          <w:rFonts w:hint="eastAsia" w:ascii="仿宋_GB2312" w:eastAsia="仿宋_GB2312"/>
          <w:bCs/>
          <w:color w:val="000000"/>
          <w:kern w:val="0"/>
          <w:sz w:val="32"/>
          <w:szCs w:val="32"/>
          <w:highlight w:val="none"/>
        </w:rPr>
        <w:t>公共安全支出</w:t>
      </w:r>
      <w:r>
        <w:rPr>
          <w:rFonts w:hint="eastAsia" w:ascii="仿宋_GB2312" w:eastAsia="仿宋_GB2312"/>
          <w:bCs/>
          <w:color w:val="000000"/>
          <w:kern w:val="0"/>
          <w:sz w:val="32"/>
          <w:szCs w:val="32"/>
          <w:highlight w:val="none"/>
          <w:lang w:val="en-US" w:eastAsia="zh-CN"/>
        </w:rPr>
        <w:t>12641.47</w:t>
      </w:r>
      <w:r>
        <w:rPr>
          <w:rFonts w:hint="eastAsia" w:ascii="仿宋_GB2312" w:eastAsia="仿宋_GB2312"/>
          <w:bCs/>
          <w:color w:val="000000"/>
          <w:kern w:val="0"/>
          <w:sz w:val="32"/>
          <w:szCs w:val="32"/>
          <w:highlight w:val="none"/>
        </w:rPr>
        <w:t>万元、教育支出</w:t>
      </w:r>
      <w:r>
        <w:rPr>
          <w:rFonts w:hint="eastAsia" w:ascii="仿宋_GB2312" w:eastAsia="仿宋_GB2312"/>
          <w:bCs/>
          <w:color w:val="000000"/>
          <w:kern w:val="0"/>
          <w:sz w:val="32"/>
          <w:szCs w:val="32"/>
          <w:highlight w:val="none"/>
          <w:lang w:val="en-US" w:eastAsia="zh-CN"/>
        </w:rPr>
        <w:t>10118.77</w:t>
      </w:r>
      <w:r>
        <w:rPr>
          <w:rFonts w:hint="eastAsia" w:ascii="仿宋_GB2312" w:eastAsia="仿宋_GB2312"/>
          <w:bCs/>
          <w:color w:val="000000"/>
          <w:kern w:val="0"/>
          <w:sz w:val="32"/>
          <w:szCs w:val="32"/>
          <w:highlight w:val="none"/>
        </w:rPr>
        <w:t>万元、社会保障和就业支出</w:t>
      </w:r>
      <w:r>
        <w:rPr>
          <w:rFonts w:hint="eastAsia" w:ascii="仿宋_GB2312" w:eastAsia="仿宋_GB2312"/>
          <w:bCs/>
          <w:color w:val="000000"/>
          <w:kern w:val="0"/>
          <w:sz w:val="32"/>
          <w:szCs w:val="32"/>
          <w:highlight w:val="none"/>
          <w:lang w:val="en-US" w:eastAsia="zh-CN"/>
        </w:rPr>
        <w:t>1394.07</w:t>
      </w:r>
      <w:r>
        <w:rPr>
          <w:rFonts w:hint="eastAsia" w:ascii="仿宋_GB2312" w:eastAsia="仿宋_GB2312"/>
          <w:bCs/>
          <w:color w:val="000000"/>
          <w:kern w:val="0"/>
          <w:sz w:val="32"/>
          <w:szCs w:val="32"/>
          <w:highlight w:val="none"/>
        </w:rPr>
        <w:t>万元、医疗卫生与计划生育支出</w:t>
      </w:r>
      <w:r>
        <w:rPr>
          <w:rFonts w:hint="eastAsia" w:ascii="仿宋_GB2312" w:eastAsia="仿宋_GB2312"/>
          <w:bCs/>
          <w:color w:val="000000"/>
          <w:kern w:val="0"/>
          <w:sz w:val="32"/>
          <w:szCs w:val="32"/>
          <w:highlight w:val="none"/>
          <w:lang w:val="en-US" w:eastAsia="zh-CN"/>
        </w:rPr>
        <w:t>338.87</w:t>
      </w:r>
      <w:r>
        <w:rPr>
          <w:rFonts w:hint="eastAsia" w:ascii="仿宋_GB2312" w:eastAsia="仿宋_GB2312"/>
          <w:bCs/>
          <w:color w:val="000000"/>
          <w:kern w:val="0"/>
          <w:sz w:val="32"/>
          <w:szCs w:val="32"/>
          <w:highlight w:val="none"/>
        </w:rPr>
        <w:t>万元、住房保障支出</w:t>
      </w:r>
      <w:r>
        <w:rPr>
          <w:rFonts w:hint="eastAsia" w:ascii="仿宋_GB2312" w:eastAsia="仿宋_GB2312"/>
          <w:bCs/>
          <w:color w:val="000000"/>
          <w:kern w:val="0"/>
          <w:sz w:val="32"/>
          <w:szCs w:val="32"/>
          <w:highlight w:val="none"/>
          <w:lang w:val="en-US" w:eastAsia="zh-CN"/>
        </w:rPr>
        <w:t>556.18</w:t>
      </w:r>
      <w:r>
        <w:rPr>
          <w:rFonts w:hint="eastAsia" w:ascii="仿宋_GB2312" w:eastAsia="仿宋_GB2312"/>
          <w:bCs/>
          <w:color w:val="000000"/>
          <w:kern w:val="0"/>
          <w:sz w:val="32"/>
          <w:szCs w:val="32"/>
          <w:highlight w:val="none"/>
        </w:rPr>
        <w:t>万元</w:t>
      </w:r>
      <w:r>
        <w:rPr>
          <w:rFonts w:hint="eastAsia" w:ascii="仿宋_GB2312" w:eastAsia="仿宋_GB2312"/>
          <w:bCs/>
          <w:color w:val="000000"/>
          <w:kern w:val="0"/>
          <w:sz w:val="32"/>
          <w:szCs w:val="32"/>
          <w:highlight w:val="none"/>
          <w:lang w:eastAsia="zh-CN"/>
        </w:rPr>
        <w:t>、灾害防治及应急管理支出</w:t>
      </w:r>
      <w:r>
        <w:rPr>
          <w:rFonts w:hint="eastAsia" w:ascii="仿宋_GB2312" w:eastAsia="仿宋_GB2312"/>
          <w:bCs/>
          <w:color w:val="000000"/>
          <w:kern w:val="0"/>
          <w:sz w:val="32"/>
          <w:szCs w:val="32"/>
          <w:highlight w:val="none"/>
          <w:lang w:val="en-US" w:eastAsia="zh-CN"/>
        </w:rPr>
        <w:t>8万元</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（一）部门财政资金收入情况。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省司法厅2018年收入预算</w:t>
      </w:r>
      <w:r>
        <w:rPr>
          <w:rFonts w:hint="eastAsia" w:ascii="仿宋_GB2312" w:hAnsi="Times New Roman" w:eastAsia="仿宋_GB2312" w:cs="Times New Roman"/>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万元，其中：上年结转</w:t>
      </w:r>
      <w:r>
        <w:rPr>
          <w:rFonts w:hint="eastAsia" w:ascii="仿宋_GB2312" w:hAnsi="Times New Roman" w:eastAsia="仿宋_GB2312" w:cs="Times New Roman"/>
          <w:bCs/>
          <w:color w:val="000000"/>
          <w:kern w:val="0"/>
          <w:sz w:val="32"/>
          <w:szCs w:val="32"/>
          <w:highlight w:val="none"/>
          <w:lang w:val="en-US" w:eastAsia="zh-CN"/>
        </w:rPr>
        <w:t>542.49</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2.16</w:t>
      </w:r>
      <w:r>
        <w:rPr>
          <w:rFonts w:hint="eastAsia" w:ascii="仿宋_GB2312" w:eastAsia="仿宋_GB2312"/>
          <w:bCs/>
          <w:color w:val="000000"/>
          <w:kern w:val="0"/>
          <w:sz w:val="32"/>
          <w:szCs w:val="32"/>
          <w:highlight w:val="none"/>
        </w:rPr>
        <w:t>%；一般公共预算拨款收入</w:t>
      </w:r>
      <w:r>
        <w:rPr>
          <w:rFonts w:hint="eastAsia" w:ascii="仿宋_GB2312" w:hAnsi="Times New Roman" w:eastAsia="仿宋_GB2312" w:cs="Times New Roman"/>
          <w:bCs/>
          <w:color w:val="000000"/>
          <w:kern w:val="0"/>
          <w:sz w:val="32"/>
          <w:szCs w:val="32"/>
          <w:highlight w:val="none"/>
          <w:lang w:val="en-US" w:eastAsia="zh-CN"/>
        </w:rPr>
        <w:t>20823.47</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83.01</w:t>
      </w:r>
      <w:r>
        <w:rPr>
          <w:rFonts w:hint="eastAsia" w:ascii="仿宋_GB2312" w:eastAsia="仿宋_GB2312"/>
          <w:bCs/>
          <w:color w:val="000000"/>
          <w:kern w:val="0"/>
          <w:sz w:val="32"/>
          <w:szCs w:val="32"/>
          <w:highlight w:val="none"/>
        </w:rPr>
        <w:t>%；其他收入</w:t>
      </w:r>
      <w:r>
        <w:rPr>
          <w:rFonts w:hint="eastAsia" w:ascii="仿宋_GB2312" w:hAnsi="Times New Roman" w:eastAsia="仿宋_GB2312" w:cs="Times New Roman"/>
          <w:bCs/>
          <w:color w:val="000000"/>
          <w:kern w:val="0"/>
          <w:sz w:val="32"/>
          <w:szCs w:val="32"/>
          <w:highlight w:val="none"/>
          <w:lang w:val="en-US" w:eastAsia="zh-CN"/>
        </w:rPr>
        <w:t>3720.00</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14.83</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（二）部门财政资金支出情况。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省司法厅2018年支出预算</w:t>
      </w:r>
      <w:r>
        <w:rPr>
          <w:rFonts w:hint="eastAsia" w:ascii="仿宋_GB2312" w:hAnsi="Times New Roman" w:eastAsia="仿宋_GB2312" w:cs="Times New Roman"/>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w:t>
      </w:r>
      <w:r>
        <w:rPr>
          <w:rFonts w:hint="eastAsia" w:ascii="仿宋_GB2312" w:hAnsi="Times New Roman" w:eastAsia="仿宋_GB2312" w:cs="Times New Roman"/>
          <w:bCs/>
          <w:color w:val="000000"/>
          <w:kern w:val="0"/>
          <w:sz w:val="32"/>
          <w:szCs w:val="32"/>
          <w:highlight w:val="none"/>
        </w:rPr>
        <w:t>其中基本支出</w:t>
      </w:r>
      <w:r>
        <w:rPr>
          <w:rFonts w:hint="eastAsia" w:ascii="仿宋_GB2312" w:hAnsi="Times New Roman" w:eastAsia="仿宋_GB2312" w:cs="Times New Roman"/>
          <w:bCs/>
          <w:color w:val="000000"/>
          <w:kern w:val="0"/>
          <w:sz w:val="32"/>
          <w:szCs w:val="32"/>
          <w:highlight w:val="none"/>
          <w:lang w:val="en-US" w:eastAsia="zh-CN"/>
        </w:rPr>
        <w:t>13818.3</w:t>
      </w:r>
      <w:r>
        <w:rPr>
          <w:rFonts w:hint="eastAsia" w:ascii="仿宋_GB2312" w:hAnsi="Times New Roman" w:eastAsia="仿宋_GB2312" w:cs="Times New Roman"/>
          <w:bCs/>
          <w:color w:val="000000"/>
          <w:kern w:val="0"/>
          <w:sz w:val="32"/>
          <w:szCs w:val="32"/>
          <w:highlight w:val="none"/>
        </w:rPr>
        <w:t>万元，</w:t>
      </w:r>
      <w:r>
        <w:rPr>
          <w:rFonts w:hint="eastAsia" w:ascii="仿宋_GB2312" w:hAnsi="Times New Roman" w:eastAsia="仿宋_GB2312" w:cs="Times New Roman"/>
          <w:bCs/>
          <w:color w:val="000000"/>
          <w:kern w:val="0"/>
          <w:sz w:val="32"/>
          <w:szCs w:val="32"/>
          <w:highlight w:val="none"/>
          <w:lang w:eastAsia="zh-CN"/>
        </w:rPr>
        <w:t>占</w:t>
      </w:r>
      <w:r>
        <w:rPr>
          <w:rFonts w:hint="eastAsia" w:ascii="仿宋_GB2312" w:hAnsi="Times New Roman" w:eastAsia="仿宋_GB2312" w:cs="Times New Roman"/>
          <w:bCs/>
          <w:color w:val="000000"/>
          <w:kern w:val="0"/>
          <w:sz w:val="32"/>
          <w:szCs w:val="32"/>
          <w:highlight w:val="none"/>
          <w:lang w:val="en-US" w:eastAsia="zh-CN"/>
        </w:rPr>
        <w:t>55.08%；</w:t>
      </w:r>
      <w:r>
        <w:rPr>
          <w:rFonts w:hint="eastAsia" w:ascii="仿宋_GB2312" w:hAnsi="Times New Roman" w:eastAsia="仿宋_GB2312" w:cs="Times New Roman"/>
          <w:bCs/>
          <w:color w:val="000000"/>
          <w:kern w:val="0"/>
          <w:sz w:val="32"/>
          <w:szCs w:val="32"/>
          <w:highlight w:val="none"/>
        </w:rPr>
        <w:t>项目支出</w:t>
      </w:r>
      <w:r>
        <w:rPr>
          <w:rFonts w:hint="eastAsia" w:ascii="仿宋_GB2312" w:hAnsi="Times New Roman" w:eastAsia="仿宋_GB2312" w:cs="Times New Roman"/>
          <w:bCs/>
          <w:color w:val="000000"/>
          <w:kern w:val="0"/>
          <w:sz w:val="32"/>
          <w:szCs w:val="32"/>
          <w:highlight w:val="none"/>
          <w:lang w:val="en-US" w:eastAsia="zh-CN"/>
        </w:rPr>
        <w:t>11267.66</w:t>
      </w:r>
      <w:r>
        <w:rPr>
          <w:rFonts w:hint="eastAsia" w:ascii="仿宋_GB2312" w:hAnsi="Times New Roman" w:eastAsia="仿宋_GB2312" w:cs="Times New Roman"/>
          <w:bCs/>
          <w:color w:val="000000"/>
          <w:kern w:val="0"/>
          <w:sz w:val="32"/>
          <w:szCs w:val="32"/>
          <w:highlight w:val="none"/>
        </w:rPr>
        <w:t>万元</w:t>
      </w:r>
      <w:r>
        <w:rPr>
          <w:rFonts w:hint="eastAsia" w:ascii="仿宋_GB2312" w:eastAsia="仿宋_GB2312"/>
          <w:bCs/>
          <w:color w:val="000000"/>
          <w:kern w:val="0"/>
          <w:sz w:val="32"/>
          <w:szCs w:val="32"/>
          <w:highlight w:val="none"/>
        </w:rPr>
        <w:t>占</w:t>
      </w:r>
      <w:r>
        <w:rPr>
          <w:rFonts w:hint="eastAsia" w:ascii="仿宋_GB2312" w:eastAsia="仿宋_GB2312"/>
          <w:bCs/>
          <w:color w:val="000000"/>
          <w:kern w:val="0"/>
          <w:sz w:val="32"/>
          <w:szCs w:val="32"/>
          <w:highlight w:val="none"/>
          <w:lang w:val="en-US" w:eastAsia="zh-CN"/>
        </w:rPr>
        <w:t>44.92</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hAnsi="Times New Roman" w:eastAsia="仿宋_GB2312"/>
          <w:bCs/>
          <w:color w:val="000000"/>
          <w:kern w:val="0"/>
          <w:sz w:val="32"/>
          <w:szCs w:val="32"/>
          <w:highlight w:val="none"/>
        </w:rPr>
        <w:t>三、部门</w:t>
      </w:r>
      <w:r>
        <w:rPr>
          <w:rFonts w:hint="eastAsia" w:ascii="仿宋_GB2312" w:hAnsi="Times New Roman" w:eastAsia="仿宋_GB2312"/>
          <w:bCs/>
          <w:color w:val="000000"/>
          <w:kern w:val="0"/>
          <w:sz w:val="32"/>
          <w:szCs w:val="32"/>
          <w:highlight w:val="none"/>
          <w:lang w:eastAsia="zh-CN"/>
        </w:rPr>
        <w:t>整体预算绩效管理情况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rPr>
        <w:t>（一）部门</w:t>
      </w:r>
      <w:r>
        <w:rPr>
          <w:rFonts w:hint="eastAsia" w:ascii="仿宋_GB2312" w:eastAsia="仿宋_GB2312"/>
          <w:bCs/>
          <w:color w:val="000000"/>
          <w:kern w:val="0"/>
          <w:sz w:val="32"/>
          <w:szCs w:val="32"/>
          <w:highlight w:val="none"/>
          <w:lang w:eastAsia="zh-CN"/>
        </w:rPr>
        <w:t>预算管理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jc w:val="left"/>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bCs/>
          <w:color w:val="000000" w:themeColor="text1"/>
          <w:kern w:val="0"/>
          <w:sz w:val="32"/>
          <w:szCs w:val="32"/>
          <w:highlight w:val="none"/>
          <w14:textFill>
            <w14:solidFill>
              <w14:schemeClr w14:val="tx1"/>
            </w14:solidFill>
          </w14:textFill>
        </w:rPr>
        <w:t>我厅</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在</w:t>
      </w:r>
      <w:r>
        <w:rPr>
          <w:rFonts w:hint="eastAsia" w:ascii="仿宋_GB2312" w:hAnsi="Times New Roman" w:eastAsia="仿宋_GB2312"/>
          <w:bCs/>
          <w:color w:val="000000" w:themeColor="text1"/>
          <w:kern w:val="0"/>
          <w:sz w:val="32"/>
          <w:szCs w:val="32"/>
          <w:highlight w:val="none"/>
          <w:lang w:val="en-US" w:eastAsia="zh-CN"/>
          <w14:textFill>
            <w14:solidFill>
              <w14:schemeClr w14:val="tx1"/>
            </w14:solidFill>
          </w14:textFill>
        </w:rPr>
        <w:t>2019年</w:t>
      </w:r>
      <w:r>
        <w:rPr>
          <w:rFonts w:hint="eastAsia" w:ascii="仿宋_GB2312" w:hAnsi="Times New Roman" w:eastAsia="仿宋_GB2312"/>
          <w:bCs/>
          <w:color w:val="000000" w:themeColor="text1"/>
          <w:kern w:val="0"/>
          <w:sz w:val="32"/>
          <w:szCs w:val="32"/>
          <w:highlight w:val="none"/>
          <w14:textFill>
            <w14:solidFill>
              <w14:schemeClr w14:val="tx1"/>
            </w14:solidFill>
          </w14:textFill>
        </w:rPr>
        <w:t>部门预算编制工作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中</w:t>
      </w:r>
      <w:r>
        <w:rPr>
          <w:rFonts w:hint="eastAsia" w:ascii="仿宋_GB2312" w:hAnsi="Times New Roman" w:eastAsia="仿宋_GB2312"/>
          <w:bCs/>
          <w:color w:val="000000" w:themeColor="text1"/>
          <w:kern w:val="0"/>
          <w:sz w:val="32"/>
          <w:szCs w:val="32"/>
          <w:highlight w:val="none"/>
          <w14:textFill>
            <w14:solidFill>
              <w14:schemeClr w14:val="tx1"/>
            </w14:solidFill>
          </w14:textFill>
        </w:rPr>
        <w:t>，绩效目标指向明确，符合国民经济</w:t>
      </w:r>
      <w:r>
        <w:rPr>
          <w:rFonts w:hint="eastAsia" w:ascii="仿宋_GB2312" w:hAnsi="Times New Roman" w:eastAsia="仿宋_GB2312"/>
          <w:bCs/>
          <w:color w:val="000000" w:themeColor="text1"/>
          <w:spacing w:val="0"/>
          <w:kern w:val="0"/>
          <w:sz w:val="32"/>
          <w:szCs w:val="32"/>
          <w:highlight w:val="none"/>
          <w14:textFill>
            <w14:solidFill>
              <w14:schemeClr w14:val="tx1"/>
            </w14:solidFill>
          </w14:textFill>
        </w:rPr>
        <w:t>和社会发展规划、结合部门职能及事业发展规划等,特别在数量、质量、成本、时效、效益等方面进行了具体量化。</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pPr>
      <w:r>
        <w:rPr>
          <w:rFonts w:hint="eastAsia" w:ascii="仿宋_GB2312" w:hAnsi="Times New Roman" w:eastAsia="仿宋_GB2312"/>
          <w:bCs/>
          <w:color w:val="000000" w:themeColor="text1"/>
          <w:kern w:val="0"/>
          <w:sz w:val="32"/>
          <w:szCs w:val="32"/>
          <w:highlight w:val="none"/>
          <w14:textFill>
            <w14:solidFill>
              <w14:schemeClr w14:val="tx1"/>
            </w14:solidFill>
          </w14:textFill>
        </w:rPr>
        <w:t>我厅现由专人负责预算绩效管理，并在《四川省司法厅机关经费</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支出</w:t>
      </w:r>
      <w:r>
        <w:rPr>
          <w:rFonts w:hint="eastAsia" w:ascii="仿宋_GB2312" w:hAnsi="Times New Roman" w:eastAsia="仿宋_GB2312"/>
          <w:bCs/>
          <w:color w:val="000000" w:themeColor="text1"/>
          <w:kern w:val="0"/>
          <w:sz w:val="32"/>
          <w:szCs w:val="32"/>
          <w:highlight w:val="none"/>
          <w14:textFill>
            <w14:solidFill>
              <w14:schemeClr w14:val="tx1"/>
            </w14:solidFill>
          </w14:textFill>
        </w:rPr>
        <w:t>管理办法》中提出预算绩效管理要求，</w:t>
      </w:r>
      <w:r>
        <w:rPr>
          <w:rFonts w:hint="eastAsia" w:ascii="仿宋_GB2312" w:hAnsi="Times New Roman" w:eastAsia="仿宋_GB2312" w:cs="Times New Roman"/>
          <w:bCs/>
          <w:color w:val="000000"/>
          <w:kern w:val="0"/>
          <w:sz w:val="32"/>
          <w:szCs w:val="32"/>
          <w:highlight w:val="none"/>
        </w:rPr>
        <w:t>建立“预算编制有目标、预算执行有监控、预算完成有评价、评价结果有反馈、反馈结果有应用”的全过程预算绩效管理机制。</w:t>
      </w:r>
      <w:r>
        <w:rPr>
          <w:rFonts w:hint="eastAsia" w:ascii="仿宋_GB2312" w:hAnsi="Times New Roman" w:eastAsia="仿宋_GB2312" w:cs="Times New Roman"/>
          <w:bCs/>
          <w:color w:val="000000"/>
          <w:kern w:val="0"/>
          <w:sz w:val="32"/>
          <w:szCs w:val="32"/>
          <w:highlight w:val="none"/>
          <w:lang w:eastAsia="zh-CN"/>
        </w:rPr>
        <w:t>同步印发了《四川省司法厅项目管理办法》、《四川省司法厅法律援助专项经费使用管理办法》等，</w:t>
      </w:r>
      <w:r>
        <w:rPr>
          <w:rFonts w:hint="eastAsia" w:ascii="仿宋_GB2312" w:hAnsi="Times New Roman" w:eastAsia="仿宋_GB2312"/>
          <w:bCs/>
          <w:color w:val="000000" w:themeColor="text1"/>
          <w:kern w:val="0"/>
          <w:sz w:val="32"/>
          <w:szCs w:val="32"/>
          <w:highlight w:val="none"/>
          <w14:textFill>
            <w14:solidFill>
              <w14:schemeClr w14:val="tx1"/>
            </w14:solidFill>
          </w14:textFill>
        </w:rPr>
        <w:t>进一步推进绩效管理制度建设</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lang w:eastAsia="zh-CN"/>
        </w:rPr>
        <w:t>结果应用情况</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pP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根据绩效管理相关规定，</w:t>
      </w:r>
      <w:r>
        <w:rPr>
          <w:rFonts w:hint="eastAsia" w:ascii="仿宋_GB2312" w:hAnsi="Times New Roman" w:eastAsia="仿宋_GB2312"/>
          <w:bCs/>
          <w:color w:val="000000" w:themeColor="text1"/>
          <w:kern w:val="0"/>
          <w:sz w:val="32"/>
          <w:szCs w:val="32"/>
          <w:highlight w:val="none"/>
          <w14:textFill>
            <w14:solidFill>
              <w14:schemeClr w14:val="tx1"/>
            </w14:solidFill>
          </w14:textFill>
        </w:rPr>
        <w:t>开展预算执行动态监控、中期评估、绩效跟踪监控管理工作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。建设三年滚动规划项目库，重点细化项目绩效指标值，并对处室项目执行情况与绩效完成情况进行考评，</w:t>
      </w:r>
      <w:r>
        <w:rPr>
          <w:rFonts w:hint="eastAsia" w:ascii="仿宋_GB2312" w:hAnsi="Times New Roman" w:eastAsia="仿宋_GB2312"/>
          <w:bCs/>
          <w:color w:val="000000" w:themeColor="text1"/>
          <w:kern w:val="0"/>
          <w:sz w:val="32"/>
          <w:szCs w:val="32"/>
          <w:highlight w:val="none"/>
          <w14:textFill>
            <w14:solidFill>
              <w14:schemeClr w14:val="tx1"/>
            </w14:solidFill>
          </w14:textFill>
        </w:rPr>
        <w:t>把绩效评价结果作为对各业务处室下年度安排预算的重要依据</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color="auto" w:fill="FFFFFF"/>
        <w:wordWrap/>
        <w:topLinePunct w:val="0"/>
        <w:bidi w:val="0"/>
        <w:spacing w:line="240" w:lineRule="auto"/>
        <w:ind w:left="0" w:leftChars="0" w:firstLine="630"/>
        <w:textAlignment w:val="auto"/>
        <w:rPr>
          <w:rFonts w:hint="eastAsia" w:ascii="仿宋_GB2312" w:hAnsi="Times New Roman" w:eastAsia="仿宋_GB2312"/>
          <w:bCs/>
          <w:color w:val="000000"/>
          <w:kern w:val="0"/>
          <w:sz w:val="32"/>
          <w:szCs w:val="32"/>
          <w:highlight w:val="none"/>
        </w:rPr>
      </w:pPr>
      <w:r>
        <w:rPr>
          <w:rFonts w:hint="eastAsia" w:ascii="仿宋_GB2312" w:hAnsi="Times New Roman" w:eastAsia="仿宋_GB2312"/>
          <w:bCs/>
          <w:color w:val="000000"/>
          <w:kern w:val="0"/>
          <w:sz w:val="32"/>
          <w:szCs w:val="32"/>
          <w:highlight w:val="none"/>
          <w:lang w:eastAsia="zh-CN"/>
        </w:rPr>
        <w:t>四、</w:t>
      </w:r>
      <w:r>
        <w:rPr>
          <w:rFonts w:hint="eastAsia" w:ascii="仿宋_GB2312" w:hAnsi="Times New Roman" w:eastAsia="仿宋_GB2312"/>
          <w:bCs/>
          <w:color w:val="000000"/>
          <w:kern w:val="0"/>
          <w:sz w:val="32"/>
          <w:szCs w:val="32"/>
          <w:highlight w:val="none"/>
        </w:rPr>
        <w:t>评价结论及建议</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（一）评价结论。</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en-US" w:eastAsia="zh-CN"/>
        </w:rPr>
      </w:pPr>
      <w:r>
        <w:rPr>
          <w:rFonts w:hint="eastAsia" w:ascii="仿宋_GB2312" w:hAnsi="Times New Roman" w:eastAsia="仿宋_GB2312" w:cs="Times New Roman"/>
          <w:bCs/>
          <w:color w:val="000000"/>
          <w:kern w:val="0"/>
          <w:sz w:val="32"/>
          <w:szCs w:val="32"/>
          <w:highlight w:val="none"/>
          <w:shd w:val="clear" w:color="auto" w:fill="auto"/>
          <w:lang w:val="en-US" w:eastAsia="zh-CN"/>
        </w:rPr>
        <w:t>2019年部门支出绩效自评总分90分，我厅得分85.1分，主要扣分原因：</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一是</w:t>
      </w:r>
      <w:r>
        <w:rPr>
          <w:rFonts w:hint="eastAsia" w:ascii="仿宋_GB2312" w:hAnsi="Times New Roman" w:eastAsia="仿宋_GB2312" w:cs="Times New Roman"/>
          <w:bCs/>
          <w:color w:val="000000"/>
          <w:kern w:val="0"/>
          <w:sz w:val="32"/>
          <w:szCs w:val="32"/>
          <w:highlight w:val="none"/>
          <w:shd w:val="clear" w:color="auto" w:fill="auto"/>
          <w:lang w:val="en-US" w:eastAsia="zh-CN"/>
        </w:rPr>
        <w:t>“预算执行进度”扣分1.7分，其中2019年6月执行进度33.6%，扣分0.5分，9月执行进度55.97%，扣分0.7分，11月执行进度69%，扣分0.5分，</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二是</w:t>
      </w:r>
      <w:r>
        <w:rPr>
          <w:rFonts w:hint="eastAsia" w:ascii="仿宋_GB2312" w:hAnsi="Times New Roman" w:eastAsia="仿宋_GB2312" w:cs="Times New Roman"/>
          <w:bCs/>
          <w:color w:val="000000"/>
          <w:kern w:val="0"/>
          <w:sz w:val="32"/>
          <w:szCs w:val="32"/>
          <w:highlight w:val="none"/>
          <w:shd w:val="clear" w:color="auto" w:fill="auto"/>
          <w:lang w:val="en-US" w:eastAsia="zh-CN"/>
        </w:rPr>
        <w:t>“预算完成”扣分1.2分，原因是2019年12月执行进度88%，未达到100%，扣分1.2分；</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三是</w:t>
      </w:r>
      <w:r>
        <w:rPr>
          <w:rFonts w:hint="eastAsia" w:ascii="仿宋_GB2312" w:hAnsi="Times New Roman" w:eastAsia="仿宋_GB2312" w:cs="Times New Roman"/>
          <w:bCs/>
          <w:color w:val="000000"/>
          <w:kern w:val="0"/>
          <w:sz w:val="32"/>
          <w:szCs w:val="32"/>
          <w:highlight w:val="none"/>
          <w:shd w:val="clear" w:color="auto" w:fill="auto"/>
          <w:lang w:val="en-US" w:eastAsia="zh-CN"/>
        </w:rPr>
        <w:t>“</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预算编制</w:t>
      </w:r>
      <w:r>
        <w:rPr>
          <w:rFonts w:hint="eastAsia" w:ascii="仿宋_GB2312" w:hAnsi="Times New Roman" w:eastAsia="仿宋_GB2312" w:cs="Times New Roman"/>
          <w:bCs/>
          <w:color w:val="000000"/>
          <w:kern w:val="0"/>
          <w:sz w:val="32"/>
          <w:szCs w:val="32"/>
          <w:highlight w:val="none"/>
          <w:shd w:val="clear" w:color="auto" w:fill="auto"/>
          <w:lang w:val="en-US" w:eastAsia="zh-CN"/>
        </w:rPr>
        <w:t>目标实现中”扣分2分，原因是部分项目执行未完成，造成绩效目标未实现。</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（二）存在问题。</w:t>
      </w:r>
    </w:p>
    <w:p>
      <w:pPr>
        <w:widowControl/>
        <w:shd w:val="clear" w:color="auto" w:fill="FFFFFF"/>
        <w:spacing w:line="240" w:lineRule="auto"/>
        <w:ind w:firstLine="630" w:firstLineChars="0"/>
        <w:rPr>
          <w:rFonts w:hint="eastAsia" w:ascii="仿宋_GB2312" w:hAnsi="Times New Roman" w:eastAsia="仿宋_GB2312" w:cs="Times New Roman"/>
          <w:bCs/>
          <w:color w:val="000000"/>
          <w:kern w:val="0"/>
          <w:sz w:val="32"/>
          <w:szCs w:val="32"/>
          <w:highlight w:val="none"/>
          <w:lang w:eastAsia="zh-CN"/>
        </w:rPr>
      </w:pPr>
      <w:r>
        <w:rPr>
          <w:rFonts w:hint="eastAsia" w:ascii="仿宋_GB2312" w:hAnsi="Times New Roman" w:eastAsia="仿宋_GB2312" w:cs="Times New Roman"/>
          <w:bCs/>
          <w:color w:val="000000"/>
          <w:kern w:val="0"/>
          <w:sz w:val="32"/>
          <w:szCs w:val="32"/>
          <w:highlight w:val="none"/>
          <w:lang w:val="en-US" w:eastAsia="zh-CN"/>
        </w:rPr>
        <w:t>2019年</w:t>
      </w:r>
      <w:r>
        <w:rPr>
          <w:rFonts w:hint="eastAsia" w:ascii="仿宋_GB2312" w:hAnsi="Times New Roman" w:eastAsia="仿宋_GB2312" w:cs="Times New Roman"/>
          <w:bCs/>
          <w:color w:val="000000"/>
          <w:kern w:val="0"/>
          <w:sz w:val="32"/>
          <w:szCs w:val="32"/>
          <w:highlight w:val="none"/>
        </w:rPr>
        <w:t>基本完成预算，在执行过程中仍然存在一些问题，主要表现在以下几个方面：</w:t>
      </w:r>
      <w:r>
        <w:rPr>
          <w:rFonts w:hint="eastAsia" w:ascii="仿宋_GB2312" w:hAnsi="Times New Roman" w:eastAsia="仿宋_GB2312" w:cs="Times New Roman"/>
          <w:bCs/>
          <w:color w:val="000000"/>
          <w:kern w:val="0"/>
          <w:sz w:val="32"/>
          <w:szCs w:val="32"/>
          <w:highlight w:val="none"/>
          <w:lang w:eastAsia="zh-CN"/>
        </w:rPr>
        <w:t>一是存在</w:t>
      </w:r>
      <w:r>
        <w:rPr>
          <w:rFonts w:hint="eastAsia" w:ascii="仿宋_GB2312" w:hAnsi="Times New Roman" w:eastAsia="仿宋_GB2312" w:cs="Times New Roman"/>
          <w:bCs/>
          <w:color w:val="000000"/>
          <w:kern w:val="0"/>
          <w:sz w:val="32"/>
          <w:szCs w:val="32"/>
          <w:highlight w:val="none"/>
        </w:rPr>
        <w:t>调账较多；</w:t>
      </w:r>
      <w:r>
        <w:rPr>
          <w:rFonts w:hint="eastAsia" w:ascii="仿宋_GB2312" w:hAnsi="Times New Roman" w:eastAsia="仿宋_GB2312" w:cs="Times New Roman"/>
          <w:bCs/>
          <w:color w:val="000000"/>
          <w:kern w:val="0"/>
          <w:sz w:val="32"/>
          <w:szCs w:val="32"/>
          <w:highlight w:val="none"/>
          <w:lang w:eastAsia="zh-CN"/>
        </w:rPr>
        <w:t>二是</w:t>
      </w:r>
      <w:r>
        <w:rPr>
          <w:rFonts w:hint="eastAsia" w:ascii="仿宋_GB2312" w:hAnsi="Times New Roman" w:eastAsia="仿宋_GB2312" w:cs="Times New Roman"/>
          <w:bCs/>
          <w:color w:val="000000"/>
          <w:kern w:val="0"/>
          <w:sz w:val="32"/>
          <w:szCs w:val="32"/>
          <w:highlight w:val="none"/>
        </w:rPr>
        <w:t>预算执行未严格按照预算编制执行；</w:t>
      </w:r>
      <w:r>
        <w:rPr>
          <w:rFonts w:hint="eastAsia" w:ascii="仿宋_GB2312" w:hAnsi="Times New Roman" w:eastAsia="仿宋_GB2312" w:cs="Times New Roman"/>
          <w:bCs/>
          <w:color w:val="000000"/>
          <w:kern w:val="0"/>
          <w:sz w:val="32"/>
          <w:szCs w:val="32"/>
          <w:highlight w:val="none"/>
          <w:lang w:eastAsia="zh-CN"/>
        </w:rPr>
        <w:t>三是</w:t>
      </w:r>
      <w:r>
        <w:rPr>
          <w:rFonts w:hint="eastAsia" w:ascii="仿宋_GB2312" w:hAnsi="Times New Roman" w:eastAsia="仿宋_GB2312" w:cs="Times New Roman"/>
          <w:bCs/>
          <w:color w:val="000000"/>
          <w:kern w:val="0"/>
          <w:sz w:val="32"/>
          <w:szCs w:val="32"/>
          <w:highlight w:val="none"/>
        </w:rPr>
        <w:t>仍然存在无预算的支出</w:t>
      </w:r>
      <w:r>
        <w:rPr>
          <w:rFonts w:hint="eastAsia" w:ascii="仿宋_GB2312" w:hAnsi="Times New Roman" w:eastAsia="仿宋_GB2312" w:cs="Times New Roman"/>
          <w:bCs/>
          <w:color w:val="000000"/>
          <w:kern w:val="0"/>
          <w:sz w:val="32"/>
          <w:szCs w:val="32"/>
          <w:highlight w:val="none"/>
          <w:lang w:eastAsia="zh-CN"/>
        </w:rPr>
        <w:t>；四是</w:t>
      </w:r>
      <w:r>
        <w:rPr>
          <w:rFonts w:hint="eastAsia" w:ascii="仿宋_GB2312" w:hAnsi="Times New Roman" w:eastAsia="仿宋_GB2312" w:cs="Times New Roman"/>
          <w:bCs/>
          <w:color w:val="000000"/>
          <w:kern w:val="0"/>
          <w:sz w:val="32"/>
          <w:szCs w:val="32"/>
          <w:highlight w:val="none"/>
        </w:rPr>
        <w:t>存在未按预算经济科目开支的现象</w:t>
      </w:r>
      <w:r>
        <w:rPr>
          <w:rFonts w:hint="eastAsia" w:ascii="仿宋_GB2312" w:hAnsi="Times New Roman" w:eastAsia="仿宋_GB2312" w:cs="Times New Roman"/>
          <w:bCs/>
          <w:color w:val="000000"/>
          <w:kern w:val="0"/>
          <w:sz w:val="32"/>
          <w:szCs w:val="32"/>
          <w:highlight w:val="none"/>
          <w:lang w:eastAsia="zh-CN"/>
        </w:rPr>
        <w:t>。</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（三）改进建议。</w:t>
      </w:r>
    </w:p>
    <w:p>
      <w:pPr>
        <w:keepNext w:val="0"/>
        <w:keepLines w:val="0"/>
        <w:pageBreakBefore w:val="0"/>
        <w:widowControl/>
        <w:shd w:val="clear" w:color="auto" w:fill="FFFFFF"/>
        <w:wordWrap/>
        <w:topLinePunct w:val="0"/>
        <w:bidi w:val="0"/>
        <w:spacing w:line="240" w:lineRule="auto"/>
        <w:ind w:firstLine="640" w:firstLineChars="200"/>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cs="Times New Roman"/>
          <w:bCs/>
          <w:color w:val="000000"/>
          <w:kern w:val="0"/>
          <w:sz w:val="32"/>
          <w:szCs w:val="32"/>
          <w:highlight w:val="none"/>
        </w:rPr>
        <w:t>针对以上存在的问题，在20</w:t>
      </w:r>
      <w:r>
        <w:rPr>
          <w:rFonts w:hint="eastAsia" w:ascii="仿宋_GB2312" w:hAnsi="Times New Roman" w:eastAsia="仿宋_GB2312" w:cs="Times New Roman"/>
          <w:bCs/>
          <w:color w:val="000000"/>
          <w:kern w:val="0"/>
          <w:sz w:val="32"/>
          <w:szCs w:val="32"/>
          <w:highlight w:val="none"/>
          <w:lang w:val="en-US" w:eastAsia="zh-CN"/>
        </w:rPr>
        <w:t>20</w:t>
      </w:r>
      <w:r>
        <w:rPr>
          <w:rFonts w:hint="eastAsia" w:ascii="仿宋_GB2312" w:hAnsi="Times New Roman" w:eastAsia="仿宋_GB2312" w:cs="Times New Roman"/>
          <w:bCs/>
          <w:color w:val="000000"/>
          <w:kern w:val="0"/>
          <w:sz w:val="32"/>
          <w:szCs w:val="32"/>
          <w:highlight w:val="none"/>
        </w:rPr>
        <w:t>年预算执行中，</w:t>
      </w:r>
      <w:r>
        <w:rPr>
          <w:rFonts w:hint="eastAsia" w:ascii="仿宋_GB2312" w:hAnsi="Times New Roman" w:eastAsia="仿宋_GB2312" w:cs="Times New Roman"/>
          <w:bCs/>
          <w:color w:val="000000"/>
          <w:kern w:val="0"/>
          <w:sz w:val="32"/>
          <w:szCs w:val="32"/>
          <w:highlight w:val="none"/>
          <w:lang w:eastAsia="zh-CN"/>
        </w:rPr>
        <w:t>将</w:t>
      </w:r>
      <w:r>
        <w:rPr>
          <w:rFonts w:hint="eastAsia" w:ascii="仿宋_GB2312" w:hAnsi="Times New Roman" w:eastAsia="仿宋_GB2312" w:cs="Times New Roman"/>
          <w:bCs/>
          <w:color w:val="000000"/>
          <w:kern w:val="0"/>
          <w:sz w:val="32"/>
          <w:szCs w:val="32"/>
          <w:highlight w:val="none"/>
        </w:rPr>
        <w:t>进一步</w:t>
      </w:r>
      <w:r>
        <w:rPr>
          <w:rFonts w:hint="eastAsia" w:ascii="仿宋_GB2312" w:hAnsi="Times New Roman" w:eastAsia="仿宋_GB2312" w:cs="Times New Roman"/>
          <w:bCs/>
          <w:color w:val="000000"/>
          <w:kern w:val="0"/>
          <w:sz w:val="32"/>
          <w:szCs w:val="32"/>
          <w:highlight w:val="none"/>
          <w:lang w:eastAsia="zh-CN"/>
        </w:rPr>
        <w:t>提高</w:t>
      </w:r>
      <w:r>
        <w:rPr>
          <w:rFonts w:hint="eastAsia" w:ascii="仿宋_GB2312" w:hAnsi="Times New Roman" w:eastAsia="仿宋_GB2312" w:cs="Times New Roman"/>
          <w:bCs/>
          <w:color w:val="000000"/>
          <w:kern w:val="0"/>
          <w:sz w:val="32"/>
          <w:szCs w:val="32"/>
          <w:highlight w:val="none"/>
        </w:rPr>
        <w:t>预算编制水平，加强预算</w:t>
      </w:r>
      <w:r>
        <w:rPr>
          <w:rFonts w:hint="eastAsia" w:ascii="仿宋_GB2312" w:hAnsi="Times New Roman" w:eastAsia="仿宋_GB2312" w:cs="Times New Roman"/>
          <w:bCs/>
          <w:color w:val="000000"/>
          <w:kern w:val="0"/>
          <w:sz w:val="32"/>
          <w:szCs w:val="32"/>
          <w:highlight w:val="none"/>
          <w:lang w:eastAsia="zh-CN"/>
        </w:rPr>
        <w:t>使用</w:t>
      </w:r>
      <w:r>
        <w:rPr>
          <w:rFonts w:hint="eastAsia" w:ascii="仿宋_GB2312" w:hAnsi="Times New Roman" w:eastAsia="仿宋_GB2312" w:cs="Times New Roman"/>
          <w:bCs/>
          <w:color w:val="000000"/>
          <w:kern w:val="0"/>
          <w:sz w:val="32"/>
          <w:szCs w:val="32"/>
          <w:highlight w:val="none"/>
        </w:rPr>
        <w:t>管理，加大预算执行力度，</w:t>
      </w:r>
      <w:r>
        <w:rPr>
          <w:rFonts w:hint="eastAsia" w:ascii="仿宋_GB2312" w:hAnsi="Times New Roman" w:eastAsia="仿宋_GB2312"/>
          <w:bCs/>
          <w:color w:val="000000" w:themeColor="text1"/>
          <w:kern w:val="0"/>
          <w:sz w:val="32"/>
          <w:szCs w:val="32"/>
          <w:highlight w:val="none"/>
          <w14:textFill>
            <w14:solidFill>
              <w14:schemeClr w14:val="tx1"/>
            </w14:solidFill>
          </w14:textFill>
        </w:rPr>
        <w:t>进一步推进绩效管理制度建设，使绩效管理工作制度化、规范化</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bCs/>
          <w:color w:val="000000" w:themeColor="text1"/>
          <w:kern w:val="0"/>
          <w:sz w:val="32"/>
          <w:szCs w:val="32"/>
          <w:highlight w:val="none"/>
          <w14:textFill>
            <w14:solidFill>
              <w14:schemeClr w14:val="tx1"/>
            </w14:solidFill>
          </w14:textFill>
        </w:rPr>
        <w:t>建立预算绩效管理评价工作的“三位一体”机制，将绩效预期目标申报、绩效评价、绩效结果应用这三方面内容贯穿于每个项目。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0"/>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bCs/>
          <w:color w:val="000000" w:themeColor="text1"/>
          <w:kern w:val="0"/>
          <w:sz w:val="32"/>
          <w:szCs w:val="32"/>
          <w:highlight w:val="none"/>
          <w:lang w:val="en-US" w:eastAsia="zh-CN"/>
          <w14:textFill>
            <w14:solidFill>
              <w14:schemeClr w14:val="tx1"/>
            </w14:solidFill>
          </w14:textFill>
        </w:rPr>
        <w:t>2020年</w:t>
      </w:r>
      <w:r>
        <w:rPr>
          <w:rFonts w:hint="eastAsia" w:ascii="仿宋_GB2312" w:hAnsi="Times New Roman" w:eastAsia="仿宋_GB2312"/>
          <w:bCs/>
          <w:color w:val="000000" w:themeColor="text1"/>
          <w:kern w:val="0"/>
          <w:sz w:val="32"/>
          <w:szCs w:val="32"/>
          <w:highlight w:val="none"/>
          <w14:textFill>
            <w14:solidFill>
              <w14:schemeClr w14:val="tx1"/>
            </w14:solidFill>
          </w14:textFill>
        </w:rPr>
        <w:t>各业务处室</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项目</w:t>
      </w:r>
      <w:r>
        <w:rPr>
          <w:rFonts w:hint="eastAsia" w:ascii="仿宋_GB2312" w:hAnsi="Times New Roman" w:eastAsia="仿宋_GB2312"/>
          <w:bCs/>
          <w:color w:val="000000" w:themeColor="text1"/>
          <w:kern w:val="0"/>
          <w:sz w:val="32"/>
          <w:szCs w:val="32"/>
          <w:highlight w:val="none"/>
          <w14:textFill>
            <w14:solidFill>
              <w14:schemeClr w14:val="tx1"/>
            </w14:solidFill>
          </w14:textFill>
        </w:rPr>
        <w:t>绩效评价结果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将</w:t>
      </w:r>
      <w:r>
        <w:rPr>
          <w:rFonts w:hint="eastAsia" w:ascii="仿宋_GB2312" w:hAnsi="Times New Roman" w:eastAsia="仿宋_GB2312"/>
          <w:bCs/>
          <w:color w:val="000000" w:themeColor="text1"/>
          <w:kern w:val="0"/>
          <w:sz w:val="32"/>
          <w:szCs w:val="32"/>
          <w:highlight w:val="none"/>
          <w14:textFill>
            <w14:solidFill>
              <w14:schemeClr w14:val="tx1"/>
            </w14:solidFill>
          </w14:textFill>
        </w:rPr>
        <w:t>作为下年度安排预算的重要依据，对绩效</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低</w:t>
      </w:r>
      <w:r>
        <w:rPr>
          <w:rFonts w:hint="eastAsia" w:ascii="仿宋_GB2312" w:hAnsi="Times New Roman" w:eastAsia="仿宋_GB2312"/>
          <w:bCs/>
          <w:color w:val="000000" w:themeColor="text1"/>
          <w:kern w:val="0"/>
          <w:sz w:val="32"/>
          <w:szCs w:val="32"/>
          <w:highlight w:val="none"/>
          <w14:textFill>
            <w14:solidFill>
              <w14:schemeClr w14:val="tx1"/>
            </w14:solidFill>
          </w14:textFill>
        </w:rPr>
        <w:t>的</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项目</w:t>
      </w:r>
      <w:r>
        <w:rPr>
          <w:rFonts w:hint="eastAsia" w:ascii="仿宋_GB2312" w:hAnsi="Times New Roman" w:eastAsia="仿宋_GB2312"/>
          <w:bCs/>
          <w:color w:val="000000" w:themeColor="text1"/>
          <w:kern w:val="0"/>
          <w:sz w:val="32"/>
          <w:szCs w:val="32"/>
          <w:highlight w:val="none"/>
          <w14:textFill>
            <w14:solidFill>
              <w14:schemeClr w14:val="tx1"/>
            </w14:solidFill>
          </w14:textFill>
        </w:rPr>
        <w:t>资金，</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采取</w:t>
      </w:r>
      <w:r>
        <w:rPr>
          <w:rFonts w:hint="eastAsia" w:ascii="仿宋_GB2312" w:hAnsi="Times New Roman" w:eastAsia="仿宋_GB2312"/>
          <w:bCs/>
          <w:color w:val="000000" w:themeColor="text1"/>
          <w:kern w:val="0"/>
          <w:sz w:val="32"/>
          <w:szCs w:val="32"/>
          <w:highlight w:val="none"/>
          <w14:textFill>
            <w14:solidFill>
              <w14:schemeClr w14:val="tx1"/>
            </w14:solidFill>
          </w14:textFill>
        </w:rPr>
        <w:t>取消或调整</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的</w:t>
      </w:r>
      <w:r>
        <w:rPr>
          <w:rFonts w:hint="eastAsia" w:ascii="仿宋_GB2312" w:hAnsi="Times New Roman" w:eastAsia="仿宋_GB2312"/>
          <w:bCs/>
          <w:color w:val="000000" w:themeColor="text1"/>
          <w:kern w:val="0"/>
          <w:sz w:val="32"/>
          <w:szCs w:val="32"/>
          <w:highlight w:val="none"/>
          <w14:textFill>
            <w14:solidFill>
              <w14:schemeClr w14:val="tx1"/>
            </w14:solidFill>
          </w14:textFill>
        </w:rPr>
        <w:t>方式，调整支出结构，使</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预算</w:t>
      </w:r>
      <w:r>
        <w:rPr>
          <w:rFonts w:hint="eastAsia" w:ascii="仿宋_GB2312" w:hAnsi="Times New Roman" w:eastAsia="仿宋_GB2312"/>
          <w:bCs/>
          <w:color w:val="000000" w:themeColor="text1"/>
          <w:kern w:val="0"/>
          <w:sz w:val="32"/>
          <w:szCs w:val="32"/>
          <w:highlight w:val="none"/>
          <w14:textFill>
            <w14:solidFill>
              <w14:schemeClr w14:val="tx1"/>
            </w14:solidFill>
          </w14:textFill>
        </w:rPr>
        <w:t>安排使用更合理有效。绩效评价结果在一定范围内公布，以增强资金使用的透明度</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bCs/>
          <w:color w:val="000000" w:themeColor="text1"/>
          <w:kern w:val="0"/>
          <w:sz w:val="32"/>
          <w:szCs w:val="32"/>
          <w:highlight w:val="none"/>
          <w14:textFill>
            <w14:solidFill>
              <w14:schemeClr w14:val="tx1"/>
            </w14:solidFill>
          </w14:textFill>
        </w:rPr>
        <w:t>发挥绩效评价对财政资金的跟踪问效用和决策信息反馈作用。</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67"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5"/>
      <w:bookmarkEnd w:id="6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8"/>
    </w:p>
    <w:p>
      <w:pPr>
        <w:pStyle w:val="3"/>
        <w:rPr>
          <w:rFonts w:ascii="仿宋" w:hAnsi="仿宋" w:eastAsia="仿宋"/>
          <w:color w:val="000000"/>
        </w:rPr>
      </w:pPr>
      <w:bookmarkStart w:id="6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9"/>
    </w:p>
    <w:p>
      <w:pPr>
        <w:pStyle w:val="3"/>
        <w:rPr>
          <w:rFonts w:ascii="仿宋" w:hAnsi="仿宋" w:eastAsia="仿宋"/>
          <w:color w:val="000000"/>
        </w:rPr>
      </w:pPr>
      <w:bookmarkStart w:id="7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70"/>
    </w:p>
    <w:p>
      <w:pPr>
        <w:pStyle w:val="3"/>
        <w:rPr>
          <w:rFonts w:ascii="仿宋" w:hAnsi="仿宋" w:eastAsia="仿宋"/>
          <w:b w:val="0"/>
          <w:color w:val="000000"/>
        </w:rPr>
      </w:pPr>
      <w:bookmarkStart w:id="7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1"/>
    </w:p>
    <w:p>
      <w:pPr>
        <w:pStyle w:val="3"/>
        <w:rPr>
          <w:rStyle w:val="25"/>
          <w:rFonts w:ascii="仿宋" w:hAnsi="仿宋" w:eastAsia="仿宋"/>
          <w:b w:val="0"/>
          <w:bCs w:val="0"/>
        </w:rPr>
      </w:pPr>
      <w:bookmarkStart w:id="7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72"/>
      <w:bookmarkStart w:id="73"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3"/>
    </w:p>
    <w:p>
      <w:pPr>
        <w:pStyle w:val="3"/>
        <w:rPr>
          <w:rFonts w:ascii="仿宋" w:hAnsi="仿宋" w:eastAsia="仿宋"/>
          <w:color w:val="000000"/>
        </w:rPr>
      </w:pPr>
      <w:bookmarkStart w:id="7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4"/>
    </w:p>
    <w:p>
      <w:pPr>
        <w:pStyle w:val="3"/>
        <w:rPr>
          <w:rFonts w:ascii="仿宋" w:hAnsi="仿宋" w:eastAsia="仿宋"/>
          <w:color w:val="000000"/>
        </w:rPr>
      </w:pPr>
      <w:bookmarkStart w:id="7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5"/>
    </w:p>
    <w:p>
      <w:pPr>
        <w:pStyle w:val="3"/>
        <w:rPr>
          <w:rFonts w:ascii="仿宋" w:hAnsi="仿宋" w:eastAsia="仿宋"/>
          <w:color w:val="000000"/>
        </w:rPr>
      </w:pPr>
      <w:bookmarkStart w:id="7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6"/>
    </w:p>
    <w:p>
      <w:pPr>
        <w:pStyle w:val="3"/>
        <w:rPr>
          <w:rFonts w:ascii="仿宋" w:hAnsi="仿宋" w:eastAsia="仿宋"/>
          <w:color w:val="000000"/>
        </w:rPr>
      </w:pPr>
      <w:bookmarkStart w:id="7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7"/>
    </w:p>
    <w:p>
      <w:pPr>
        <w:pStyle w:val="3"/>
        <w:rPr>
          <w:rFonts w:ascii="仿宋" w:hAnsi="仿宋" w:eastAsia="仿宋"/>
          <w:color w:val="000000"/>
        </w:rPr>
      </w:pPr>
      <w:bookmarkStart w:id="7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8"/>
    </w:p>
    <w:p>
      <w:pPr>
        <w:pStyle w:val="3"/>
        <w:rPr>
          <w:rFonts w:ascii="仿宋" w:hAnsi="仿宋" w:eastAsia="仿宋"/>
          <w:color w:val="000000"/>
        </w:rPr>
      </w:pPr>
      <w:bookmarkStart w:id="7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9"/>
    </w:p>
    <w:p>
      <w:pPr>
        <w:pStyle w:val="3"/>
        <w:rPr>
          <w:rFonts w:ascii="仿宋" w:hAnsi="仿宋" w:eastAsia="仿宋"/>
          <w:color w:val="000000" w:themeColor="text1"/>
          <w14:textFill>
            <w14:solidFill>
              <w14:schemeClr w14:val="tx1"/>
            </w14:solidFill>
          </w14:textFill>
        </w:rPr>
      </w:pPr>
      <w:bookmarkStart w:id="8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8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6EDC7"/>
    <w:multiLevelType w:val="singleLevel"/>
    <w:tmpl w:val="81D6EDC7"/>
    <w:lvl w:ilvl="0" w:tentative="0">
      <w:start w:val="2"/>
      <w:numFmt w:val="decimal"/>
      <w:suff w:val="nothing"/>
      <w:lvlText w:val="（%1）"/>
      <w:lvlJc w:val="left"/>
    </w:lvl>
  </w:abstractNum>
  <w:abstractNum w:abstractNumId="1">
    <w:nsid w:val="CB73355D"/>
    <w:multiLevelType w:val="singleLevel"/>
    <w:tmpl w:val="CB73355D"/>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7360ABD1"/>
    <w:multiLevelType w:val="singleLevel"/>
    <w:tmpl w:val="7360ABD1"/>
    <w:lvl w:ilvl="0" w:tentative="0">
      <w:start w:val="1"/>
      <w:numFmt w:val="decimal"/>
      <w:lvlText w:val="%1."/>
      <w:lvlJc w:val="left"/>
      <w:pPr>
        <w:ind w:left="425" w:hanging="425"/>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B712D0"/>
    <w:rsid w:val="10C055FF"/>
    <w:rsid w:val="16BB723D"/>
    <w:rsid w:val="23731DE8"/>
    <w:rsid w:val="240371BF"/>
    <w:rsid w:val="281472D7"/>
    <w:rsid w:val="29FD04D3"/>
    <w:rsid w:val="319F7F4E"/>
    <w:rsid w:val="4ECE2238"/>
    <w:rsid w:val="5DD35950"/>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51"/>
    <w:basedOn w:val="13"/>
    <w:qFormat/>
    <w:uiPriority w:val="0"/>
    <w:rPr>
      <w:rFonts w:ascii="Arial" w:hAnsi="Arial" w:cs="Arial"/>
      <w:color w:val="000000"/>
      <w:sz w:val="16"/>
      <w:szCs w:val="16"/>
      <w:u w:val="none"/>
    </w:rPr>
  </w:style>
  <w:style w:type="character" w:customStyle="1" w:styleId="31">
    <w:name w:val="font61"/>
    <w:basedOn w:val="13"/>
    <w:qFormat/>
    <w:uiPriority w:val="0"/>
    <w:rPr>
      <w:rFonts w:hint="eastAsia" w:ascii="宋体" w:hAnsi="宋体" w:eastAsia="宋体" w:cs="宋体"/>
      <w:color w:val="000000"/>
      <w:sz w:val="16"/>
      <w:szCs w:val="16"/>
      <w:u w:val="none"/>
    </w:rPr>
  </w:style>
  <w:style w:type="character" w:customStyle="1" w:styleId="32">
    <w:name w:val="font31"/>
    <w:basedOn w:val="13"/>
    <w:qFormat/>
    <w:uiPriority w:val="0"/>
    <w:rPr>
      <w:rFonts w:ascii="Arial" w:hAnsi="Arial" w:cs="Arial"/>
      <w:color w:val="000000"/>
      <w:sz w:val="18"/>
      <w:szCs w:val="18"/>
      <w:u w:val="none"/>
    </w:rPr>
  </w:style>
  <w:style w:type="character" w:customStyle="1" w:styleId="33">
    <w:name w:val="font41"/>
    <w:basedOn w:val="13"/>
    <w:qFormat/>
    <w:uiPriority w:val="0"/>
    <w:rPr>
      <w:rFonts w:hint="eastAsia" w:ascii="宋体" w:hAnsi="宋体" w:eastAsia="宋体" w:cs="宋体"/>
      <w:color w:val="000000"/>
      <w:sz w:val="18"/>
      <w:szCs w:val="18"/>
      <w:u w:val="none"/>
    </w:rPr>
  </w:style>
  <w:style w:type="character" w:customStyle="1" w:styleId="34">
    <w:name w:val="font21"/>
    <w:basedOn w:val="1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9125554685461"/>
          <c:y val="0.039791096742104"/>
          <c:w val="0.906604019838162"/>
          <c:h val="0.85734891817955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2018年度收支总计</c:v>
                </c:pt>
                <c:pt idx="1">
                  <c:v>2018年度收支总计</c:v>
                </c:pt>
              </c:strCache>
            </c:strRef>
          </c:cat>
          <c:val>
            <c:numRef>
              <c:f>Sheet1!$B$2:$B$3</c:f>
              <c:numCache>
                <c:formatCode>General</c:formatCode>
                <c:ptCount val="2"/>
                <c:pt idx="0">
                  <c:v>20435.28</c:v>
                </c:pt>
                <c:pt idx="1">
                  <c:v>19405.98</c:v>
                </c:pt>
              </c:numCache>
            </c:numRef>
          </c:val>
        </c:ser>
        <c:dLbls>
          <c:showLegendKey val="0"/>
          <c:showVal val="1"/>
          <c:showCatName val="0"/>
          <c:showSerName val="0"/>
          <c:showPercent val="0"/>
          <c:showBubbleSize val="0"/>
        </c:dLbls>
        <c:gapWidth val="75"/>
        <c:overlap val="0"/>
        <c:axId val="556089026"/>
        <c:axId val="525254044"/>
      </c:barChart>
      <c:catAx>
        <c:axId val="5560890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254044"/>
        <c:crosses val="autoZero"/>
        <c:auto val="1"/>
        <c:lblAlgn val="ctr"/>
        <c:lblOffset val="100"/>
        <c:noMultiLvlLbl val="0"/>
      </c:catAx>
      <c:valAx>
        <c:axId val="52525404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0890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Sheet1!$B$2:$B$5</c:f>
              <c:numCache>
                <c:formatCode>General</c:formatCode>
                <c:ptCount val="4"/>
                <c:pt idx="0">
                  <c:v>17959.01</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对辅助单位补助支出</c:v>
                </c:pt>
              </c:strCache>
            </c:strRef>
          </c:cat>
          <c:val>
            <c:numRef>
              <c:f>Sheet1!$B$2:$B$6</c:f>
              <c:numCache>
                <c:formatCode>General</c:formatCode>
                <c:ptCount val="5"/>
                <c:pt idx="0">
                  <c:v>12599.74</c:v>
                </c:pt>
                <c:pt idx="1">
                  <c:v>0</c:v>
                </c:pt>
                <c:pt idx="2">
                  <c:v>0</c:v>
                </c:pt>
                <c:pt idx="3">
                  <c:v>0</c:v>
                </c:pt>
                <c:pt idx="4">
                  <c:v>6806.24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0825"/>
          <c:y val="0.2155"/>
          <c:w val="0.927925"/>
          <c:h val="0.57485"/>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Sheet1!$A$2:$A$3</c:f>
              <c:strCache>
                <c:ptCount val="2"/>
                <c:pt idx="0">
                  <c:v>2018年一般公共预算财政拨款支出</c:v>
                </c:pt>
                <c:pt idx="1">
                  <c:v>2019年一般公共预算财政拨款支出</c:v>
                </c:pt>
              </c:strCache>
            </c:strRef>
          </c:cat>
          <c:val>
            <c:numRef>
              <c:f>Sheet1!$B$2:$B$3</c:f>
              <c:numCache>
                <c:formatCode>General</c:formatCode>
                <c:ptCount val="2"/>
                <c:pt idx="0">
                  <c:v>18489.75</c:v>
                </c:pt>
                <c:pt idx="1">
                  <c:v>17959.02</c:v>
                </c:pt>
              </c:numCache>
            </c:numRef>
          </c:val>
        </c:ser>
        <c:dLbls>
          <c:showLegendKey val="0"/>
          <c:showVal val="0"/>
          <c:showCatName val="0"/>
          <c:showSerName val="0"/>
          <c:showPercent val="0"/>
          <c:showBubbleSize val="0"/>
        </c:dLbls>
        <c:gapWidth val="219"/>
        <c:overlap val="-27"/>
        <c:axId val="75460071"/>
        <c:axId val="860370640"/>
      </c:barChart>
      <c:catAx>
        <c:axId val="754600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370640"/>
        <c:crosses val="autoZero"/>
        <c:auto val="1"/>
        <c:lblAlgn val="ctr"/>
        <c:lblOffset val="100"/>
        <c:noMultiLvlLbl val="0"/>
      </c:catAx>
      <c:valAx>
        <c:axId val="86037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600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一般公共服务支出</c:v>
                </c:pt>
                <c:pt idx="1">
                  <c:v>公共安全支出</c:v>
                </c:pt>
                <c:pt idx="2">
                  <c:v>教育支出</c:v>
                </c:pt>
                <c:pt idx="3">
                  <c:v>社会保障和就业支出</c:v>
                </c:pt>
                <c:pt idx="4">
                  <c:v>卫生健康支出</c:v>
                </c:pt>
                <c:pt idx="5">
                  <c:v>住房保障支出</c:v>
                </c:pt>
                <c:pt idx="6">
                  <c:v>灾害防治及应急管理支出</c:v>
                </c:pt>
              </c:strCache>
            </c:strRef>
          </c:cat>
          <c:val>
            <c:numRef>
              <c:f>Sheet1!$B$2:$B$8</c:f>
              <c:numCache>
                <c:formatCode>General</c:formatCode>
                <c:ptCount val="7"/>
                <c:pt idx="0">
                  <c:v>28.59</c:v>
                </c:pt>
                <c:pt idx="1">
                  <c:v>9482.52</c:v>
                </c:pt>
                <c:pt idx="2">
                  <c:v>6264.54</c:v>
                </c:pt>
                <c:pt idx="3">
                  <c:v>1308.55</c:v>
                </c:pt>
                <c:pt idx="4">
                  <c:v>332.86</c:v>
                </c:pt>
                <c:pt idx="5">
                  <c:v>533.96</c:v>
                </c:pt>
                <c:pt idx="6">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因公出国（境）费用</c:v>
                </c:pt>
                <c:pt idx="1">
                  <c:v>公务用车购置及运行费</c:v>
                </c:pt>
                <c:pt idx="2">
                  <c:v>公务接待费</c:v>
                </c:pt>
              </c:strCache>
            </c:strRef>
          </c:cat>
          <c:val>
            <c:numRef>
              <c:f>Sheet1!$B$2:$B$4</c:f>
              <c:numCache>
                <c:formatCode>General</c:formatCode>
                <c:ptCount val="3"/>
                <c:pt idx="0">
                  <c:v>9.64</c:v>
                </c:pt>
                <c:pt idx="1">
                  <c:v>75.33</c:v>
                </c:pt>
                <c:pt idx="2">
                  <c:v>8.17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DF1D2-61EF-4619-A9B5-A2315068514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7727</Words>
  <Characters>1968</Characters>
  <Lines>16</Lines>
  <Paragraphs>19</Paragraphs>
  <TotalTime>23</TotalTime>
  <ScaleCrop>false</ScaleCrop>
  <LinksUpToDate>false</LinksUpToDate>
  <CharactersWithSpaces>9676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2020-09-02T09:39:51Z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