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spacing w:line="600" w:lineRule="exact"/>
        <w:ind w:left="0"/>
        <w:jc w:val="center"/>
        <w:outlineLvl w:val="0"/>
        <w:rPr>
          <w:rFonts w:ascii="方正小标宋简体" w:hAnsi="方正小标宋简体" w:eastAsia="方正小标宋简体"/>
          <w:color w:val="000000"/>
          <w:sz w:val="72"/>
          <w:szCs w:val="72"/>
        </w:rPr>
      </w:pPr>
      <w:bookmarkStart w:id="0" w:name="_Toc15306267"/>
      <w:bookmarkEnd w:id="0"/>
    </w:p>
    <w:p>
      <w:pPr>
        <w:pStyle w:val="5"/>
        <w:numPr>
          <w:ilvl w:val="0"/>
          <w:numId w:val="0"/>
        </w:numPr>
        <w:spacing w:line="600" w:lineRule="exact"/>
        <w:ind w:left="0"/>
        <w:jc w:val="center"/>
        <w:outlineLvl w:val="0"/>
        <w:rPr>
          <w:rFonts w:ascii="方正小标宋简体" w:hAnsi="方正小标宋简体" w:eastAsia="方正小标宋简体"/>
          <w:color w:val="000000"/>
          <w:sz w:val="72"/>
          <w:szCs w:val="72"/>
        </w:rPr>
      </w:pPr>
    </w:p>
    <w:p>
      <w:pPr>
        <w:pStyle w:val="5"/>
        <w:numPr>
          <w:ilvl w:val="0"/>
          <w:numId w:val="0"/>
        </w:numPr>
        <w:spacing w:line="600" w:lineRule="exact"/>
        <w:ind w:left="0"/>
        <w:jc w:val="center"/>
        <w:outlineLvl w:val="0"/>
        <w:rPr>
          <w:rFonts w:ascii="方正小标宋简体" w:hAnsi="方正小标宋简体" w:eastAsia="方正小标宋简体"/>
          <w:color w:val="000000"/>
          <w:sz w:val="72"/>
          <w:szCs w:val="72"/>
        </w:rPr>
      </w:pPr>
    </w:p>
    <w:p>
      <w:pPr>
        <w:pStyle w:val="5"/>
        <w:numPr>
          <w:ilvl w:val="0"/>
          <w:numId w:val="0"/>
        </w:numPr>
        <w:snapToGrid w:val="0"/>
        <w:spacing w:line="360" w:lineRule="auto"/>
        <w:ind w:left="0"/>
        <w:jc w:val="center"/>
        <w:outlineLvl w:val="0"/>
        <w:rPr>
          <w:rFonts w:hint="eastAsia" w:ascii="方正小标宋简体" w:hAnsi="方正小标宋简体" w:eastAsia="方正小标宋简体" w:cs="方正小标宋简体"/>
          <w:color w:val="000000"/>
          <w:sz w:val="72"/>
          <w:szCs w:val="72"/>
        </w:rPr>
      </w:pPr>
      <w:bookmarkStart w:id="1" w:name="_Toc15378441"/>
      <w:bookmarkStart w:id="2" w:name="_Toc15377193"/>
      <w:bookmarkStart w:id="3" w:name="_Toc15396475"/>
      <w:bookmarkStart w:id="4" w:name="_Toc15396597"/>
      <w:bookmarkStart w:id="5" w:name="_Toc15377425"/>
      <w:r>
        <w:rPr>
          <w:rFonts w:hint="eastAsia" w:ascii="方正小标宋简体" w:hAnsi="方正小标宋简体" w:eastAsia="方正小标宋简体" w:cs="方正小标宋简体"/>
          <w:color w:val="000000"/>
          <w:sz w:val="72"/>
          <w:szCs w:val="72"/>
        </w:rPr>
        <w:t>2020年度</w:t>
      </w:r>
      <w:bookmarkEnd w:id="1"/>
      <w:bookmarkEnd w:id="2"/>
      <w:bookmarkEnd w:id="3"/>
      <w:bookmarkEnd w:id="4"/>
      <w:bookmarkEnd w:id="5"/>
    </w:p>
    <w:p>
      <w:pPr>
        <w:pStyle w:val="5"/>
        <w:numPr>
          <w:ilvl w:val="0"/>
          <w:numId w:val="0"/>
        </w:numPr>
        <w:snapToGrid w:val="0"/>
        <w:spacing w:line="360" w:lineRule="auto"/>
        <w:ind w:left="0"/>
        <w:jc w:val="center"/>
        <w:outlineLvl w:val="0"/>
        <w:rPr>
          <w:rFonts w:hint="eastAsia" w:ascii="方正小标宋简体" w:hAnsi="方正小标宋简体" w:eastAsia="方正小标宋简体" w:cs="方正小标宋简体"/>
          <w:color w:val="000000"/>
          <w:sz w:val="72"/>
          <w:szCs w:val="72"/>
        </w:rPr>
      </w:pPr>
      <w:bookmarkStart w:id="6" w:name="_Toc153062671"/>
      <w:bookmarkEnd w:id="6"/>
      <w:r>
        <w:rPr>
          <w:rFonts w:hint="eastAsia" w:ascii="方正小标宋简体" w:hAnsi="方正小标宋简体" w:eastAsia="方正小标宋简体" w:cs="方正小标宋简体"/>
          <w:color w:val="000000"/>
          <w:sz w:val="72"/>
          <w:szCs w:val="72"/>
        </w:rPr>
        <w:t>四川省司法厅机关本级</w:t>
      </w:r>
    </w:p>
    <w:p>
      <w:pPr>
        <w:pStyle w:val="5"/>
        <w:numPr>
          <w:ilvl w:val="0"/>
          <w:numId w:val="0"/>
        </w:numPr>
        <w:snapToGrid w:val="0"/>
        <w:spacing w:line="360" w:lineRule="auto"/>
        <w:ind w:left="0"/>
        <w:jc w:val="center"/>
        <w:outlineLvl w:val="0"/>
        <w:rPr>
          <w:rFonts w:hint="eastAsia" w:ascii="方正小标宋简体" w:hAnsi="方正小标宋简体" w:eastAsia="方正小标宋简体" w:cs="方正小标宋简体"/>
          <w:color w:val="000000"/>
          <w:sz w:val="72"/>
          <w:szCs w:val="72"/>
        </w:rPr>
      </w:pPr>
      <w:bookmarkStart w:id="7" w:name="_Toc15396598"/>
      <w:bookmarkStart w:id="8" w:name="_Toc15378442"/>
      <w:bookmarkStart w:id="9" w:name="_Toc15306268"/>
      <w:bookmarkStart w:id="10" w:name="_Toc15377426"/>
      <w:bookmarkStart w:id="11" w:name="_Toc15396476"/>
      <w:bookmarkStart w:id="12" w:name="_Toc15377194"/>
      <w:r>
        <w:rPr>
          <w:rFonts w:hint="eastAsia" w:ascii="方正小标宋简体" w:hAnsi="方正小标宋简体" w:eastAsia="方正小标宋简体" w:cs="方正小标宋简体"/>
          <w:color w:val="000000"/>
          <w:sz w:val="72"/>
          <w:szCs w:val="72"/>
          <w:lang w:eastAsia="zh-CN"/>
        </w:rPr>
        <w:t>单位</w:t>
      </w:r>
      <w:r>
        <w:rPr>
          <w:rFonts w:hint="eastAsia" w:ascii="方正小标宋简体" w:hAnsi="方正小标宋简体" w:eastAsia="方正小标宋简体" w:cs="方正小标宋简体"/>
          <w:color w:val="000000"/>
          <w:sz w:val="72"/>
          <w:szCs w:val="72"/>
        </w:rPr>
        <w:t>决算</w:t>
      </w:r>
      <w:bookmarkEnd w:id="7"/>
      <w:bookmarkEnd w:id="8"/>
      <w:bookmarkEnd w:id="9"/>
      <w:bookmarkEnd w:id="10"/>
      <w:bookmarkEnd w:id="11"/>
      <w:bookmarkEnd w:id="12"/>
    </w:p>
    <w:p>
      <w:pPr>
        <w:pStyle w:val="5"/>
        <w:numPr>
          <w:ilvl w:val="0"/>
          <w:numId w:val="0"/>
        </w:numPr>
        <w:snapToGrid w:val="0"/>
        <w:spacing w:line="360" w:lineRule="auto"/>
        <w:ind w:left="0"/>
        <w:jc w:val="center"/>
        <w:outlineLvl w:val="0"/>
        <w:rPr>
          <w:rFonts w:ascii="方正小标宋简体" w:hAnsi="方正小标宋简体" w:eastAsia="方正小标宋简体"/>
          <w:sz w:val="52"/>
          <w:szCs w:val="52"/>
        </w:rPr>
      </w:pPr>
      <w:r>
        <w:rPr>
          <w:rFonts w:ascii="方正小标宋简体" w:hAnsi="方正小标宋简体" w:eastAsia="方正小标宋简体"/>
          <w:color w:val="000000"/>
          <w:sz w:val="52"/>
          <w:szCs w:val="52"/>
        </w:rPr>
        <w:t xml:space="preserve"> </w:t>
      </w:r>
    </w:p>
    <w:p>
      <w:pPr>
        <w:pStyle w:val="5"/>
        <w:keepNext w:val="0"/>
        <w:keepLines w:val="0"/>
        <w:pageBreakBefore w:val="0"/>
        <w:widowControl/>
        <w:kinsoku/>
        <w:wordWrap/>
        <w:overflowPunct/>
        <w:topLinePunct w:val="0"/>
        <w:autoSpaceDE/>
        <w:autoSpaceDN/>
        <w:bidi w:val="0"/>
        <w:adjustRightInd/>
        <w:spacing w:line="600" w:lineRule="exact"/>
        <w:jc w:val="center"/>
        <w:textAlignment w:val="auto"/>
        <w:rPr>
          <w:rFonts w:ascii="黑体" w:hAnsi="黑体" w:eastAsia="黑体"/>
          <w:sz w:val="44"/>
          <w:szCs w:val="44"/>
        </w:rPr>
        <w:sectPr>
          <w:headerReference r:id="rId3" w:type="default"/>
          <w:pgSz w:w="11906" w:h="16838"/>
          <w:pgMar w:top="2041" w:right="1587" w:bottom="2041" w:left="1587" w:header="851" w:footer="1304" w:gutter="0"/>
          <w:pgNumType w:fmt="decimal" w:start="1"/>
          <w:formProt w:val="0"/>
          <w:titlePg/>
          <w:docGrid w:type="lines" w:linePitch="312" w:charSpace="238796"/>
        </w:sectPr>
      </w:pPr>
    </w:p>
    <w:p>
      <w:pPr>
        <w:pStyle w:val="5"/>
        <w:keepNext w:val="0"/>
        <w:keepLines w:val="0"/>
        <w:pageBreakBefore w:val="0"/>
        <w:widowControl/>
        <w:kinsoku/>
        <w:wordWrap/>
        <w:overflowPunct/>
        <w:topLinePunct w:val="0"/>
        <w:autoSpaceDE/>
        <w:autoSpaceDN/>
        <w:bidi w:val="0"/>
        <w:adjustRightInd/>
        <w:spacing w:line="600" w:lineRule="exact"/>
        <w:jc w:val="center"/>
        <w:textAlignment w:val="auto"/>
        <w:rPr>
          <w:rFonts w:ascii="黑体" w:hAnsi="黑体" w:eastAsia="黑体"/>
          <w:sz w:val="44"/>
          <w:szCs w:val="44"/>
        </w:rPr>
      </w:pPr>
    </w:p>
    <w:p>
      <w:pPr>
        <w:pStyle w:val="5"/>
        <w:keepNext w:val="0"/>
        <w:keepLines w:val="0"/>
        <w:pageBreakBefore w:val="0"/>
        <w:widowControl/>
        <w:kinsoku/>
        <w:wordWrap/>
        <w:overflowPunct/>
        <w:topLinePunct w:val="0"/>
        <w:autoSpaceDE/>
        <w:autoSpaceDN/>
        <w:bidi w:val="0"/>
        <w:adjustRightInd/>
        <w:spacing w:line="600" w:lineRule="exact"/>
        <w:jc w:val="center"/>
        <w:textAlignment w:val="auto"/>
        <w:rPr>
          <w:rFonts w:ascii="黑体" w:hAnsi="黑体" w:eastAsia="黑体"/>
          <w:sz w:val="44"/>
          <w:szCs w:val="44"/>
        </w:rPr>
      </w:pPr>
    </w:p>
    <w:p>
      <w:pPr>
        <w:pStyle w:val="5"/>
        <w:keepNext w:val="0"/>
        <w:keepLines w:val="0"/>
        <w:pageBreakBefore w:val="0"/>
        <w:widowControl/>
        <w:kinsoku/>
        <w:wordWrap/>
        <w:overflowPunct/>
        <w:topLinePunct w:val="0"/>
        <w:autoSpaceDE/>
        <w:autoSpaceDN/>
        <w:bidi w:val="0"/>
        <w:adjustRightInd/>
        <w:spacing w:line="600" w:lineRule="exact"/>
        <w:jc w:val="center"/>
        <w:textAlignment w:val="auto"/>
        <w:rPr>
          <w:rFonts w:ascii="黑体" w:hAnsi="黑体" w:eastAsia="黑体"/>
          <w:sz w:val="48"/>
          <w:szCs w:val="48"/>
        </w:rPr>
      </w:pPr>
      <w:r>
        <w:rPr>
          <w:rFonts w:ascii="黑体" w:hAnsi="黑体" w:eastAsia="黑体"/>
          <w:sz w:val="48"/>
          <w:szCs w:val="48"/>
        </w:rPr>
        <w:t>目</w:t>
      </w:r>
      <w:r>
        <w:rPr>
          <w:rFonts w:hint="eastAsia" w:ascii="黑体" w:hAnsi="黑体" w:eastAsia="黑体"/>
          <w:sz w:val="48"/>
          <w:szCs w:val="48"/>
          <w:lang w:val="en-US" w:eastAsia="zh-CN"/>
        </w:rPr>
        <w:t xml:space="preserve">  </w:t>
      </w:r>
      <w:r>
        <w:rPr>
          <w:rFonts w:ascii="黑体" w:hAnsi="黑体" w:eastAsia="黑体"/>
          <w:sz w:val="48"/>
          <w:szCs w:val="48"/>
        </w:rPr>
        <w:t>录</w:t>
      </w:r>
    </w:p>
    <w:p>
      <w:pPr>
        <w:pStyle w:val="5"/>
        <w:keepNext w:val="0"/>
        <w:keepLines w:val="0"/>
        <w:pageBreakBefore w:val="0"/>
        <w:widowControl/>
        <w:kinsoku/>
        <w:wordWrap/>
        <w:overflowPunct/>
        <w:topLinePunct w:val="0"/>
        <w:autoSpaceDE/>
        <w:autoSpaceDN/>
        <w:bidi w:val="0"/>
        <w:adjustRightInd/>
        <w:spacing w:line="600" w:lineRule="exact"/>
        <w:jc w:val="both"/>
        <w:textAlignment w:val="auto"/>
        <w:rPr>
          <w:rFonts w:ascii="黑体" w:hAnsi="黑体" w:eastAsia="黑体" w:cstheme="minorBidi"/>
          <w:sz w:val="28"/>
          <w:szCs w:val="28"/>
        </w:rPr>
      </w:pPr>
    </w:p>
    <w:p>
      <w:pPr>
        <w:pStyle w:val="21"/>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第一部分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单位概况</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一、职能简介…………</w:t>
      </w:r>
      <w:r>
        <w:rPr>
          <w:rFonts w:hint="eastAsia" w:ascii="仿宋_GB2312" w:hAnsi="仿宋_GB2312" w:eastAsia="仿宋_GB2312" w:cs="仿宋_GB2312"/>
          <w:color w:val="auto"/>
          <w:spacing w:val="-6"/>
          <w:kern w:val="2"/>
          <w:sz w:val="32"/>
          <w:szCs w:val="32"/>
          <w:lang w:val="en-US" w:eastAsia="zh-CN" w:bidi="ar-SA"/>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二、2020年重点工作完成情况</w:t>
      </w:r>
      <w:r>
        <w:rPr>
          <w:rFonts w:hint="eastAsia" w:ascii="仿宋_GB2312" w:hAnsi="仿宋_GB2312" w:eastAsia="仿宋_GB2312" w:cs="仿宋_GB2312"/>
          <w:color w:val="auto"/>
          <w:spacing w:val="-17"/>
          <w:kern w:val="2"/>
          <w:sz w:val="32"/>
          <w:szCs w:val="32"/>
          <w:lang w:val="en-US" w:eastAsia="zh-CN" w:bidi="ar-SA"/>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color w:val="auto"/>
          <w:spacing w:val="-17"/>
          <w:kern w:val="2"/>
          <w:sz w:val="32"/>
          <w:szCs w:val="32"/>
          <w:lang w:val="en-US" w:eastAsia="zh-CN" w:bidi="ar-SA"/>
        </w:rPr>
        <w:t>………</w:t>
      </w:r>
      <w:r>
        <w:rPr>
          <w:rFonts w:hint="eastAsia"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lang w:val="en-US" w:eastAsia="zh-CN"/>
        </w:rPr>
        <w:t>3</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机构设置情况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pacing w:val="-17"/>
          <w:kern w:val="2"/>
          <w:sz w:val="32"/>
          <w:szCs w:val="32"/>
          <w:lang w:val="en-US" w:eastAsia="zh-CN" w:bidi="ar-SA"/>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color w:val="auto"/>
          <w:spacing w:val="-17"/>
          <w:kern w:val="2"/>
          <w:sz w:val="32"/>
          <w:szCs w:val="32"/>
          <w:lang w:val="en-US" w:eastAsia="zh-CN" w:bidi="ar-SA"/>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color w:val="auto"/>
          <w:spacing w:val="0"/>
          <w:kern w:val="2"/>
          <w:sz w:val="32"/>
          <w:szCs w:val="32"/>
          <w:lang w:val="en-US" w:eastAsia="zh-CN" w:bidi="ar-SA"/>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lang w:val="en-US" w:eastAsia="zh-CN"/>
        </w:rPr>
        <w:t>11</w:t>
      </w:r>
    </w:p>
    <w:p>
      <w:pPr>
        <w:pStyle w:val="21"/>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第二部分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0"/>
          <w:sz w:val="32"/>
          <w:szCs w:val="32"/>
        </w:rPr>
        <w:t>2020年度</w:t>
      </w:r>
      <w:r>
        <w:rPr>
          <w:rFonts w:hint="eastAsia" w:ascii="仿宋_GB2312" w:hAnsi="仿宋_GB2312" w:eastAsia="仿宋_GB2312" w:cs="仿宋_GB2312"/>
          <w:spacing w:val="0"/>
          <w:sz w:val="32"/>
          <w:szCs w:val="32"/>
          <w:lang w:eastAsia="zh-CN"/>
        </w:rPr>
        <w:t>单位</w:t>
      </w:r>
      <w:r>
        <w:rPr>
          <w:rFonts w:hint="eastAsia" w:ascii="仿宋_GB2312" w:hAnsi="仿宋_GB2312" w:eastAsia="仿宋_GB2312" w:cs="仿宋_GB2312"/>
          <w:spacing w:val="0"/>
          <w:sz w:val="32"/>
          <w:szCs w:val="32"/>
        </w:rPr>
        <w:t>决算情况说明…………………</w:t>
      </w:r>
      <w:r>
        <w:rPr>
          <w:rFonts w:hint="eastAsia" w:ascii="仿宋_GB2312" w:hAnsi="仿宋_GB2312" w:eastAsia="仿宋_GB2312" w:cs="仿宋_GB2312"/>
          <w:sz w:val="32"/>
          <w:szCs w:val="32"/>
          <w:lang w:val="en-US" w:eastAsia="zh-CN"/>
        </w:rPr>
        <w:t>13</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一、收入</w:t>
      </w:r>
      <w:r>
        <w:rPr>
          <w:rFonts w:hint="eastAsia" w:ascii="仿宋_GB2312" w:hAnsi="仿宋_GB2312" w:eastAsia="仿宋_GB2312" w:cs="仿宋_GB2312"/>
          <w:spacing w:val="6"/>
          <w:sz w:val="32"/>
          <w:szCs w:val="32"/>
        </w:rPr>
        <w:t>支出决算总体情况说明</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z w:val="32"/>
          <w:szCs w:val="32"/>
          <w:lang w:val="en-US" w:eastAsia="zh-CN"/>
        </w:rPr>
        <w:t>13</w:t>
      </w:r>
    </w:p>
    <w:p>
      <w:pPr>
        <w:pStyle w:val="22"/>
        <w:keepNext w:val="0"/>
        <w:keepLines w:val="0"/>
        <w:pageBreakBefore w:val="0"/>
        <w:widowControl w:val="0"/>
        <w:kinsoku/>
        <w:wordWrap/>
        <w:overflowPunct/>
        <w:topLinePunct w:val="0"/>
        <w:autoSpaceDE/>
        <w:autoSpaceDN/>
        <w:bidi w:val="0"/>
        <w:adjustRightInd/>
        <w:snapToGrid w:val="0"/>
        <w:spacing w:line="600" w:lineRule="exact"/>
        <w:ind w:left="640" w:leftChars="320"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二、收入决算情况说明</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三、支出决算情况说明</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四、财政拨款收入支出决算总体情况说明</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五、</w:t>
      </w:r>
      <w:r>
        <w:rPr>
          <w:rFonts w:hint="eastAsia" w:ascii="仿宋_GB2312" w:hAnsi="仿宋_GB2312" w:eastAsia="仿宋_GB2312" w:cs="仿宋_GB2312"/>
          <w:spacing w:val="-11"/>
          <w:sz w:val="32"/>
          <w:szCs w:val="32"/>
        </w:rPr>
        <w:t>一般公共预算财政拨款支出决算情况</w:t>
      </w:r>
      <w:r>
        <w:rPr>
          <w:rFonts w:hint="eastAsia" w:ascii="仿宋_GB2312" w:hAnsi="仿宋_GB2312" w:eastAsia="仿宋_GB2312" w:cs="仿宋_GB2312"/>
          <w:spacing w:val="-6"/>
          <w:sz w:val="32"/>
          <w:szCs w:val="32"/>
        </w:rPr>
        <w:t>说明</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23"/>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六、一般公共</w:t>
      </w:r>
      <w:r>
        <w:rPr>
          <w:rFonts w:hint="eastAsia" w:ascii="仿宋_GB2312" w:hAnsi="仿宋_GB2312" w:eastAsia="仿宋_GB2312" w:cs="仿宋_GB2312"/>
          <w:spacing w:val="6"/>
          <w:sz w:val="32"/>
          <w:szCs w:val="32"/>
        </w:rPr>
        <w:t>预算</w:t>
      </w:r>
      <w:r>
        <w:rPr>
          <w:rFonts w:hint="eastAsia" w:ascii="仿宋_GB2312" w:hAnsi="仿宋_GB2312" w:eastAsia="仿宋_GB2312" w:cs="仿宋_GB2312"/>
          <w:sz w:val="32"/>
          <w:szCs w:val="32"/>
        </w:rPr>
        <w:t>财</w:t>
      </w:r>
      <w:r>
        <w:rPr>
          <w:rFonts w:hint="eastAsia" w:ascii="仿宋_GB2312" w:hAnsi="仿宋_GB2312" w:eastAsia="仿宋_GB2312" w:cs="仿宋_GB2312"/>
          <w:spacing w:val="6"/>
          <w:sz w:val="32"/>
          <w:szCs w:val="32"/>
        </w:rPr>
        <w:t>政拨款基本支出</w:t>
      </w:r>
      <w:r>
        <w:rPr>
          <w:rFonts w:hint="eastAsia" w:ascii="仿宋_GB2312" w:hAnsi="仿宋_GB2312" w:eastAsia="仿宋_GB2312" w:cs="仿宋_GB2312"/>
          <w:sz w:val="32"/>
          <w:szCs w:val="32"/>
        </w:rPr>
        <w:t>决算情</w:t>
      </w:r>
      <w:r>
        <w:rPr>
          <w:rFonts w:hint="eastAsia" w:ascii="仿宋_GB2312" w:hAnsi="仿宋_GB2312" w:eastAsia="仿宋_GB2312" w:cs="仿宋_GB2312"/>
          <w:spacing w:val="6"/>
          <w:sz w:val="32"/>
          <w:szCs w:val="32"/>
        </w:rPr>
        <w:t>况说明……</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七、“</w:t>
      </w:r>
      <w:r>
        <w:rPr>
          <w:rFonts w:hint="eastAsia" w:ascii="仿宋_GB2312" w:hAnsi="仿宋_GB2312" w:eastAsia="仿宋_GB2312" w:cs="仿宋_GB2312"/>
          <w:spacing w:val="0"/>
          <w:sz w:val="32"/>
          <w:szCs w:val="32"/>
        </w:rPr>
        <w:t>三公”</w:t>
      </w:r>
      <w:r>
        <w:rPr>
          <w:rFonts w:hint="eastAsia" w:ascii="仿宋_GB2312" w:hAnsi="仿宋_GB2312" w:eastAsia="仿宋_GB2312" w:cs="仿宋_GB2312"/>
          <w:spacing w:val="-6"/>
          <w:sz w:val="32"/>
          <w:szCs w:val="32"/>
        </w:rPr>
        <w:t>经费</w:t>
      </w:r>
      <w:r>
        <w:rPr>
          <w:rFonts w:hint="eastAsia" w:ascii="仿宋_GB2312" w:hAnsi="仿宋_GB2312" w:eastAsia="仿宋_GB2312" w:cs="仿宋_GB2312"/>
          <w:spacing w:val="0"/>
          <w:sz w:val="32"/>
          <w:szCs w:val="32"/>
        </w:rPr>
        <w:t>财政拨</w:t>
      </w:r>
      <w:r>
        <w:rPr>
          <w:rFonts w:hint="eastAsia" w:ascii="仿宋_GB2312" w:hAnsi="仿宋_GB2312" w:eastAsia="仿宋_GB2312" w:cs="仿宋_GB2312"/>
          <w:spacing w:val="-6"/>
          <w:sz w:val="32"/>
          <w:szCs w:val="32"/>
        </w:rPr>
        <w:t>款支出</w:t>
      </w:r>
      <w:r>
        <w:rPr>
          <w:rFonts w:hint="eastAsia" w:ascii="仿宋_GB2312" w:hAnsi="仿宋_GB2312" w:eastAsia="仿宋_GB2312" w:cs="仿宋_GB2312"/>
          <w:sz w:val="32"/>
          <w:szCs w:val="32"/>
        </w:rPr>
        <w:t>决</w:t>
      </w:r>
      <w:r>
        <w:rPr>
          <w:rFonts w:hint="eastAsia" w:ascii="仿宋_GB2312" w:hAnsi="仿宋_GB2312" w:eastAsia="仿宋_GB2312" w:cs="仿宋_GB2312"/>
          <w:spacing w:val="-6"/>
          <w:sz w:val="32"/>
          <w:szCs w:val="32"/>
        </w:rPr>
        <w:t>算情况说明……………</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八、政府</w:t>
      </w:r>
      <w:r>
        <w:rPr>
          <w:rFonts w:hint="eastAsia" w:ascii="仿宋_GB2312" w:hAnsi="仿宋_GB2312" w:eastAsia="仿宋_GB2312" w:cs="仿宋_GB2312"/>
          <w:spacing w:val="0"/>
          <w:sz w:val="32"/>
          <w:szCs w:val="32"/>
        </w:rPr>
        <w:t>性</w:t>
      </w:r>
      <w:r>
        <w:rPr>
          <w:rFonts w:hint="eastAsia" w:ascii="仿宋_GB2312" w:hAnsi="仿宋_GB2312" w:eastAsia="仿宋_GB2312" w:cs="仿宋_GB2312"/>
          <w:spacing w:val="6"/>
          <w:sz w:val="32"/>
          <w:szCs w:val="32"/>
        </w:rPr>
        <w:t>基金预算支出决算情况说明……</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九、国有资本</w:t>
      </w:r>
      <w:r>
        <w:rPr>
          <w:rFonts w:hint="eastAsia" w:ascii="仿宋_GB2312" w:hAnsi="仿宋_GB2312" w:eastAsia="仿宋_GB2312" w:cs="仿宋_GB2312"/>
          <w:spacing w:val="6"/>
          <w:sz w:val="32"/>
          <w:szCs w:val="32"/>
        </w:rPr>
        <w:t>经营预算支出决算情况说</w:t>
      </w:r>
      <w:r>
        <w:rPr>
          <w:rFonts w:hint="eastAsia" w:ascii="仿宋_GB2312" w:hAnsi="仿宋_GB2312" w:eastAsia="仿宋_GB2312" w:cs="仿宋_GB2312"/>
          <w:sz w:val="32"/>
          <w:szCs w:val="32"/>
        </w:rPr>
        <w:t>明</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p>
    <w:p>
      <w:pPr>
        <w:pStyle w:val="22"/>
        <w:keepNext w:val="0"/>
        <w:keepLines w:val="0"/>
        <w:pageBreakBefore w:val="0"/>
        <w:widowControl w:val="0"/>
        <w:kinsoku/>
        <w:wordWrap/>
        <w:overflowPunct/>
        <w:topLinePunct w:val="0"/>
        <w:autoSpaceDE/>
        <w:autoSpaceDN/>
        <w:bidi w:val="0"/>
        <w:adjustRightInd/>
        <w:snapToGrid w:val="0"/>
        <w:spacing w:line="600" w:lineRule="exact"/>
        <w:ind w:left="640" w:leftChars="320"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十、其他</w:t>
      </w:r>
      <w:r>
        <w:rPr>
          <w:rFonts w:hint="eastAsia" w:ascii="仿宋_GB2312" w:hAnsi="仿宋_GB2312" w:eastAsia="仿宋_GB2312" w:cs="仿宋_GB2312"/>
          <w:spacing w:val="6"/>
          <w:sz w:val="32"/>
          <w:szCs w:val="32"/>
        </w:rPr>
        <w:t>重要事项的情况说明…</w:t>
      </w:r>
      <w:r>
        <w:rPr>
          <w:rFonts w:hint="eastAsia" w:ascii="仿宋_GB2312" w:hAnsi="仿宋_GB2312" w:eastAsia="仿宋_GB2312" w:cs="仿宋_GB2312"/>
          <w:sz w:val="32"/>
          <w:szCs w:val="32"/>
        </w:rPr>
        <w:t>…</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第三部分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名词解释</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z w:val="32"/>
          <w:szCs w:val="32"/>
          <w:lang w:val="en-US" w:eastAsia="zh-CN"/>
        </w:rPr>
        <w:t>35</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仿宋_GB2312" w:hAnsi="仿宋_GB2312" w:eastAsia="仿宋_GB2312" w:cs="仿宋_GB2312"/>
          <w:spacing w:val="-11"/>
          <w:sz w:val="32"/>
          <w:szCs w:val="32"/>
          <w:lang w:val="en-US" w:eastAsia="zh-CN"/>
        </w:rPr>
      </w:pPr>
      <w:r>
        <w:rPr>
          <w:rFonts w:hint="eastAsia" w:ascii="仿宋_GB2312" w:hAnsi="仿宋_GB2312" w:eastAsia="仿宋_GB2312" w:cs="仿宋_GB2312"/>
          <w:sz w:val="32"/>
          <w:szCs w:val="32"/>
        </w:rPr>
        <w:t xml:space="preserve">第四部分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val="en-US" w:eastAsia="zh-CN"/>
        </w:rPr>
        <w:t>40</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第五部分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附表…</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z w:val="32"/>
          <w:szCs w:val="32"/>
          <w:lang w:val="en-US" w:eastAsia="zh-CN"/>
        </w:rPr>
        <w:t>58</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五、财政拨款支出决算明细表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七、一般公共预算财政拨款支出决算明细表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八、一般公共预算财政拨款基本支出决算表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十、一般公共预算财政拨款“三公”经费支出决算表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十一、政府性基金预算财政拨款收入支出决算表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十二、政府性基金预算财政拨款“三公”经费支出决算表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十三、国有资本经营预算财政拨款收入支出决算表</w:t>
      </w:r>
    </w:p>
    <w:p>
      <w:pPr>
        <w:pStyle w:val="22"/>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ascii="黑体" w:hAnsi="黑体" w:eastAsia="黑体"/>
          <w:b/>
        </w:rPr>
      </w:pPr>
      <w:r>
        <w:rPr>
          <w:rFonts w:hint="eastAsia" w:ascii="仿宋_GB2312" w:hAnsi="仿宋_GB2312" w:eastAsia="仿宋_GB2312" w:cs="仿宋_GB2312"/>
          <w:sz w:val="32"/>
          <w:szCs w:val="32"/>
        </w:rPr>
        <w:t>十四、国有资本经营预算财政拨款支出决算表</w:t>
      </w:r>
    </w:p>
    <w:p>
      <w:pPr>
        <w:pStyle w:val="5"/>
        <w:widowControl/>
        <w:jc w:val="center"/>
        <w:rPr>
          <w:rFonts w:ascii="黑体" w:hAnsi="黑体" w:eastAsia="黑体"/>
          <w:b/>
        </w:rPr>
      </w:pPr>
    </w:p>
    <w:p>
      <w:pPr>
        <w:pStyle w:val="5"/>
        <w:widowControl/>
        <w:jc w:val="center"/>
        <w:rPr>
          <w:rFonts w:ascii="黑体" w:hAnsi="黑体" w:eastAsia="黑体"/>
          <w:b/>
        </w:rPr>
      </w:pPr>
    </w:p>
    <w:p>
      <w:pPr>
        <w:pStyle w:val="5"/>
        <w:widowControl/>
        <w:jc w:val="center"/>
        <w:rPr>
          <w:rFonts w:ascii="黑体" w:hAnsi="黑体" w:eastAsia="黑体"/>
          <w:b/>
        </w:rPr>
      </w:pPr>
    </w:p>
    <w:p>
      <w:pPr>
        <w:pStyle w:val="5"/>
        <w:widowControl/>
        <w:jc w:val="center"/>
        <w:rPr>
          <w:rFonts w:ascii="黑体" w:hAnsi="黑体" w:eastAsia="黑体"/>
          <w:b/>
        </w:rPr>
      </w:pPr>
    </w:p>
    <w:p>
      <w:pPr>
        <w:pStyle w:val="5"/>
        <w:widowControl/>
        <w:jc w:val="center"/>
        <w:rPr>
          <w:rFonts w:ascii="黑体" w:hAnsi="黑体" w:eastAsia="黑体"/>
          <w:b/>
        </w:rPr>
      </w:pPr>
    </w:p>
    <w:p>
      <w:pPr>
        <w:pStyle w:val="5"/>
        <w:widowControl/>
        <w:jc w:val="center"/>
        <w:rPr>
          <w:rFonts w:ascii="黑体" w:hAnsi="黑体" w:eastAsia="黑体"/>
          <w:b/>
        </w:rPr>
      </w:pPr>
    </w:p>
    <w:p>
      <w:pPr>
        <w:pStyle w:val="5"/>
        <w:widowControl/>
        <w:jc w:val="center"/>
        <w:rPr>
          <w:rFonts w:ascii="黑体" w:hAnsi="黑体" w:eastAsia="黑体"/>
          <w:b/>
        </w:rPr>
      </w:pPr>
    </w:p>
    <w:p>
      <w:pPr>
        <w:pStyle w:val="5"/>
        <w:widowControl/>
        <w:jc w:val="center"/>
        <w:rPr>
          <w:rFonts w:ascii="黑体" w:hAnsi="黑体" w:eastAsia="黑体"/>
          <w:b/>
        </w:rPr>
      </w:pPr>
    </w:p>
    <w:p>
      <w:pPr>
        <w:pStyle w:val="5"/>
        <w:widowControl/>
        <w:jc w:val="center"/>
        <w:rPr>
          <w:rFonts w:ascii="黑体" w:hAnsi="黑体" w:eastAsia="黑体"/>
          <w:b/>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sectPr>
          <w:footerReference r:id="rId4" w:type="default"/>
          <w:pgSz w:w="11906" w:h="16838"/>
          <w:pgMar w:top="2041" w:right="1587" w:bottom="2041" w:left="1587" w:header="851" w:footer="1304" w:gutter="0"/>
          <w:pgNumType w:fmt="decimal" w:start="1"/>
          <w:formProt w:val="0"/>
          <w:docGrid w:type="lines" w:linePitch="312" w:charSpace="238796"/>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第一部分</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单位概况</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黑体" w:hAnsi="黑体" w:eastAsia="黑体"/>
          <w:color w:val="000000"/>
          <w:sz w:val="32"/>
          <w:szCs w:val="32"/>
        </w:rPr>
      </w:pP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黑体" w:hAnsi="黑体" w:eastAsia="黑体" w:cs="黑体"/>
          <w:color w:val="000000"/>
          <w:sz w:val="32"/>
          <w:szCs w:val="32"/>
        </w:rPr>
      </w:pPr>
      <w:bookmarkStart w:id="13" w:name="_Toc15377197"/>
      <w:bookmarkStart w:id="14" w:name="_Toc15396600"/>
      <w:r>
        <w:rPr>
          <w:rFonts w:ascii="黑体" w:hAnsi="黑体" w:eastAsia="黑体" w:cs="黑体"/>
          <w:color w:val="000000"/>
          <w:sz w:val="32"/>
          <w:szCs w:val="32"/>
        </w:rPr>
        <w:t>一、基本职能及主要工作</w:t>
      </w:r>
      <w:bookmarkEnd w:id="13"/>
      <w:bookmarkEnd w:id="14"/>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楷体_GB2312" w:hAnsi="楷体_GB2312" w:eastAsia="楷体_GB2312" w:cs="楷体_GB2312"/>
          <w:color w:val="000000"/>
          <w:sz w:val="32"/>
          <w:szCs w:val="32"/>
        </w:rPr>
      </w:pPr>
      <w:bookmarkStart w:id="15" w:name="_Toc15378445"/>
      <w:bookmarkStart w:id="16" w:name="_Toc15377198"/>
      <w:r>
        <w:rPr>
          <w:rFonts w:ascii="楷体_GB2312" w:hAnsi="楷体_GB2312" w:eastAsia="楷体_GB2312" w:cs="楷体_GB2312"/>
          <w:color w:val="000000"/>
          <w:sz w:val="32"/>
          <w:szCs w:val="32"/>
        </w:rPr>
        <w:t>（一）主要职能</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司法厅是主管全省司法行政工作的省政府组成部门,负责贯彻落实党中央关于全面依法治国的方针政策和省委的决策部署,在履行职责过程中坚持和加强党对全面依法治国工作的集中统一领导。其主要工作包括：承担全面依法治国、依法治省重大问题的政策研究，协调有关方面提出全面依法治省规划建议，负责有关重大决策部署督察工作；承担统筹规划立法工作的责任。协调有关方面提出立法规划和年度立法工作计划的建议，负责跟踪了解各部门对立法工作计划的落实情况，加强组织实施和督促指导，研究提出立法与改革决策相衔接的意见、措施。负责面向社会征集地方性法规、规章制定项目建议；负责起草或者组织起草地方性法规、省政府规章草案。负责省政府各部门报送省政府的地方性法规、规章草案的审查工作。负责立法协调；承担省政府规章的解释、立法后评估工作。负责协调各地、各部门实施法律、法规、规章中的有关争议和问题。承办省政府规章的清理、编纂、翻译工作。承办省政府规章报送备案工作。负责市（州）政府规章备案审查工作；负责省政府规范性文件、重大行政决策发布前的合法性审查。承办省政府规范性文件的报送备案工作。负责各市（州）政府和省政府各部门规范性文件报送省政府的备案审查工作。组织开展规范性文件清理；承担统筹推进法治政府建设的责任。指导监督省政府各部门、省以下各级政府依法行政工作。负责综合协调、监督检查行政执法，承担推进行政执法体制改革有关工作，推进严格规范公正文明执法。指导监督全省行政复议、行政应诉和行政赔偿工作，承办向省政府申请的行政复议、行政赔偿案件，代理省政府行政应诉案件；承担统筹规划法治社会建设的责任。负责拟订法治宣传教育规划，组织实施普法宣传工作，组织对外法治宣传。推动人民参与和促进法治建设。指导依法治理和法治创建工作。指导调解工作。负责并指导人民监督员的选任管理工作。指导人民陪审员选任工作。推进司法所建设。将安全生产、职业健康法律法规纳入公民普法教育重要内容并会同有关部门开展宣传普及，做好职责范围内的安全生产工作；负责全省监狱管理工作。负责监狱系统党的建设、党风廉政建设和领导班子建设，指导监督刑罚执行、罪犯改造的工作。指导管理社区矫正工作。指导刑满释放人员安置</w:t>
      </w:r>
      <w:r>
        <w:rPr>
          <w:rFonts w:hint="eastAsia" w:ascii="仿宋_GB2312" w:hAnsi="仿宋_GB2312" w:eastAsia="仿宋_GB2312" w:cs="仿宋_GB2312"/>
          <w:color w:val="000000"/>
          <w:sz w:val="32"/>
          <w:szCs w:val="32"/>
        </w:rPr>
        <w:t>帮教</w:t>
      </w:r>
      <w:r>
        <w:rPr>
          <w:rFonts w:ascii="仿宋_GB2312" w:hAnsi="仿宋_GB2312" w:eastAsia="仿宋_GB2312" w:cs="仿宋_GB2312"/>
          <w:color w:val="000000"/>
          <w:sz w:val="32"/>
          <w:szCs w:val="32"/>
        </w:rPr>
        <w:t>工作；负责全省司法行政戒毒管理工作。负责司法行政戒毒系统党的建设、党风廉政建设和领导班子建设。指导监督本系统强制隔离戒毒执行和戒毒康复工作。对社区戒毒和社区康复工作提供指导、支持和协助</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负责拟订全省公共法律服务体系建设规划并指导实施，统筹和布局全省城乡、区域法律服务资源。指导监督律师、法律援助、司法鉴定、公证、仲裁和基层法律服务管理工作</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负责全省国家统一法律职业资格考试的组织实施工作。负责全省国家统一法律职业资格管理工作。负责规划和指导法律职业人员入职前培训工作</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负责并指导本系统行政审批工作。负责全省外来企业投诉处理和民营企业法律服务工作</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负责本系统枪支、弹药、服装和警车管理工作。指导监督本系统财务、装备、设施、场所等保障工作。指导监督监狱系统、司法行政戒毒系统和四川司法警官职业学院的计划财务工作。负责监狱系统、司法行政戒毒系统、四川司法警官职业学院及厅直属单位内部审计工作</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规划、协调、指导法治人才队伍建设相关工作，指导监督本系统队伍建设。负责本系统人民警察警务管理和警务督察工作。负责四川司法警官职业学院领导班子建设，协助市（州）管理司法局领导干部。</w:t>
      </w:r>
      <w:bookmarkEnd w:id="15"/>
      <w:bookmarkEnd w:id="16"/>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楷体_GB2312" w:hAnsi="楷体_GB2312" w:eastAsia="楷体_GB2312" w:cs="楷体_GB2312"/>
          <w:color w:val="000000"/>
          <w:sz w:val="32"/>
          <w:szCs w:val="32"/>
        </w:rPr>
      </w:pPr>
      <w:bookmarkStart w:id="17" w:name="_Toc15378446"/>
      <w:bookmarkStart w:id="18" w:name="_Toc15377199"/>
      <w:r>
        <w:rPr>
          <w:rFonts w:ascii="楷体_GB2312" w:hAnsi="楷体_GB2312" w:eastAsia="楷体_GB2312" w:cs="楷体_GB2312"/>
          <w:color w:val="000000"/>
          <w:sz w:val="32"/>
          <w:szCs w:val="32"/>
        </w:rPr>
        <w:t>（二）2020年重点工作完成情况</w:t>
      </w:r>
      <w:bookmarkEnd w:id="17"/>
      <w:bookmarkEnd w:id="18"/>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全力做好新冠肺炎疫情防控</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一是强力推动依法防控。在省、市、县三级贯通式成立合法性审查等5个法治专业性指导小组，推动出台指挥部第15号公告，拟制四川省重大传染病疫情应对办法，出台《充分发挥司法行政职能作用 为我省疫情防控提供优质高效法律服务和法治保障的意见》，开展“疫情防控、法治同行”专项行动，推出“战疫情·四川普法在行动”系列报道130期，发布系列法律法规指引38期、案例信息1100万余条，确保疫情防控工作依法有序开展。</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是狠抓监所疫情防控。切实履行“外防输入、内防反弹”主体责任，将监所全面纳入地方疫情防控体系，采取最严措施实施全封闭式管理，在全国率先出台并先后6次动态修订疫情防控“1+14”工作标准，排查人员83万余人（次），全省监所保持疫情</w:t>
      </w:r>
      <w:r>
        <w:rPr>
          <w:rFonts w:hint="eastAsia" w:ascii="仿宋_GB2312" w:hAnsi="仿宋_GB2312" w:eastAsia="仿宋_GB2312" w:cs="仿宋_GB2312"/>
          <w:color w:val="000000"/>
          <w:sz w:val="32"/>
          <w:szCs w:val="32"/>
        </w:rPr>
        <w:t>防控</w:t>
      </w:r>
      <w:r>
        <w:rPr>
          <w:rFonts w:ascii="仿宋_GB2312" w:hAnsi="仿宋_GB2312" w:eastAsia="仿宋_GB2312" w:cs="仿宋_GB2312"/>
          <w:color w:val="000000"/>
          <w:sz w:val="32"/>
          <w:szCs w:val="32"/>
        </w:rPr>
        <w:t>零输入、零感染、零舆情。临时衔接安置外省籍刑释解戒解矫人员70人，实现疫情防控、衔接安置“双安全”。选派11名医护人员和50名女警紧急驰援湖北，受到司法部表彰。</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三是助力企业复工复产。组织全省监狱企业迅速转产民用防护口罩6000余万只、隔离服半成品及医用工作服1500万套。开展涉疫矛盾纠纷排查化解，推出法律服务绿色通道、费用减免、延时服务、全程网办等便民举措。出台《关于支持复工复产规范疫情防控行政执法工作的意见》，探索“地摊经济”包容审慎监管，组建法律服务团228个，为2.2万余家因疫情影</w:t>
      </w:r>
      <w:r>
        <w:rPr>
          <w:rFonts w:ascii="仿宋_GB2312" w:hAnsi="仿宋_GB2312" w:eastAsia="仿宋_GB2312" w:cs="仿宋_GB2312"/>
          <w:color w:val="000000"/>
          <w:spacing w:val="-6"/>
          <w:w w:val="99"/>
          <w:sz w:val="32"/>
          <w:szCs w:val="32"/>
        </w:rPr>
        <w:t>响复工困难的企业开展“一对一”法律服务，助力企业纾困解难。</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积极护航经济社会高质量发展</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一是全力服务重大战略实施。深化“川渝一盘棋”思维，助推成渝地区双城经济圈法治一体化建设，与重庆市司法局签署战略合作协议和20余个专项合作协议、工作方案，协同打造区域法治、法律服务、监管安全、法治人才“四个共同体”，有序推进立法协同、执法联动、纠纷联调、法律服务资源共享。狠抓“天府中央法务区建设总体方案”落实，全面梳理25项工作任务，请求司法部19项政策（项目）支持，确定6家法律服务机构首批入驻，全面启动政府购买法律服务。</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二是助力决战决胜脱贫攻坚。出台乡村振兴法治工作规划，开展“脱贫攻坚 法治同行”专项法治宣传行动，召开全省司法所服务乡村振兴现场推进会，全面落实贫困村法律顾问配备，在全系统选派414名干部开展驻村帮扶，全系统181个定点帮扶贫困村全部如期脱贫“摘帽”。先后与甘孜州、凉山州等多地政府签订农副产品“以购代扶”协议12份，累计购买贫困地区农副产品3650.98万元，帮助革命老区、涉藏地区、彝区2.6万贫困群众人均年增收800—3000元，“以购代扶”做法在全国司法行政系统推广。</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三是营造良好法治营商环境。建立经济区、工业园、商协会企业投诉服务工作站27个，与重庆市、云南省、广东省建立跨行政区域外来企业投诉处理协作机制，帮助企业实际挽回损失约2.2亿元。持续优化政务服务，全面推行证明事项告知承诺制，梳理保留各省直部门证明事项796项，确定告知承诺制证明事项148项。司法厅行政许可实现现场办结率、按时办结率、群众满意率三个100%，连续十年被评为省政务服务大厅先进窗口单位。</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统筹推进法治政府建设</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一是全面加强法治政府建设统筹。切实履行法治政府建设工作领导小组办公室职能，推动《四川省法治政府建设实施方案（2016—2020年）》落实见效，组织开展法治政府建设第三方评估，目标任务完成率94%。泸州市被命名为全国法治政府建设示范地区、成都市金牛区“工程建设项目审批并联并行办理机制”被命名为第一批全国法治政府建设示范项目。组织评选四川省法治政府建设创新实践案例20件。</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是切实提升行政立法质量。充分发挥地方立法“政府依托”作用，以“陈述+答辩”方式优化立法项目审查论证机制，上线立法项目清单化管理系统，建立立法咨询专家库和立法基层联系点，聚焦重点领域和新兴领域立法，报请审议《四川省优化营商环境条例》等地方性法规草案和政府规章21件，召开专题立法工作推进会指导“三州一市”做好森林草原防灭火立法工作。</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三是积极助推部门依法行政。全面推行行政执法“三项制度”，探索制定行政执法标准化体系，组织评选百个行政执法优秀（典型）案例。在全国率先组织开展人民群众最不满意行政执法突出问题承诺整改活动。公布省本级行政规范性文件制定主体清单，建立合法性审查清单和第三方评估机制，创新备案审查、交叉审查和专家协审，全年审查政策文件25251件，办理规章、规范性文件备案审查319件。推进行政复议体制改革，健全“府院”联席机制，修订四川省行政复议听证规则，办理行政复议案件3038件，依法撤销或责令纠正699件。</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全力助推平安四川建设</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一是强化城乡基层依法治理。开展“七五”普法总结验收，统筹开展“法治四川行”一月一主题、宪法宣传周、民法典学习宣传系列活动4.</w:t>
      </w:r>
      <w:r>
        <w:rPr>
          <w:rFonts w:ascii="仿宋_GB2312" w:hAnsi="仿宋_GB2312" w:eastAsia="仿宋_GB2312" w:cs="仿宋_GB2312"/>
          <w:color w:val="000000"/>
          <w:sz w:val="32"/>
          <w:szCs w:val="32"/>
        </w:rPr>
        <w:t>3万余场（次）。深化法治乡村建设，大力实施“法律明白人”培养工程，推荐申报“全国民主法治示范村（社区）”65个。开展“坚持发展‘枫桥经验’实现矛盾不上交三年行动”，深化“诉非衔接”“检调、公调、访调对接”，全年调解各类矛盾纠纷37.3万件，调解成功率98%。切实履行重点人群组组长单位职责，逐一落实安置帮教对象服务管理责任，服刑人员、戒毒人员刑满释放或解戒离所100%无缝衔接，经验被中央政法委刊发推广。</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是助力民族地区长治久安。强化涉藏地区依法常态化治理，持续开展宪法学习宣传教育三年行动、律师公证法律服务团送法进寺庙活动，全面推进“一寺一策”法治宣传，发放双语普法“四书一碟”8.5万余册（套）。建成“一院五区”收治格局（即：省中心医院、精神病专区、传染病专区、女性艾滋病专区、男性艾滋病专区、凉山病残专区），依托全系统8个公共法律服务中心、7个禁毒教育基地、34个社区戒毒（康复）指导站，帮助昭觉县、布拖县实现国家禁毒委“重点关注县”摘帽。</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三是纵深推进扫黑除恶专项斗争。积极参与“六清”行动，充分发挥监所“第二战场”作用，持续深挖彻查各类线索，构建司法行政参与专项斗争涉黑恶线索摸排移交全链条覆盖、律师代理涉黑恶案件全流程指导、涉黑恶罪犯监管改造全过程规范、专项斗争宣传调解预防全方位融入四个工作体系，依法关押涉黑涉恶罪犯2029名，司法行政机关派员参与重大、涉黑恶案件现场指导622场（次），实现政治效果、法律效果、社会效果相统一。</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四是全力确保监管场所安全。构建狱（所）地“7+N”联动机制，深化联席会议、指挥调度、情报会商处置、联勤巡防、联动处置、反恐巡演、警务保障协作，在内江市召开四川省加强和改进监狱工作经验交流现场会，西南四省到会观摩，受到司法部充分肯定。加强危安犯监管改造，危安犯重大违规率控制在0.2‰以下，监管场所持续安全稳定。完善安全生产责任体系，纵深推进安全生产专项整治三年行动，全年未发生重大安全责任事故。</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持续优化公共法律服务体系</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加速推进平台建设。公共法律服务体系建设纳入省“十四五”专项规划，《四川现代公共法律服务体系建设标准化试点》纳入2020年国家标准化委员会试点项目。公共法律服务中心（站、室）实现市县乡村四级全覆</w:t>
      </w:r>
      <w:r>
        <w:rPr>
          <w:rFonts w:ascii="仿宋_GB2312" w:hAnsi="仿宋_GB2312" w:eastAsia="仿宋_GB2312" w:cs="仿宋_GB2312"/>
          <w:color w:val="000000"/>
          <w:sz w:val="32"/>
          <w:szCs w:val="32"/>
        </w:rPr>
        <w:t>盖，“12348”法律服务热线和网络升级为全天候24小时响应，建成亲情帮教远程视频会见系统，打通公共法律服务“最后一公里”；全覆盖设置司法所3245个，评选省级“枫桥式司法所”40个，司法所规范化建设提档升级。</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是优化法律服务供给。探索建立124项“全生命周期”法律服务清单，全面推广“三能”服务模式，创新建立民族地区法律援助对口帮扶机制，有效解决民族地区刑事辩护全覆盖落地难问题。开展“排查清理拖欠民营中小企业账款”攻坚行动，挽回企业损失约11亿元。开展根治欠薪“暖冬行动”、稳定劳动关系“春风行动”“法援惠民生、扶贫奔小康”专项活动，为农民工讨回欠薪、挽回经济损失5.9亿元。司法厅获</w:t>
      </w:r>
      <w:r>
        <w:rPr>
          <w:rFonts w:ascii="仿宋_GB2312" w:hAnsi="仿宋_GB2312" w:eastAsia="仿宋_GB2312" w:cs="仿宋_GB2312"/>
          <w:color w:val="000000"/>
          <w:spacing w:val="-6"/>
          <w:w w:val="99"/>
          <w:sz w:val="32"/>
          <w:szCs w:val="32"/>
        </w:rPr>
        <w:t>得省委、省政府“去冬今春农民工服务保障工作先进单位”表彰。</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三是加快推动行业发展。加快法律服务业发展，在境外设立律所分支机构8家，全省现有律所1702家、律师28004人，较去年分别增长10.6%、18.9%；深化公证机构体制改革，制定公证质量标准和检查细则，成立6家合作制公证处，推进59家公证机构实行自主招聘或零编制运行；推进仲裁机构内部改革，完成全省仲裁机构换证登记；推进司法鉴定管理体制改革，修订完成《四川省司法鉴定管理条例》，开展司法鉴定质量能力评价。全省共办理各类法律服务173万余件，法律服务群众满意度98.85%。</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全面提升司法行政工作质效</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一是推进规范管理运行。聚焦完善全业务的标准规范体系，系统实施制度重构，持续推进业务流程再造，建成涵盖监</w:t>
      </w:r>
      <w:r>
        <w:rPr>
          <w:rFonts w:ascii="仿宋_GB2312" w:hAnsi="仿宋_GB2312" w:eastAsia="仿宋_GB2312" w:cs="仿宋_GB2312"/>
          <w:color w:val="000000"/>
          <w:sz w:val="32"/>
          <w:szCs w:val="32"/>
        </w:rPr>
        <w:t>狱、戒毒、司法所、人民调解、司法鉴定、社区矫正等6类36项省级地方标准，建成全国首个省级层面监狱管理标准体系。深入开展监狱戒毒所“标准深化三年行动”，动态评选“管理最规范监狱（戒毒所）”“管理规范监区（大队）”，推进标准规范持续优化升级。</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是强化执法司法公正。建立执法司法态势监测指标体系，逐项明确“收押”到“释放”952个执法事项的流程、规范、文书表单和8大类226种改造行为加扣分标准；开通法律服务人员诚信公益平台，制定公证质量标准和检查细则，开展司法鉴定诚信执业星级评价，建立法律服务“好差评”制度；在省级层面集中面向社会公开选聘行政执法特邀监督员30名，开展“三项制度”落实情况专项监督，得到司法部监督组充分肯定。</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三是提升监管改造质量。出台《四川省减刑假释案件办理规定》《依法加大假释适用意见》等文件，启动罪犯改造综合评估体系，探索建立罪犯财产性判项执行机制，全年办理减假暂案件1.6万余件。出台《四川省社区矫正实施细则（试行）》，开展“智慧矫正中心”创建试点，全省在矫人员再犯罪率0.07%，低于全国平均水平。推行全国统一戒毒基本模式，首创“三级四类”医联体模式，形成“一院五区”病残戒毒人员收治格局，戒毒人员出所前诊断评估达标率100%。</w:t>
      </w:r>
    </w:p>
    <w:p>
      <w:pPr>
        <w:pStyle w:val="25"/>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四是全面从严治党管警。将36所省属监狱党组织关系收归省级统管，深入推进“四型机关”建设、基层党委（党组）“六个规范化”建设和党支部“十个标准化”建设。建立覆盖全系统的廉政风险分级分类防控体系，构建机关公务员、监狱戒毒人民警察、法律服务工作者三支队伍分类教育管理体系。开展“大培训、大练兵、大比武”活动，举办业务培训和政治轮训1737期，受训干部达9.2万余人（次）。抓好宜宾市和珙县队伍教育整顿试点，整治司法掮客“四个精准”工作法受到中政委肯定。</w:t>
      </w:r>
    </w:p>
    <w:p>
      <w:pPr>
        <w:pStyle w:val="25"/>
        <w:keepNext w:val="0"/>
        <w:keepLines w:val="0"/>
        <w:pageBreakBefore w:val="0"/>
        <w:widowControl w:val="0"/>
        <w:numPr>
          <w:ilvl w:val="0"/>
          <w:numId w:val="1"/>
        </w:numPr>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hi-IN"/>
        </w:rPr>
      </w:pPr>
      <w:r>
        <w:rPr>
          <w:rFonts w:hint="eastAsia" w:ascii="楷体_GB2312" w:hAnsi="楷体_GB2312" w:eastAsia="楷体_GB2312" w:cs="楷体_GB2312"/>
          <w:color w:val="000000"/>
          <w:sz w:val="32"/>
          <w:szCs w:val="32"/>
          <w:lang w:eastAsia="zh-CN"/>
        </w:rPr>
        <w:t>机构设置</w:t>
      </w:r>
      <w:r>
        <w:rPr>
          <w:rFonts w:ascii="楷体_GB2312" w:hAnsi="楷体_GB2312" w:eastAsia="楷体_GB2312" w:cs="楷体_GB2312"/>
          <w:color w:val="000000"/>
          <w:sz w:val="32"/>
          <w:szCs w:val="32"/>
        </w:rPr>
        <w:t>情况</w:t>
      </w:r>
    </w:p>
    <w:p>
      <w:pPr>
        <w:pStyle w:val="25"/>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00" w:firstLineChars="300"/>
        <w:jc w:val="both"/>
        <w:textAlignment w:val="auto"/>
        <w:rPr>
          <w:rFonts w:hint="eastAsia" w:ascii="仿宋_GB2312" w:hAnsi="仿宋_GB2312" w:eastAsia="仿宋_GB2312" w:cs="仿宋_GB2312"/>
          <w:color w:val="000000"/>
          <w:kern w:val="0"/>
          <w:sz w:val="32"/>
          <w:szCs w:val="32"/>
          <w:lang w:val="en-US" w:eastAsia="zh-CN" w:bidi="hi-IN"/>
        </w:rPr>
      </w:pPr>
      <w:r>
        <w:rPr>
          <w:rFonts w:hint="eastAsia"/>
          <w:lang w:val="en-US" w:eastAsia="zh-CN"/>
        </w:rPr>
        <w:t xml:space="preserve">  </w:t>
      </w:r>
      <w:r>
        <w:rPr>
          <w:rFonts w:hint="eastAsia" w:ascii="仿宋_GB2312" w:hAnsi="仿宋_GB2312" w:eastAsia="仿宋_GB2312" w:cs="仿宋_GB2312"/>
          <w:color w:val="000000"/>
          <w:kern w:val="0"/>
          <w:sz w:val="32"/>
          <w:szCs w:val="32"/>
          <w:lang w:val="en-US" w:eastAsia="zh-CN" w:bidi="hi-IN"/>
        </w:rPr>
        <w:t xml:space="preserve"> </w:t>
      </w:r>
      <w:r>
        <w:rPr>
          <w:rFonts w:hint="eastAsia" w:ascii="仿宋_GB2312" w:hAnsi="仿宋_GB2312" w:eastAsia="仿宋_GB2312" w:cs="仿宋_GB2312"/>
          <w:color w:val="000000"/>
          <w:sz w:val="32"/>
          <w:szCs w:val="32"/>
          <w:lang w:val="en-US" w:eastAsia="zh-CN"/>
        </w:rPr>
        <w:t>四川省司法厅本级由25个内设机构组成，分别是：省委依法治省办</w:t>
      </w:r>
      <w:bookmarkStart w:id="52" w:name="_GoBack"/>
      <w:bookmarkEnd w:id="52"/>
      <w:r>
        <w:rPr>
          <w:rFonts w:hint="eastAsia" w:ascii="仿宋_GB2312" w:hAnsi="仿宋_GB2312" w:eastAsia="仿宋_GB2312" w:cs="仿宋_GB2312"/>
          <w:color w:val="000000"/>
          <w:sz w:val="32"/>
          <w:szCs w:val="32"/>
          <w:lang w:val="en-US" w:eastAsia="zh-CN"/>
        </w:rPr>
        <w:t>秘书处、办公室、法治调研处、法治督察处、立法一处、立法二处、合法性审查处、社区矫正管理局、</w:t>
      </w:r>
      <w:r>
        <w:rPr>
          <w:rFonts w:hint="eastAsia" w:ascii="仿宋_GB2312" w:hAnsi="仿宋_GB2312" w:eastAsia="仿宋_GB2312" w:cs="仿宋_GB2312"/>
          <w:color w:val="000000"/>
          <w:kern w:val="0"/>
          <w:sz w:val="32"/>
          <w:szCs w:val="32"/>
          <w:lang w:val="en-US" w:eastAsia="zh-CN" w:bidi="hi-IN"/>
        </w:rPr>
        <w:t>行政复议与应诉局、</w:t>
      </w:r>
      <w:r>
        <w:rPr>
          <w:rFonts w:hint="eastAsia" w:ascii="仿宋_GB2312" w:hAnsi="仿宋_GB2312" w:eastAsia="仿宋_GB2312" w:cs="仿宋_GB2312"/>
          <w:color w:val="000000"/>
          <w:sz w:val="32"/>
          <w:szCs w:val="32"/>
          <w:lang w:val="en-US" w:eastAsia="zh-CN"/>
        </w:rPr>
        <w:t>行政执法协调监督局、普法与依法治理</w:t>
      </w:r>
      <w:r>
        <w:rPr>
          <w:rFonts w:hint="eastAsia" w:ascii="仿宋_GB2312" w:hAnsi="仿宋_GB2312" w:eastAsia="仿宋_GB2312" w:cs="仿宋_GB2312"/>
          <w:color w:val="000000"/>
          <w:kern w:val="0"/>
          <w:sz w:val="32"/>
          <w:szCs w:val="32"/>
          <w:lang w:val="en-US" w:eastAsia="zh-CN" w:bidi="hi-IN"/>
        </w:rPr>
        <w:t>处、人民参与和促进法治处、公共法律服务管理处、律师工作处、法律职业资格管理处、行政审批处、监狱与戒毒工作指导处、科技信息处、外来企业投诉处、装备财务保障处、离退休人员工作处、政治部（警务部）、组织干部处、人事警务处、教育培训处。</w:t>
      </w:r>
    </w:p>
    <w:p>
      <w:pPr>
        <w:pStyle w:val="26"/>
        <w:numPr>
          <w:ilvl w:val="0"/>
          <w:numId w:val="0"/>
        </w:numPr>
        <w:rPr>
          <w:rFonts w:hint="default" w:ascii="仿宋_GB2312" w:hAnsi="仿宋_GB2312" w:eastAsia="仿宋_GB2312" w:cs="仿宋_GB2312"/>
          <w:color w:val="000000"/>
          <w:kern w:val="0"/>
          <w:sz w:val="32"/>
          <w:szCs w:val="32"/>
          <w:lang w:val="en-US" w:eastAsia="zh-CN" w:bidi="hi-IN"/>
        </w:rPr>
      </w:pPr>
    </w:p>
    <w:p>
      <w:pPr>
        <w:pStyle w:val="26"/>
      </w:pPr>
    </w:p>
    <w:p>
      <w:pPr>
        <w:pStyle w:val="26"/>
      </w:pPr>
    </w:p>
    <w:p>
      <w:pPr>
        <w:pStyle w:val="26"/>
      </w:pPr>
    </w:p>
    <w:p>
      <w:pPr>
        <w:pStyle w:val="26"/>
        <w:tabs>
          <w:tab w:val="left" w:pos="0"/>
        </w:tabs>
        <w:snapToGrid w:val="0"/>
        <w:spacing w:line="600" w:lineRule="exact"/>
        <w:ind w:left="672"/>
        <w:rPr>
          <w:rFonts w:hint="eastAsia" w:cs="仿宋_GB2312"/>
          <w:color w:val="000000"/>
          <w:sz w:val="32"/>
          <w:szCs w:val="32"/>
        </w:rPr>
      </w:pPr>
    </w:p>
    <w:p>
      <w:pPr>
        <w:pStyle w:val="5"/>
        <w:spacing w:line="600" w:lineRule="exact"/>
        <w:ind w:firstLineChars="200"/>
        <w:rPr>
          <w:rFonts w:ascii="仿宋" w:hAnsi="仿宋" w:eastAsia="仿宋"/>
          <w:sz w:val="32"/>
          <w:szCs w:val="32"/>
        </w:rPr>
      </w:pPr>
      <w: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bookmarkStart w:id="19" w:name="_Toc15377204"/>
      <w:bookmarkStart w:id="20" w:name="_Toc15396602"/>
      <w:r>
        <w:rPr>
          <w:rFonts w:hint="eastAsia" w:ascii="方正小标宋简体" w:hAnsi="方正小标宋简体" w:eastAsia="方正小标宋简体" w:cs="方正小标宋简体"/>
          <w:sz w:val="44"/>
          <w:szCs w:val="44"/>
        </w:rPr>
        <w:t>第二部分</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2020年度</w:t>
      </w:r>
      <w:r>
        <w:rPr>
          <w:rFonts w:hint="eastAsia" w:ascii="方正小标宋简体" w:hAnsi="方正小标宋简体" w:eastAsia="方正小标宋简体" w:cs="方正小标宋简体"/>
          <w:sz w:val="44"/>
          <w:szCs w:val="44"/>
          <w:lang w:eastAsia="zh-CN"/>
        </w:rPr>
        <w:t>单位</w:t>
      </w:r>
      <w:r>
        <w:rPr>
          <w:rFonts w:hint="eastAsia" w:ascii="方正小标宋简体" w:hAnsi="方正小标宋简体" w:eastAsia="方正小标宋简体" w:cs="方正小标宋简体"/>
          <w:sz w:val="44"/>
          <w:szCs w:val="44"/>
        </w:rPr>
        <w:t>决算情况说明</w:t>
      </w:r>
      <w:bookmarkEnd w:id="19"/>
      <w:bookmarkEnd w:id="20"/>
    </w:p>
    <w:p>
      <w:pPr>
        <w:pStyle w:val="24"/>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textAlignment w:val="auto"/>
        <w:outlineLvl w:val="1"/>
        <w:rPr>
          <w:rFonts w:ascii="黑体" w:hAnsi="黑体" w:eastAsia="黑体"/>
          <w:color w:val="000000"/>
          <w:sz w:val="32"/>
          <w:szCs w:val="32"/>
        </w:rPr>
      </w:pPr>
      <w:bookmarkStart w:id="21" w:name="_Toc15396603"/>
      <w:bookmarkStart w:id="22" w:name="_Toc15377205"/>
    </w:p>
    <w:p>
      <w:pPr>
        <w:pStyle w:val="24"/>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outlineLvl w:val="1"/>
        <w:rPr>
          <w:rStyle w:val="13"/>
          <w:rFonts w:ascii="黑体" w:hAnsi="黑体" w:eastAsia="黑体"/>
          <w:b w:val="0"/>
        </w:rPr>
      </w:pPr>
      <w:r>
        <w:rPr>
          <w:rFonts w:hint="eastAsia" w:ascii="黑体" w:hAnsi="黑体" w:eastAsia="黑体"/>
          <w:color w:val="000000"/>
          <w:sz w:val="32"/>
          <w:szCs w:val="32"/>
          <w:lang w:eastAsia="zh-CN"/>
        </w:rPr>
        <w:t>一、</w:t>
      </w:r>
      <w:r>
        <w:rPr>
          <w:rFonts w:ascii="黑体" w:hAnsi="黑体" w:eastAsia="黑体"/>
          <w:color w:val="000000"/>
          <w:sz w:val="32"/>
          <w:szCs w:val="32"/>
        </w:rPr>
        <w:t>收</w:t>
      </w:r>
      <w:r>
        <w:rPr>
          <w:rStyle w:val="13"/>
          <w:rFonts w:ascii="黑体" w:hAnsi="黑体" w:eastAsia="黑体"/>
          <w:b w:val="0"/>
        </w:rPr>
        <w:t>入支出决算总体情况说明</w:t>
      </w:r>
      <w:bookmarkEnd w:id="21"/>
      <w:bookmarkEnd w:id="22"/>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2020年度收、支总计</w:t>
      </w:r>
      <w:r>
        <w:rPr>
          <w:rFonts w:hint="eastAsia" w:ascii="仿宋_GB2312" w:hAnsi="仿宋_GB2312" w:eastAsia="仿宋_GB2312" w:cs="仿宋_GB2312"/>
          <w:color w:val="000000"/>
          <w:sz w:val="32"/>
          <w:szCs w:val="32"/>
          <w:lang w:eastAsia="zh-CN"/>
        </w:rPr>
        <w:t>13332.75</w:t>
      </w:r>
      <w:r>
        <w:rPr>
          <w:rFonts w:hint="eastAsia" w:ascii="仿宋_GB2312" w:hAnsi="仿宋_GB2312" w:eastAsia="仿宋_GB2312" w:cs="仿宋_GB2312"/>
          <w:color w:val="000000"/>
          <w:sz w:val="32"/>
          <w:szCs w:val="32"/>
        </w:rPr>
        <w:t>万元。与2019年相比，收、支总计各增加</w:t>
      </w:r>
      <w:r>
        <w:rPr>
          <w:rFonts w:hint="eastAsia" w:ascii="仿宋_GB2312" w:hAnsi="仿宋_GB2312" w:eastAsia="仿宋_GB2312" w:cs="仿宋_GB2312"/>
          <w:color w:val="000000"/>
          <w:sz w:val="32"/>
          <w:szCs w:val="32"/>
          <w:lang w:eastAsia="zh-CN"/>
        </w:rPr>
        <w:t>2461.07</w:t>
      </w:r>
      <w:r>
        <w:rPr>
          <w:rFonts w:hint="eastAsia" w:ascii="仿宋_GB2312" w:hAnsi="仿宋_GB2312" w:eastAsia="仿宋_GB2312" w:cs="仿宋_GB2312"/>
          <w:color w:val="000000"/>
          <w:sz w:val="32"/>
          <w:szCs w:val="32"/>
        </w:rPr>
        <w:t>万元，增加22.64%。主要变动原因是支出结构调整，</w:t>
      </w:r>
      <w:r>
        <w:rPr>
          <w:rFonts w:hint="eastAsia" w:ascii="仿宋_GB2312" w:hAnsi="仿宋_GB2312" w:eastAsia="仿宋_GB2312" w:cs="仿宋_GB2312"/>
          <w:color w:val="000000"/>
          <w:kern w:val="2"/>
          <w:sz w:val="32"/>
          <w:szCs w:val="32"/>
          <w:lang w:val="en-US" w:eastAsia="zh-CN" w:bidi="ar-SA"/>
        </w:rPr>
        <w:t>以及合署办公和业务配套的信息化建设</w:t>
      </w:r>
      <w:r>
        <w:rPr>
          <w:rFonts w:hint="eastAsia" w:ascii="仿宋_GB2312" w:hAnsi="仿宋_GB2312" w:eastAsia="仿宋_GB2312" w:cs="仿宋_GB2312"/>
          <w:color w:val="000000"/>
          <w:sz w:val="32"/>
          <w:szCs w:val="32"/>
        </w:rPr>
        <w:t>。</w:t>
      </w:r>
    </w:p>
    <w:p>
      <w:pPr>
        <w:pStyle w:val="5"/>
        <w:keepNext w:val="0"/>
        <w:keepLines w:val="0"/>
        <w:pageBreakBefore w:val="0"/>
        <w:widowControl w:val="0"/>
        <w:kinsoku/>
        <w:wordWrap/>
        <w:overflowPunct/>
        <w:topLinePunct w:val="0"/>
        <w:autoSpaceDE/>
        <w:autoSpaceDN/>
        <w:bidi w:val="0"/>
        <w:adjustRightInd/>
        <w:snapToGrid/>
        <w:spacing w:beforeLines="0" w:afterLines="0" w:line="30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（图1：收、支决算总计变动情况图）（柱状图）</w:t>
      </w:r>
    </w:p>
    <w:p>
      <w:pPr>
        <w:pStyle w:val="5"/>
        <w:ind w:firstLineChars="200"/>
        <w:jc w:val="left"/>
        <w:rPr>
          <w:rFonts w:ascii="仿宋_GB2312" w:hAnsi="仿宋_GB2312" w:eastAsia="仿宋_GB2312"/>
          <w:color w:val="000000"/>
          <w:sz w:val="32"/>
          <w:szCs w:val="32"/>
        </w:rPr>
      </w:pPr>
      <w:r>
        <w:rPr>
          <w:rFonts w:ascii="仿宋_GB2312" w:hAnsi="仿宋_GB2312" w:eastAsia="仿宋_GB2312"/>
          <w:color w:val="000000"/>
          <w:sz w:val="32"/>
          <w:szCs w:val="32"/>
        </w:rPr>
        <w:drawing>
          <wp:anchor distT="0" distB="0" distL="0" distR="0" simplePos="0" relativeHeight="251658240" behindDoc="1" locked="0" layoutInCell="1" allowOverlap="1">
            <wp:simplePos x="0" y="0"/>
            <wp:positionH relativeFrom="column">
              <wp:posOffset>743585</wp:posOffset>
            </wp:positionH>
            <wp:positionV relativeFrom="paragraph">
              <wp:posOffset>43815</wp:posOffset>
            </wp:positionV>
            <wp:extent cx="3837940" cy="2714625"/>
            <wp:effectExtent l="0" t="0" r="0" b="0"/>
            <wp:wrapTight wrapText="bothSides">
              <wp:wrapPolygon>
                <wp:start x="-25" y="-40"/>
                <wp:lineTo x="-25" y="21484"/>
                <wp:lineTo x="21525" y="21484"/>
                <wp:lineTo x="21525" y="-40"/>
                <wp:lineTo x="-25" y="-40"/>
              </wp:wrapPolygon>
            </wp:wrapTight>
            <wp:docPr id="1" name="对象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5"/>
        <w:spacing w:line="600" w:lineRule="exact"/>
        <w:ind w:firstLineChars="200"/>
        <w:jc w:val="left"/>
        <w:rPr>
          <w:rFonts w:ascii="仿宋_GB2312" w:hAnsi="仿宋_GB2312" w:eastAsia="仿宋_GB2312"/>
          <w:color w:val="000000"/>
          <w:sz w:val="32"/>
          <w:szCs w:val="32"/>
        </w:rPr>
      </w:pPr>
    </w:p>
    <w:p>
      <w:pPr>
        <w:pStyle w:val="24"/>
        <w:numPr>
          <w:ilvl w:val="0"/>
          <w:numId w:val="0"/>
        </w:numPr>
        <w:spacing w:line="600" w:lineRule="exact"/>
        <w:ind w:leftChars="200"/>
        <w:outlineLvl w:val="1"/>
        <w:rPr>
          <w:rFonts w:ascii="黑体" w:hAnsi="黑体" w:eastAsia="黑体"/>
          <w:color w:val="000000"/>
          <w:sz w:val="32"/>
          <w:szCs w:val="32"/>
        </w:rPr>
      </w:pPr>
      <w:bookmarkStart w:id="23" w:name="_Toc15396604"/>
      <w:bookmarkStart w:id="24" w:name="_Toc15377206"/>
    </w:p>
    <w:p>
      <w:pPr>
        <w:pStyle w:val="24"/>
        <w:numPr>
          <w:ilvl w:val="0"/>
          <w:numId w:val="0"/>
        </w:numPr>
        <w:spacing w:line="600" w:lineRule="exact"/>
        <w:ind w:leftChars="200"/>
        <w:outlineLvl w:val="1"/>
        <w:rPr>
          <w:rFonts w:ascii="黑体" w:hAnsi="黑体" w:eastAsia="黑体"/>
          <w:color w:val="000000"/>
          <w:sz w:val="32"/>
          <w:szCs w:val="32"/>
        </w:rPr>
      </w:pPr>
    </w:p>
    <w:p>
      <w:pPr>
        <w:pStyle w:val="24"/>
        <w:numPr>
          <w:ilvl w:val="0"/>
          <w:numId w:val="0"/>
        </w:numPr>
        <w:spacing w:line="600" w:lineRule="exact"/>
        <w:ind w:leftChars="200"/>
        <w:outlineLvl w:val="1"/>
        <w:rPr>
          <w:rFonts w:ascii="黑体" w:hAnsi="黑体" w:eastAsia="黑体"/>
          <w:color w:val="000000"/>
          <w:sz w:val="32"/>
          <w:szCs w:val="32"/>
        </w:rPr>
      </w:pPr>
    </w:p>
    <w:p>
      <w:pPr>
        <w:pStyle w:val="24"/>
        <w:numPr>
          <w:ilvl w:val="0"/>
          <w:numId w:val="0"/>
        </w:numPr>
        <w:spacing w:line="600" w:lineRule="exact"/>
        <w:ind w:leftChars="200"/>
        <w:outlineLvl w:val="1"/>
        <w:rPr>
          <w:rFonts w:ascii="黑体" w:hAnsi="黑体" w:eastAsia="黑体"/>
          <w:color w:val="000000"/>
          <w:sz w:val="32"/>
          <w:szCs w:val="32"/>
        </w:rPr>
      </w:pPr>
    </w:p>
    <w:p>
      <w:pPr>
        <w:pStyle w:val="24"/>
        <w:numPr>
          <w:ilvl w:val="0"/>
          <w:numId w:val="0"/>
        </w:numPr>
        <w:spacing w:line="600" w:lineRule="exact"/>
        <w:ind w:leftChars="200"/>
        <w:outlineLvl w:val="1"/>
        <w:rPr>
          <w:rFonts w:ascii="黑体" w:hAnsi="黑体" w:eastAsia="黑体"/>
          <w:color w:val="000000"/>
          <w:sz w:val="32"/>
          <w:szCs w:val="32"/>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outlineLvl w:val="1"/>
        <w:rPr>
          <w:rFonts w:hint="eastAsia" w:ascii="黑体" w:hAnsi="黑体" w:eastAsia="黑体"/>
          <w:color w:val="000000"/>
          <w:sz w:val="32"/>
          <w:szCs w:val="32"/>
          <w:lang w:eastAsia="zh-CN"/>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100" w:lineRule="exact"/>
        <w:textAlignment w:val="auto"/>
        <w:outlineLvl w:val="1"/>
        <w:rPr>
          <w:rFonts w:hint="eastAsia" w:ascii="黑体" w:hAnsi="黑体" w:eastAsia="黑体"/>
          <w:color w:val="000000"/>
          <w:sz w:val="32"/>
          <w:szCs w:val="32"/>
          <w:lang w:eastAsia="zh-CN"/>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1"/>
        <w:rPr>
          <w:rStyle w:val="13"/>
          <w:rFonts w:ascii="黑体" w:hAnsi="黑体" w:eastAsia="黑体"/>
          <w:b w:val="0"/>
        </w:rPr>
      </w:pPr>
      <w:r>
        <w:rPr>
          <w:rFonts w:hint="eastAsia" w:ascii="黑体" w:hAnsi="黑体" w:eastAsia="黑体"/>
          <w:color w:val="000000"/>
          <w:sz w:val="32"/>
          <w:szCs w:val="32"/>
          <w:lang w:eastAsia="zh-CN"/>
        </w:rPr>
        <w:t>二、</w:t>
      </w:r>
      <w:r>
        <w:rPr>
          <w:rFonts w:ascii="黑体" w:hAnsi="黑体" w:eastAsia="黑体"/>
          <w:color w:val="000000"/>
          <w:sz w:val="32"/>
          <w:szCs w:val="32"/>
        </w:rPr>
        <w:t>收</w:t>
      </w:r>
      <w:r>
        <w:rPr>
          <w:rStyle w:val="13"/>
          <w:rFonts w:ascii="黑体" w:hAnsi="黑体" w:eastAsia="黑体"/>
          <w:b w:val="0"/>
        </w:rPr>
        <w:t>入决算情况说明</w:t>
      </w:r>
      <w:bookmarkEnd w:id="23"/>
      <w:bookmarkEnd w:id="24"/>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Chars="200"/>
        <w:textAlignment w:val="auto"/>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2020年本年收入合计</w:t>
      </w:r>
      <w:r>
        <w:rPr>
          <w:rFonts w:hint="eastAsia" w:ascii="仿宋_GB2312" w:hAnsi="仿宋_GB2312" w:eastAsia="仿宋_GB2312" w:cs="仿宋_GB2312"/>
          <w:color w:val="000000"/>
          <w:sz w:val="32"/>
          <w:szCs w:val="32"/>
          <w:lang w:eastAsia="zh-CN"/>
        </w:rPr>
        <w:t>13332.75</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eastAsia="zh-CN"/>
        </w:rPr>
        <w:t>13332.75</w:t>
      </w:r>
      <w:r>
        <w:rPr>
          <w:rFonts w:hint="eastAsia" w:ascii="仿宋_GB2312" w:hAnsi="仿宋_GB2312" w:eastAsia="仿宋_GB2312" w:cs="仿宋_GB2312"/>
          <w:color w:val="000000"/>
          <w:sz w:val="32"/>
          <w:szCs w:val="32"/>
        </w:rPr>
        <w:t>万元，占100%；政府性基金预算财政拨款收入0万元，占0%；</w:t>
      </w:r>
      <w:r>
        <w:rPr>
          <w:rFonts w:hint="eastAsia" w:ascii="仿宋_GB2312" w:hAnsi="仿宋_GB2312" w:eastAsia="仿宋_GB2312" w:cs="仿宋_GB2312"/>
          <w:color w:val="000000" w:themeColor="text1"/>
          <w:sz w:val="32"/>
          <w:szCs w:val="32"/>
          <w14:textFill>
            <w14:solidFill>
              <w14:schemeClr w14:val="tx1"/>
            </w14:solidFill>
          </w14:textFill>
        </w:rPr>
        <w:t>上级补助收入0</w:t>
      </w:r>
      <w:r>
        <w:rPr>
          <w:rFonts w:hint="eastAsia" w:ascii="仿宋_GB2312" w:hAnsi="仿宋_GB2312" w:eastAsia="仿宋_GB2312" w:cs="仿宋_GB2312"/>
          <w:color w:val="000000"/>
          <w:sz w:val="32"/>
          <w:szCs w:val="32"/>
        </w:rPr>
        <w:t>万元，占0%；事业收入0万元，占0%；经营收入0万元，占0%；附属单位上缴收入0万元，占0%；其他收入0万元，占0%。</w:t>
      </w: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（图2：收入决算结构图）（饼状图）</w:t>
      </w:r>
    </w:p>
    <w:p>
      <w:pPr>
        <w:pStyle w:val="5"/>
        <w:ind w:firstLineChars="200"/>
        <w:rPr>
          <w:rFonts w:ascii="仿宋_GB2312" w:hAnsi="仿宋_GB2312" w:eastAsia="仿宋_GB2312"/>
          <w:color w:val="FF0000"/>
          <w:sz w:val="32"/>
          <w:szCs w:val="32"/>
        </w:rPr>
      </w:pPr>
      <w:r>
        <w:rPr>
          <w:rFonts w:ascii="仿宋_GB2312" w:hAnsi="仿宋_GB2312" w:eastAsia="仿宋_GB2312"/>
          <w:color w:val="FF0000"/>
          <w:sz w:val="32"/>
          <w:szCs w:val="32"/>
        </w:rPr>
        <w:drawing>
          <wp:anchor distT="0" distB="0" distL="0" distR="0" simplePos="0" relativeHeight="251659264" behindDoc="1" locked="0" layoutInCell="1" allowOverlap="1">
            <wp:simplePos x="0" y="0"/>
            <wp:positionH relativeFrom="column">
              <wp:posOffset>662940</wp:posOffset>
            </wp:positionH>
            <wp:positionV relativeFrom="paragraph">
              <wp:posOffset>15240</wp:posOffset>
            </wp:positionV>
            <wp:extent cx="4228465" cy="2742565"/>
            <wp:effectExtent l="0" t="0" r="0" b="0"/>
            <wp:wrapTight wrapText="left">
              <wp:wrapPolygon>
                <wp:start x="-23" y="-35"/>
                <wp:lineTo x="-23" y="21420"/>
                <wp:lineTo x="21483" y="21420"/>
                <wp:lineTo x="21483" y="-35"/>
                <wp:lineTo x="-23" y="-35"/>
              </wp:wrapPolygon>
            </wp:wrapTight>
            <wp:docPr id="2" name="对象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5"/>
        <w:spacing w:line="600" w:lineRule="exact"/>
        <w:ind w:firstLineChars="200"/>
        <w:rPr>
          <w:rFonts w:ascii="仿宋_GB2312" w:hAnsi="仿宋_GB2312" w:eastAsia="仿宋_GB2312"/>
          <w:color w:val="FF0000"/>
          <w:sz w:val="32"/>
          <w:szCs w:val="32"/>
        </w:rPr>
      </w:pPr>
    </w:p>
    <w:p>
      <w:pPr>
        <w:pStyle w:val="24"/>
        <w:numPr>
          <w:ilvl w:val="0"/>
          <w:numId w:val="0"/>
        </w:numPr>
        <w:spacing w:line="600" w:lineRule="exact"/>
        <w:ind w:leftChars="200"/>
        <w:outlineLvl w:val="1"/>
        <w:rPr>
          <w:rFonts w:ascii="黑体" w:hAnsi="黑体" w:eastAsia="黑体"/>
          <w:color w:val="000000"/>
          <w:sz w:val="32"/>
          <w:szCs w:val="32"/>
        </w:rPr>
      </w:pPr>
      <w:bookmarkStart w:id="25" w:name="_Toc15396605"/>
      <w:bookmarkStart w:id="26" w:name="_Toc15377207"/>
    </w:p>
    <w:p>
      <w:pPr>
        <w:pStyle w:val="24"/>
        <w:numPr>
          <w:ilvl w:val="0"/>
          <w:numId w:val="0"/>
        </w:numPr>
        <w:spacing w:line="600" w:lineRule="exact"/>
        <w:ind w:leftChars="200"/>
        <w:outlineLvl w:val="1"/>
        <w:rPr>
          <w:rFonts w:ascii="黑体" w:hAnsi="黑体" w:eastAsia="黑体"/>
          <w:color w:val="000000"/>
          <w:sz w:val="32"/>
          <w:szCs w:val="32"/>
        </w:rPr>
      </w:pPr>
    </w:p>
    <w:p>
      <w:pPr>
        <w:pStyle w:val="24"/>
        <w:numPr>
          <w:ilvl w:val="0"/>
          <w:numId w:val="0"/>
        </w:numPr>
        <w:spacing w:line="600" w:lineRule="exact"/>
        <w:ind w:leftChars="200"/>
        <w:outlineLvl w:val="1"/>
        <w:rPr>
          <w:rFonts w:ascii="黑体" w:hAnsi="黑体" w:eastAsia="黑体"/>
          <w:color w:val="000000"/>
          <w:sz w:val="32"/>
          <w:szCs w:val="32"/>
        </w:rPr>
      </w:pPr>
    </w:p>
    <w:p>
      <w:pPr>
        <w:pStyle w:val="24"/>
        <w:numPr>
          <w:ilvl w:val="0"/>
          <w:numId w:val="0"/>
        </w:numPr>
        <w:spacing w:line="600" w:lineRule="exact"/>
        <w:ind w:leftChars="200"/>
        <w:outlineLvl w:val="1"/>
        <w:rPr>
          <w:rFonts w:ascii="黑体" w:hAnsi="黑体" w:eastAsia="黑体"/>
          <w:color w:val="000000"/>
          <w:sz w:val="32"/>
          <w:szCs w:val="32"/>
        </w:rPr>
      </w:pPr>
    </w:p>
    <w:p>
      <w:pPr>
        <w:pStyle w:val="24"/>
        <w:numPr>
          <w:ilvl w:val="0"/>
          <w:numId w:val="0"/>
        </w:numPr>
        <w:spacing w:line="600" w:lineRule="exact"/>
        <w:ind w:leftChars="200"/>
        <w:outlineLvl w:val="1"/>
        <w:rPr>
          <w:rFonts w:ascii="黑体" w:hAnsi="黑体" w:eastAsia="黑体"/>
          <w:color w:val="000000"/>
          <w:sz w:val="32"/>
          <w:szCs w:val="32"/>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200"/>
        <w:textAlignment w:val="auto"/>
        <w:outlineLvl w:val="1"/>
        <w:rPr>
          <w:rFonts w:ascii="黑体" w:hAnsi="黑体" w:eastAsia="黑体"/>
          <w:color w:val="000000"/>
          <w:sz w:val="32"/>
          <w:szCs w:val="32"/>
        </w:rPr>
      </w:pPr>
    </w:p>
    <w:p>
      <w:pPr>
        <w:pStyle w:val="24"/>
        <w:numPr>
          <w:ilvl w:val="0"/>
          <w:numId w:val="0"/>
        </w:numPr>
        <w:spacing w:line="600" w:lineRule="exact"/>
        <w:ind w:firstLine="640" w:firstLineChars="200"/>
        <w:outlineLvl w:val="1"/>
        <w:rPr>
          <w:rStyle w:val="13"/>
          <w:rFonts w:ascii="黑体" w:hAnsi="黑体" w:eastAsia="黑体"/>
          <w:b w:val="0"/>
        </w:rPr>
      </w:pPr>
      <w:r>
        <w:rPr>
          <w:rFonts w:hint="eastAsia" w:ascii="黑体" w:hAnsi="黑体" w:eastAsia="黑体"/>
          <w:color w:val="000000"/>
          <w:sz w:val="32"/>
          <w:szCs w:val="32"/>
          <w:lang w:eastAsia="zh-CN"/>
        </w:rPr>
        <w:t>三、</w:t>
      </w:r>
      <w:r>
        <w:rPr>
          <w:rFonts w:ascii="黑体" w:hAnsi="黑体" w:eastAsia="黑体"/>
          <w:color w:val="000000"/>
          <w:sz w:val="32"/>
          <w:szCs w:val="32"/>
        </w:rPr>
        <w:t>支</w:t>
      </w:r>
      <w:r>
        <w:rPr>
          <w:rStyle w:val="13"/>
          <w:rFonts w:ascii="黑体" w:hAnsi="黑体" w:eastAsia="黑体"/>
          <w:b w:val="0"/>
        </w:rPr>
        <w:t>出决算情况说明</w:t>
      </w:r>
      <w:bookmarkEnd w:id="25"/>
      <w:bookmarkEnd w:id="26"/>
    </w:p>
    <w:p>
      <w:pPr>
        <w:pStyle w:val="5"/>
        <w:numPr>
          <w:ilvl w:val="0"/>
          <w:numId w:val="0"/>
        </w:numPr>
        <w:spacing w:line="600" w:lineRule="exact"/>
        <w:ind w:left="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2020年本年支出合计</w:t>
      </w:r>
      <w:r>
        <w:rPr>
          <w:rFonts w:hint="eastAsia" w:ascii="仿宋_GB2312" w:hAnsi="仿宋_GB2312" w:eastAsia="仿宋_GB2312" w:cs="仿宋_GB2312"/>
          <w:color w:val="000000"/>
          <w:sz w:val="32"/>
          <w:szCs w:val="32"/>
          <w:lang w:eastAsia="zh-CN"/>
        </w:rPr>
        <w:t>13332.75</w:t>
      </w:r>
      <w:r>
        <w:rPr>
          <w:rFonts w:hint="eastAsia" w:ascii="仿宋_GB2312" w:hAnsi="仿宋_GB2312" w:eastAsia="仿宋_GB2312" w:cs="仿宋_GB2312"/>
          <w:color w:val="000000"/>
          <w:sz w:val="32"/>
          <w:szCs w:val="32"/>
        </w:rPr>
        <w:t>万元，其中：基本支出6187.80万元，占46.41%；项目支出</w:t>
      </w:r>
      <w:r>
        <w:rPr>
          <w:rFonts w:hint="eastAsia" w:ascii="仿宋_GB2312" w:hAnsi="仿宋_GB2312" w:eastAsia="仿宋_GB2312" w:cs="仿宋_GB2312"/>
          <w:color w:val="000000"/>
          <w:sz w:val="32"/>
          <w:szCs w:val="32"/>
          <w:lang w:eastAsia="zh-CN"/>
        </w:rPr>
        <w:t>7144.95</w:t>
      </w:r>
      <w:r>
        <w:rPr>
          <w:rFonts w:hint="eastAsia" w:ascii="仿宋_GB2312" w:hAnsi="仿宋_GB2312" w:eastAsia="仿宋_GB2312" w:cs="仿宋_GB2312"/>
          <w:color w:val="000000"/>
          <w:sz w:val="32"/>
          <w:szCs w:val="32"/>
        </w:rPr>
        <w:t>万元，占53.59%；上缴上级支出0万元，占0%；经营支出0万元，占0%；对附属单位补助支出0万元，占0%。</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firstLineChars="200"/>
        <w:textAlignment w:val="auto"/>
        <w:outlineLvl w:val="1"/>
        <w:rPr>
          <w:rFonts w:hint="eastAsia" w:ascii="仿宋_GB2312" w:hAnsi="仿宋_GB2312" w:eastAsia="仿宋_GB2312" w:cs="仿宋_GB2312"/>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（图3：支出决算结构图）（饼状图）</w:t>
      </w:r>
    </w:p>
    <w:p>
      <w:pPr>
        <w:pStyle w:val="5"/>
        <w:rPr>
          <w:rFonts w:ascii="仿宋" w:hAnsi="仿宋" w:eastAsia="仿宋"/>
          <w:color w:val="000000" w:themeColor="text1"/>
          <w:sz w:val="32"/>
          <w:szCs w:val="32"/>
          <w14:textFill>
            <w14:solidFill>
              <w14:schemeClr w14:val="tx1"/>
            </w14:solidFill>
          </w14:textFill>
        </w:rPr>
      </w:pPr>
      <w:r>
        <w:drawing>
          <wp:anchor distT="0" distB="0" distL="0" distR="0" simplePos="0" relativeHeight="251660288" behindDoc="1" locked="0" layoutInCell="1" allowOverlap="1">
            <wp:simplePos x="0" y="0"/>
            <wp:positionH relativeFrom="column">
              <wp:posOffset>721995</wp:posOffset>
            </wp:positionH>
            <wp:positionV relativeFrom="paragraph">
              <wp:posOffset>22860</wp:posOffset>
            </wp:positionV>
            <wp:extent cx="4106545" cy="2472690"/>
            <wp:effectExtent l="4445" t="5080" r="22860" b="17780"/>
            <wp:wrapTight wrapText="bothSides">
              <wp:wrapPolygon>
                <wp:start x="-23" y="-44"/>
                <wp:lineTo x="-23" y="21422"/>
                <wp:lineTo x="21520" y="21422"/>
                <wp:lineTo x="21520" y="-44"/>
                <wp:lineTo x="-23" y="-44"/>
              </wp:wrapPolygon>
            </wp:wrapTight>
            <wp:docPr id="3" name="对象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5"/>
        <w:rPr>
          <w:rFonts w:ascii="仿宋" w:hAnsi="仿宋" w:eastAsia="仿宋"/>
          <w:color w:val="000000" w:themeColor="text1"/>
          <w:sz w:val="32"/>
          <w:szCs w:val="32"/>
          <w14:textFill>
            <w14:solidFill>
              <w14:schemeClr w14:val="tx1"/>
            </w14:solidFill>
          </w14:textFill>
        </w:rPr>
      </w:pPr>
    </w:p>
    <w:p>
      <w:pPr>
        <w:pStyle w:val="5"/>
        <w:rPr>
          <w:rFonts w:ascii="仿宋" w:hAnsi="仿宋" w:eastAsia="仿宋"/>
          <w:color w:val="000000" w:themeColor="text1"/>
          <w:sz w:val="32"/>
          <w:szCs w:val="32"/>
          <w14:textFill>
            <w14:solidFill>
              <w14:schemeClr w14:val="tx1"/>
            </w14:solidFill>
          </w14:textFill>
        </w:rPr>
      </w:pPr>
    </w:p>
    <w:p>
      <w:pPr>
        <w:pStyle w:val="5"/>
        <w:rPr>
          <w:rFonts w:ascii="仿宋" w:hAnsi="仿宋" w:eastAsia="仿宋"/>
          <w:color w:val="000000" w:themeColor="text1"/>
          <w:sz w:val="32"/>
          <w:szCs w:val="32"/>
          <w14:textFill>
            <w14:solidFill>
              <w14:schemeClr w14:val="tx1"/>
            </w14:solidFill>
          </w14:textFill>
        </w:rPr>
      </w:pPr>
    </w:p>
    <w:p>
      <w:pPr>
        <w:pStyle w:val="5"/>
        <w:rPr>
          <w:rFonts w:ascii="仿宋" w:hAnsi="仿宋" w:eastAsia="仿宋"/>
          <w:color w:val="000000" w:themeColor="text1"/>
          <w:sz w:val="32"/>
          <w:szCs w:val="32"/>
          <w14:textFill>
            <w14:solidFill>
              <w14:schemeClr w14:val="tx1"/>
            </w14:solidFill>
          </w14:textFill>
        </w:rPr>
      </w:pPr>
    </w:p>
    <w:p>
      <w:pPr>
        <w:pStyle w:val="5"/>
        <w:rPr>
          <w:rFonts w:ascii="仿宋" w:hAnsi="仿宋" w:eastAsia="仿宋"/>
          <w:color w:val="000000" w:themeColor="text1"/>
          <w:sz w:val="32"/>
          <w:szCs w:val="32"/>
          <w14:textFill>
            <w14:solidFill>
              <w14:schemeClr w14:val="tx1"/>
            </w14:solidFill>
          </w14:textFill>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13"/>
          <w:rFonts w:hint="eastAsia" w:ascii="黑体" w:hAnsi="黑体" w:eastAsia="黑体" w:cs="黑体"/>
          <w:b w:val="0"/>
        </w:rPr>
      </w:pPr>
      <w:bookmarkStart w:id="27" w:name="_Toc15377208"/>
      <w:bookmarkStart w:id="28" w:name="_Toc15396606"/>
      <w:r>
        <w:rPr>
          <w:rFonts w:hint="eastAsia" w:ascii="黑体" w:hAnsi="黑体" w:eastAsia="黑体" w:cs="黑体"/>
          <w:color w:val="000000"/>
          <w:sz w:val="32"/>
          <w:szCs w:val="32"/>
        </w:rPr>
        <w:t>四、财</w:t>
      </w:r>
      <w:r>
        <w:rPr>
          <w:rStyle w:val="13"/>
          <w:rFonts w:hint="eastAsia" w:ascii="黑体" w:hAnsi="黑体" w:eastAsia="黑体" w:cs="黑体"/>
          <w:b w:val="0"/>
        </w:rPr>
        <w:t>政拨款收入支出决算总体情况说明</w:t>
      </w:r>
      <w:bookmarkEnd w:id="27"/>
      <w:bookmarkEnd w:id="28"/>
    </w:p>
    <w:p>
      <w:pPr>
        <w:pStyle w:val="5"/>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2020年财政拨款收、支总计</w:t>
      </w:r>
      <w:r>
        <w:rPr>
          <w:rFonts w:hint="eastAsia" w:ascii="仿宋_GB2312" w:hAnsi="仿宋_GB2312" w:eastAsia="仿宋_GB2312" w:cs="仿宋_GB2312"/>
          <w:color w:val="000000"/>
          <w:sz w:val="32"/>
          <w:szCs w:val="32"/>
          <w:lang w:eastAsia="zh-CN"/>
        </w:rPr>
        <w:t>13332.75</w:t>
      </w:r>
      <w:r>
        <w:rPr>
          <w:rFonts w:hint="eastAsia" w:ascii="仿宋_GB2312" w:hAnsi="仿宋_GB2312" w:eastAsia="仿宋_GB2312" w:cs="仿宋_GB2312"/>
          <w:color w:val="000000"/>
          <w:sz w:val="32"/>
          <w:szCs w:val="32"/>
        </w:rPr>
        <w:t>万元。与2019年相比，财政拨款收、支总计各增加</w:t>
      </w:r>
      <w:r>
        <w:rPr>
          <w:rFonts w:hint="eastAsia" w:ascii="仿宋_GB2312" w:hAnsi="仿宋_GB2312" w:eastAsia="仿宋_GB2312" w:cs="仿宋_GB2312"/>
          <w:color w:val="000000"/>
          <w:sz w:val="32"/>
          <w:szCs w:val="32"/>
          <w:lang w:eastAsia="zh-CN"/>
        </w:rPr>
        <w:t>2461.07</w:t>
      </w:r>
      <w:r>
        <w:rPr>
          <w:rFonts w:hint="eastAsia" w:ascii="仿宋_GB2312" w:hAnsi="仿宋_GB2312" w:eastAsia="仿宋_GB2312" w:cs="仿宋_GB2312"/>
          <w:color w:val="000000"/>
          <w:sz w:val="32"/>
          <w:szCs w:val="32"/>
        </w:rPr>
        <w:t>万元，增加22.64%。主要变动原因是支出结构调整，</w:t>
      </w:r>
      <w:r>
        <w:rPr>
          <w:rFonts w:hint="eastAsia" w:ascii="仿宋_GB2312" w:hAnsi="仿宋_GB2312" w:eastAsia="仿宋_GB2312" w:cs="仿宋_GB2312"/>
          <w:color w:val="000000"/>
          <w:kern w:val="2"/>
          <w:sz w:val="32"/>
          <w:szCs w:val="32"/>
          <w:lang w:val="en-US" w:eastAsia="zh-CN" w:bidi="ar-SA"/>
        </w:rPr>
        <w:t>以及合署办公和业务配套的信息化建设</w:t>
      </w:r>
      <w:r>
        <w:rPr>
          <w:rFonts w:hint="eastAsia" w:ascii="仿宋_GB2312" w:hAnsi="仿宋_GB2312" w:eastAsia="仿宋_GB2312" w:cs="仿宋_GB2312"/>
          <w:color w:val="000000"/>
          <w:sz w:val="32"/>
          <w:szCs w:val="32"/>
        </w:rPr>
        <w:t>。</w:t>
      </w:r>
    </w:p>
    <w:p>
      <w:pPr>
        <w:pStyle w:val="5"/>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（图4：财政拨款收、支决算总计变动情况）（柱状图）</w:t>
      </w:r>
    </w:p>
    <w:p>
      <w:pPr>
        <w:pStyle w:val="5"/>
        <w:ind w:firstLine="641"/>
        <w:rPr>
          <w:rFonts w:ascii="仿宋" w:hAnsi="仿宋" w:eastAsia="仿宋"/>
          <w:b/>
          <w:color w:val="00B050"/>
          <w:sz w:val="32"/>
          <w:szCs w:val="32"/>
        </w:rPr>
      </w:pPr>
      <w:r>
        <w:rPr>
          <w:rFonts w:ascii="仿宋" w:hAnsi="仿宋" w:eastAsia="仿宋"/>
          <w:b/>
          <w:color w:val="00B050"/>
          <w:sz w:val="32"/>
          <w:szCs w:val="32"/>
        </w:rPr>
        <w:drawing>
          <wp:anchor distT="0" distB="0" distL="0" distR="0" simplePos="0" relativeHeight="251661312" behindDoc="1" locked="0" layoutInCell="1" allowOverlap="1">
            <wp:simplePos x="0" y="0"/>
            <wp:positionH relativeFrom="column">
              <wp:posOffset>678815</wp:posOffset>
            </wp:positionH>
            <wp:positionV relativeFrom="paragraph">
              <wp:posOffset>95885</wp:posOffset>
            </wp:positionV>
            <wp:extent cx="4171950" cy="2830195"/>
            <wp:effectExtent l="4445" t="4445" r="14605" b="22860"/>
            <wp:wrapTight wrapText="bothSides">
              <wp:wrapPolygon>
                <wp:start x="-23" y="-34"/>
                <wp:lineTo x="-23" y="21484"/>
                <wp:lineTo x="21577" y="21484"/>
                <wp:lineTo x="21577" y="-34"/>
                <wp:lineTo x="-23" y="-34"/>
              </wp:wrapPolygon>
            </wp:wrapTight>
            <wp:docPr id="4" name="对象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5"/>
        <w:numPr>
          <w:ilvl w:val="0"/>
          <w:numId w:val="0"/>
        </w:numPr>
        <w:spacing w:line="600" w:lineRule="exact"/>
        <w:ind w:left="0" w:firstLineChars="200"/>
        <w:outlineLvl w:val="1"/>
        <w:rPr>
          <w:rFonts w:ascii="黑体" w:hAnsi="黑体" w:eastAsia="黑体"/>
          <w:color w:val="000000"/>
          <w:sz w:val="32"/>
          <w:szCs w:val="32"/>
        </w:rPr>
      </w:pPr>
      <w:bookmarkStart w:id="29" w:name="_Toc15396607"/>
      <w:bookmarkStart w:id="30" w:name="_Toc15377209"/>
    </w:p>
    <w:p>
      <w:pPr>
        <w:pStyle w:val="5"/>
        <w:numPr>
          <w:ilvl w:val="0"/>
          <w:numId w:val="0"/>
        </w:numPr>
        <w:spacing w:line="600" w:lineRule="exact"/>
        <w:ind w:left="0" w:firstLineChars="200"/>
        <w:outlineLvl w:val="1"/>
        <w:rPr>
          <w:rFonts w:ascii="黑体" w:hAnsi="黑体" w:eastAsia="黑体"/>
          <w:color w:val="000000"/>
          <w:sz w:val="32"/>
          <w:szCs w:val="32"/>
        </w:rPr>
      </w:pPr>
    </w:p>
    <w:p>
      <w:pPr>
        <w:pStyle w:val="5"/>
        <w:numPr>
          <w:ilvl w:val="0"/>
          <w:numId w:val="0"/>
        </w:numPr>
        <w:spacing w:line="600" w:lineRule="exact"/>
        <w:ind w:left="0" w:firstLineChars="200"/>
        <w:outlineLvl w:val="1"/>
        <w:rPr>
          <w:rFonts w:ascii="黑体" w:hAnsi="黑体" w:eastAsia="黑体"/>
          <w:color w:val="000000"/>
          <w:sz w:val="32"/>
          <w:szCs w:val="32"/>
        </w:rPr>
      </w:pPr>
    </w:p>
    <w:p>
      <w:pPr>
        <w:pStyle w:val="5"/>
        <w:numPr>
          <w:ilvl w:val="0"/>
          <w:numId w:val="0"/>
        </w:numPr>
        <w:spacing w:line="600" w:lineRule="exact"/>
        <w:ind w:left="0" w:firstLineChars="200"/>
        <w:outlineLvl w:val="1"/>
        <w:rPr>
          <w:rFonts w:ascii="黑体" w:hAnsi="黑体" w:eastAsia="黑体"/>
          <w:color w:val="000000"/>
          <w:sz w:val="32"/>
          <w:szCs w:val="32"/>
        </w:rPr>
      </w:pPr>
    </w:p>
    <w:p>
      <w:pPr>
        <w:pStyle w:val="5"/>
        <w:numPr>
          <w:ilvl w:val="0"/>
          <w:numId w:val="0"/>
        </w:numPr>
        <w:spacing w:line="600" w:lineRule="exact"/>
        <w:ind w:left="0" w:firstLineChars="200"/>
        <w:outlineLvl w:val="1"/>
        <w:rPr>
          <w:rFonts w:ascii="黑体" w:hAnsi="黑体" w:eastAsia="黑体"/>
          <w:color w:val="000000"/>
          <w:sz w:val="32"/>
          <w:szCs w:val="32"/>
        </w:rPr>
      </w:pPr>
    </w:p>
    <w:p>
      <w:pPr>
        <w:pStyle w:val="5"/>
        <w:numPr>
          <w:ilvl w:val="0"/>
          <w:numId w:val="0"/>
        </w:numPr>
        <w:spacing w:line="600" w:lineRule="exact"/>
        <w:ind w:left="0" w:firstLineChars="200"/>
        <w:outlineLvl w:val="1"/>
        <w:rPr>
          <w:rFonts w:ascii="黑体" w:hAnsi="黑体" w:eastAsia="黑体"/>
          <w:color w:val="000000"/>
          <w:sz w:val="32"/>
          <w:szCs w:val="32"/>
        </w:rPr>
      </w:pPr>
    </w:p>
    <w:p>
      <w:pPr>
        <w:pStyle w:val="5"/>
        <w:numPr>
          <w:ilvl w:val="0"/>
          <w:numId w:val="0"/>
        </w:numPr>
        <w:spacing w:line="600" w:lineRule="exact"/>
        <w:outlineLvl w:val="1"/>
        <w:rPr>
          <w:rFonts w:ascii="黑体" w:hAnsi="黑体" w:eastAsia="黑体"/>
          <w:color w:val="000000"/>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13"/>
          <w:rFonts w:ascii="黑体" w:hAnsi="黑体" w:eastAsia="黑体"/>
          <w:b w:val="0"/>
        </w:rPr>
      </w:pPr>
      <w:r>
        <w:rPr>
          <w:rFonts w:ascii="黑体" w:hAnsi="黑体" w:eastAsia="黑体"/>
          <w:color w:val="000000"/>
          <w:sz w:val="32"/>
          <w:szCs w:val="32"/>
        </w:rPr>
        <w:t>五、</w:t>
      </w:r>
      <w:r>
        <w:rPr>
          <w:rFonts w:ascii="黑体" w:hAnsi="黑体" w:eastAsia="黑体"/>
          <w:b/>
          <w:color w:val="000000"/>
          <w:sz w:val="32"/>
          <w:szCs w:val="32"/>
        </w:rPr>
        <w:t>一</w:t>
      </w:r>
      <w:r>
        <w:rPr>
          <w:rStyle w:val="13"/>
          <w:rFonts w:ascii="黑体" w:hAnsi="黑体" w:eastAsia="黑体"/>
          <w:b w:val="0"/>
        </w:rPr>
        <w:t>般公共预算财政拨款支出决算情况说明</w:t>
      </w:r>
      <w:bookmarkEnd w:id="29"/>
      <w:bookmarkEnd w:id="30"/>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楷体_GB2312" w:hAnsi="楷体_GB2312" w:eastAsia="楷体_GB2312" w:cs="楷体_GB2312"/>
          <w:b w:val="0"/>
          <w:bCs/>
          <w:color w:val="000000"/>
          <w:sz w:val="32"/>
          <w:szCs w:val="32"/>
        </w:rPr>
      </w:pPr>
      <w:bookmarkStart w:id="31" w:name="_Toc15377210"/>
      <w:r>
        <w:rPr>
          <w:rFonts w:hint="eastAsia" w:ascii="楷体_GB2312" w:hAnsi="楷体_GB2312" w:eastAsia="楷体_GB2312" w:cs="楷体_GB2312"/>
          <w:b w:val="0"/>
          <w:bCs/>
          <w:color w:val="000000"/>
          <w:sz w:val="32"/>
          <w:szCs w:val="32"/>
        </w:rPr>
        <w:t>（一）一般公共预算财政拨款支出决算总体情况</w:t>
      </w:r>
      <w:bookmarkEnd w:id="31"/>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2020年一般公共预算财政拨款支出</w:t>
      </w:r>
      <w:r>
        <w:rPr>
          <w:rFonts w:hint="eastAsia" w:ascii="仿宋_GB2312" w:hAnsi="仿宋_GB2312" w:eastAsia="仿宋_GB2312" w:cs="仿宋_GB2312"/>
          <w:color w:val="000000"/>
          <w:sz w:val="32"/>
          <w:szCs w:val="32"/>
          <w:lang w:eastAsia="zh-CN"/>
        </w:rPr>
        <w:t>13332.75</w:t>
      </w:r>
      <w:r>
        <w:rPr>
          <w:rFonts w:hint="eastAsia" w:ascii="仿宋_GB2312" w:hAnsi="仿宋_GB2312" w:eastAsia="仿宋_GB2312" w:cs="仿宋_GB2312"/>
          <w:color w:val="000000"/>
          <w:sz w:val="32"/>
          <w:szCs w:val="32"/>
        </w:rPr>
        <w:t>万元，占本年支出合计的100%。与2019年相比，一般公共预算财政拨款增加</w:t>
      </w:r>
      <w:r>
        <w:rPr>
          <w:rFonts w:hint="eastAsia" w:ascii="仿宋_GB2312" w:hAnsi="仿宋_GB2312" w:eastAsia="仿宋_GB2312" w:cs="仿宋_GB2312"/>
          <w:color w:val="000000"/>
          <w:sz w:val="32"/>
          <w:szCs w:val="32"/>
          <w:lang w:eastAsia="zh-CN"/>
        </w:rPr>
        <w:t>2461.07</w:t>
      </w:r>
      <w:r>
        <w:rPr>
          <w:rFonts w:hint="eastAsia" w:ascii="仿宋_GB2312" w:hAnsi="仿宋_GB2312" w:eastAsia="仿宋_GB2312" w:cs="仿宋_GB2312"/>
          <w:color w:val="000000"/>
          <w:sz w:val="32"/>
          <w:szCs w:val="32"/>
        </w:rPr>
        <w:t>万元，增加22.64%。主要变动原因是支出结构调整，</w:t>
      </w:r>
      <w:r>
        <w:rPr>
          <w:rFonts w:hint="eastAsia" w:ascii="仿宋_GB2312" w:hAnsi="仿宋_GB2312" w:eastAsia="仿宋_GB2312" w:cs="仿宋_GB2312"/>
          <w:color w:val="000000"/>
          <w:kern w:val="2"/>
          <w:sz w:val="32"/>
          <w:szCs w:val="32"/>
          <w:lang w:val="en-US" w:eastAsia="zh-CN" w:bidi="ar-SA"/>
        </w:rPr>
        <w:t>以及合署办公和业务配套的信息化建设</w:t>
      </w:r>
      <w:r>
        <w:rPr>
          <w:rFonts w:hint="eastAsia" w:ascii="仿宋_GB2312" w:hAnsi="仿宋_GB2312" w:eastAsia="仿宋_GB2312" w:cs="仿宋_GB2312"/>
          <w:color w:val="000000"/>
          <w:sz w:val="32"/>
          <w:szCs w:val="32"/>
        </w:rPr>
        <w:t>。</w:t>
      </w:r>
    </w:p>
    <w:p>
      <w:pPr>
        <w:pStyle w:val="5"/>
        <w:spacing w:line="60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（图5：一般公共预算财政拨款支出决算变动情况）（柱状图）</w:t>
      </w:r>
    </w:p>
    <w:p>
      <w:pPr>
        <w:pStyle w:val="5"/>
        <w:ind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anchor distT="0" distB="0" distL="0" distR="0" simplePos="0" relativeHeight="251662336" behindDoc="1" locked="0" layoutInCell="1" allowOverlap="1">
            <wp:simplePos x="0" y="0"/>
            <wp:positionH relativeFrom="column">
              <wp:posOffset>669925</wp:posOffset>
            </wp:positionH>
            <wp:positionV relativeFrom="paragraph">
              <wp:posOffset>89535</wp:posOffset>
            </wp:positionV>
            <wp:extent cx="4285615" cy="1999615"/>
            <wp:effectExtent l="0" t="0" r="0" b="0"/>
            <wp:wrapTight wrapText="bothSides">
              <wp:wrapPolygon>
                <wp:start x="-22" y="-48"/>
                <wp:lineTo x="-22" y="21353"/>
                <wp:lineTo x="21485" y="21353"/>
                <wp:lineTo x="21485" y="-48"/>
                <wp:lineTo x="-22" y="-48"/>
              </wp:wrapPolygon>
            </wp:wrapTight>
            <wp:docPr id="5" name="对象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5"/>
        <w:numPr>
          <w:ilvl w:val="0"/>
          <w:numId w:val="0"/>
        </w:numPr>
        <w:spacing w:line="600" w:lineRule="exact"/>
        <w:ind w:left="0" w:firstLineChars="200"/>
        <w:outlineLvl w:val="2"/>
        <w:rPr>
          <w:rFonts w:ascii="仿宋" w:hAnsi="仿宋" w:eastAsia="仿宋"/>
          <w:b/>
          <w:color w:val="000000"/>
          <w:sz w:val="32"/>
          <w:szCs w:val="32"/>
        </w:rPr>
      </w:pPr>
      <w:bookmarkStart w:id="32" w:name="_Toc15377211"/>
    </w:p>
    <w:p>
      <w:pPr>
        <w:pStyle w:val="5"/>
        <w:numPr>
          <w:ilvl w:val="0"/>
          <w:numId w:val="0"/>
        </w:numPr>
        <w:spacing w:line="600" w:lineRule="exact"/>
        <w:ind w:left="0" w:firstLineChars="200"/>
        <w:outlineLvl w:val="2"/>
        <w:rPr>
          <w:rFonts w:ascii="仿宋" w:hAnsi="仿宋" w:eastAsia="仿宋"/>
          <w:b/>
          <w:color w:val="000000"/>
          <w:sz w:val="32"/>
          <w:szCs w:val="32"/>
        </w:rPr>
      </w:pPr>
    </w:p>
    <w:p>
      <w:pPr>
        <w:pStyle w:val="5"/>
        <w:numPr>
          <w:ilvl w:val="0"/>
          <w:numId w:val="0"/>
        </w:numPr>
        <w:spacing w:line="600" w:lineRule="exact"/>
        <w:ind w:left="0" w:firstLineChars="200"/>
        <w:outlineLvl w:val="2"/>
        <w:rPr>
          <w:rFonts w:ascii="仿宋" w:hAnsi="仿宋" w:eastAsia="仿宋"/>
          <w:b/>
          <w:color w:val="000000"/>
          <w:sz w:val="32"/>
          <w:szCs w:val="32"/>
        </w:rPr>
      </w:pPr>
    </w:p>
    <w:p>
      <w:pPr>
        <w:pStyle w:val="5"/>
        <w:numPr>
          <w:ilvl w:val="0"/>
          <w:numId w:val="0"/>
        </w:numPr>
        <w:spacing w:line="600" w:lineRule="exact"/>
        <w:ind w:left="0" w:firstLineChars="200"/>
        <w:outlineLvl w:val="2"/>
        <w:rPr>
          <w:rFonts w:ascii="仿宋" w:hAnsi="仿宋" w:eastAsia="仿宋"/>
          <w:b/>
          <w:color w:val="000000"/>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200" w:lineRule="exact"/>
        <w:ind w:left="0" w:firstLineChars="200"/>
        <w:textAlignment w:val="auto"/>
        <w:outlineLvl w:val="2"/>
        <w:rPr>
          <w:rFonts w:ascii="仿宋" w:hAnsi="仿宋" w:eastAsia="仿宋"/>
          <w:b/>
          <w:color w:val="000000"/>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200" w:lineRule="exact"/>
        <w:ind w:left="0" w:firstLineChars="200"/>
        <w:textAlignment w:val="auto"/>
        <w:outlineLvl w:val="2"/>
        <w:rPr>
          <w:rFonts w:ascii="仿宋" w:hAnsi="仿宋" w:eastAsia="仿宋"/>
          <w:b/>
          <w:color w:val="000000"/>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（二）一般公共预算财政拨款支出决算结构情况</w:t>
      </w:r>
      <w:bookmarkEnd w:id="32"/>
    </w:p>
    <w:p>
      <w:pPr>
        <w:pStyle w:val="5"/>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2020年一般公共预算财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13332.75</w:t>
      </w:r>
      <w:r>
        <w:rPr>
          <w:rFonts w:hint="eastAsia" w:ascii="仿宋_GB2312" w:hAnsi="仿宋_GB2312" w:eastAsia="仿宋_GB2312" w:cs="仿宋_GB2312"/>
          <w:color w:val="000000" w:themeColor="text1"/>
          <w:sz w:val="32"/>
          <w:szCs w:val="32"/>
          <w14:textFill>
            <w14:solidFill>
              <w14:schemeClr w14:val="tx1"/>
            </w14:solidFill>
          </w14:textFill>
        </w:rPr>
        <w:t>万元，主要用于以下方面:</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支出171万元，占1.28%；公共安全</w:t>
      </w:r>
      <w:r>
        <w:rPr>
          <w:rFonts w:hint="eastAsia" w:ascii="仿宋_GB2312" w:hAnsi="仿宋_GB2312" w:eastAsia="仿宋_GB2312" w:cs="仿宋_GB2312"/>
          <w:b/>
          <w:color w:val="000000" w:themeColor="text1"/>
          <w:sz w:val="32"/>
          <w:szCs w:val="32"/>
          <w14:textFill>
            <w14:solidFill>
              <w14:schemeClr w14:val="tx1"/>
            </w14:solidFill>
          </w14:textFill>
        </w:rPr>
        <w:t>支出（类）</w:t>
      </w:r>
      <w:r>
        <w:rPr>
          <w:rFonts w:hint="eastAsia" w:ascii="仿宋_GB2312" w:hAnsi="仿宋_GB2312" w:eastAsia="仿宋_GB2312" w:cs="仿宋_GB2312"/>
          <w:b w:val="0"/>
          <w:i w:val="0"/>
          <w:strike w:val="0"/>
          <w:dstrike w:val="0"/>
          <w:outline w:val="0"/>
          <w:shadow w:val="0"/>
          <w:color w:val="000000" w:themeColor="text1"/>
          <w:kern w:val="2"/>
          <w:sz w:val="32"/>
          <w:szCs w:val="32"/>
          <w:u w:val="none"/>
          <w:lang w:val="en-US" w:eastAsia="zh-CN" w:bidi="ar-SA"/>
          <w14:textFill>
            <w14:solidFill>
              <w14:schemeClr w14:val="tx1"/>
            </w14:solidFill>
          </w14:textFill>
        </w:rPr>
        <w:t>11159.21</w:t>
      </w:r>
      <w:r>
        <w:rPr>
          <w:rFonts w:hint="eastAsia" w:ascii="仿宋_GB2312" w:hAnsi="仿宋_GB2312" w:eastAsia="仿宋_GB2312" w:cs="仿宋_GB2312"/>
          <w:color w:val="000000" w:themeColor="text1"/>
          <w:sz w:val="32"/>
          <w:szCs w:val="32"/>
          <w14:textFill>
            <w14:solidFill>
              <w14:schemeClr w14:val="tx1"/>
            </w14:solidFill>
          </w14:textFill>
        </w:rPr>
        <w:t>万元，占83.7%；</w:t>
      </w:r>
      <w:r>
        <w:rPr>
          <w:rFonts w:hint="eastAsia" w:ascii="仿宋_GB2312" w:hAnsi="仿宋_GB2312" w:eastAsia="仿宋_GB2312" w:cs="仿宋_GB2312"/>
          <w:b/>
          <w:color w:val="000000" w:themeColor="text1"/>
          <w:sz w:val="32"/>
          <w:szCs w:val="32"/>
          <w14:textFill>
            <w14:solidFill>
              <w14:schemeClr w14:val="tx1"/>
            </w14:solidFill>
          </w14:textFill>
        </w:rPr>
        <w:t>科学技术（类）</w:t>
      </w:r>
      <w:r>
        <w:rPr>
          <w:rFonts w:hint="eastAsia" w:ascii="仿宋_GB2312" w:hAnsi="仿宋_GB2312" w:eastAsia="仿宋_GB2312" w:cs="仿宋_GB2312"/>
          <w:color w:val="000000" w:themeColor="text1"/>
          <w:sz w:val="32"/>
          <w:szCs w:val="32"/>
          <w14:textFill>
            <w14:solidFill>
              <w14:schemeClr w14:val="tx1"/>
            </w14:solidFill>
          </w14:textFill>
        </w:rPr>
        <w:t>支出0万元，占0%；</w:t>
      </w:r>
      <w:r>
        <w:rPr>
          <w:rFonts w:hint="eastAsia" w:ascii="仿宋_GB2312" w:hAnsi="仿宋_GB2312" w:eastAsia="仿宋_GB2312" w:cs="仿宋_GB2312"/>
          <w:b/>
          <w:bCs/>
          <w:color w:val="000000" w:themeColor="text1"/>
          <w:sz w:val="32"/>
          <w:szCs w:val="32"/>
          <w14:textFill>
            <w14:solidFill>
              <w14:schemeClr w14:val="tx1"/>
            </w14:solidFill>
          </w14:textFill>
        </w:rPr>
        <w:t>文化旅游体育与传媒（类）支出0万元，占0%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color w:val="000000" w:themeColor="text1"/>
          <w:sz w:val="32"/>
          <w:szCs w:val="32"/>
          <w14:textFill>
            <w14:solidFill>
              <w14:schemeClr w14:val="tx1"/>
            </w14:solidFill>
          </w14:textFill>
        </w:rPr>
        <w:t>支出1071.02万元，占8.03%；</w:t>
      </w:r>
      <w:r>
        <w:rPr>
          <w:rFonts w:hint="eastAsia" w:ascii="仿宋_GB2312" w:hAnsi="仿宋_GB2312" w:eastAsia="仿宋_GB2312" w:cs="仿宋_GB2312"/>
          <w:b/>
          <w:bCs/>
          <w:color w:val="000000" w:themeColor="text1"/>
          <w:sz w:val="32"/>
          <w:szCs w:val="32"/>
          <w14:textFill>
            <w14:solidFill>
              <w14:schemeClr w14:val="tx1"/>
            </w14:solidFill>
          </w14:textFill>
        </w:rPr>
        <w:t>卫生健康支出</w:t>
      </w:r>
      <w:r>
        <w:rPr>
          <w:rFonts w:hint="eastAsia" w:ascii="仿宋_GB2312" w:hAnsi="仿宋_GB2312" w:eastAsia="仿宋_GB2312" w:cs="仿宋_GB2312"/>
          <w:color w:val="000000" w:themeColor="text1"/>
          <w:sz w:val="32"/>
          <w:szCs w:val="32"/>
          <w14:textFill>
            <w14:solidFill>
              <w14:schemeClr w14:val="tx1"/>
            </w14:solidFill>
          </w14:textFill>
        </w:rPr>
        <w:t>328.69万元，占2.47%；住房保障支出594.83万元，占4.46%；</w:t>
      </w:r>
      <w:r>
        <w:rPr>
          <w:rFonts w:hint="eastAsia" w:ascii="仿宋_GB2312" w:hAnsi="仿宋_GB2312" w:eastAsia="仿宋_GB2312" w:cs="仿宋_GB2312"/>
          <w:b w:val="0"/>
          <w:i w:val="0"/>
          <w:strike w:val="0"/>
          <w:dstrike w:val="0"/>
          <w:outline w:val="0"/>
          <w:shadow w:val="0"/>
          <w:color w:val="000000" w:themeColor="text1"/>
          <w:kern w:val="2"/>
          <w:sz w:val="32"/>
          <w:szCs w:val="32"/>
          <w:u w:val="none"/>
          <w:lang w:val="en-US" w:eastAsia="zh-CN" w:bidi="ar-SA"/>
          <w14:textFill>
            <w14:solidFill>
              <w14:schemeClr w14:val="tx1"/>
            </w14:solidFill>
          </w14:textFill>
        </w:rPr>
        <w:t>灾害防治及应急管理支出 8万元，占0.06%。</w:t>
      </w:r>
    </w:p>
    <w:p>
      <w:pPr>
        <w:pStyle w:val="5"/>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（图6：一般公共预算财政拨款支出决算结构）（饼状图）</w:t>
      </w:r>
    </w:p>
    <w:p>
      <w:pPr>
        <w:pStyle w:val="5"/>
        <w:ind w:firstLineChars="200"/>
        <w:rPr>
          <w:rFonts w:ascii="仿宋" w:hAnsi="仿宋" w:eastAsia="仿宋"/>
          <w:color w:val="000000"/>
          <w:sz w:val="32"/>
          <w:szCs w:val="32"/>
        </w:rPr>
      </w:pPr>
      <w:r>
        <w:rPr>
          <w:rFonts w:ascii="仿宋" w:hAnsi="仿宋" w:eastAsia="仿宋"/>
          <w:color w:val="000000"/>
          <w:sz w:val="32"/>
          <w:szCs w:val="32"/>
        </w:rPr>
        <w:drawing>
          <wp:anchor distT="0" distB="0" distL="0" distR="0" simplePos="0" relativeHeight="251663360" behindDoc="1" locked="0" layoutInCell="1" allowOverlap="1">
            <wp:simplePos x="0" y="0"/>
            <wp:positionH relativeFrom="column">
              <wp:posOffset>718185</wp:posOffset>
            </wp:positionH>
            <wp:positionV relativeFrom="paragraph">
              <wp:posOffset>50800</wp:posOffset>
            </wp:positionV>
            <wp:extent cx="4061460" cy="2059940"/>
            <wp:effectExtent l="5080" t="5080" r="10160" b="11430"/>
            <wp:wrapTight wrapText="bothSides">
              <wp:wrapPolygon>
                <wp:start x="-27" y="-53"/>
                <wp:lineTo x="-27" y="21520"/>
                <wp:lineTo x="21553" y="21520"/>
                <wp:lineTo x="21553" y="-53"/>
                <wp:lineTo x="-27" y="-53"/>
              </wp:wrapPolygon>
            </wp:wrapTight>
            <wp:docPr id="6" name="对象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5"/>
        <w:ind w:firstLineChars="200"/>
        <w:rPr>
          <w:rFonts w:ascii="仿宋" w:hAnsi="仿宋" w:eastAsia="仿宋"/>
          <w:color w:val="000000"/>
          <w:sz w:val="32"/>
          <w:szCs w:val="32"/>
        </w:rPr>
      </w:pPr>
    </w:p>
    <w:p>
      <w:pPr>
        <w:pStyle w:val="5"/>
        <w:ind w:firstLineChars="200"/>
        <w:rPr>
          <w:rFonts w:ascii="仿宋" w:hAnsi="仿宋" w:eastAsia="仿宋"/>
          <w:color w:val="000000"/>
          <w:sz w:val="32"/>
          <w:szCs w:val="32"/>
        </w:rPr>
      </w:pPr>
    </w:p>
    <w:p>
      <w:pPr>
        <w:pStyle w:val="5"/>
        <w:ind w:firstLineChars="200"/>
        <w:rPr>
          <w:rFonts w:ascii="仿宋" w:hAnsi="仿宋" w:eastAsia="仿宋"/>
          <w:color w:val="000000"/>
          <w:sz w:val="32"/>
          <w:szCs w:val="32"/>
        </w:rPr>
      </w:pPr>
    </w:p>
    <w:p>
      <w:pPr>
        <w:pStyle w:val="5"/>
        <w:spacing w:line="600" w:lineRule="exact"/>
        <w:ind w:firstLineChars="200"/>
        <w:rPr>
          <w:rFonts w:ascii="仿宋" w:hAnsi="仿宋" w:eastAsia="仿宋"/>
          <w:color w:val="000000"/>
          <w:sz w:val="32"/>
          <w:szCs w:val="32"/>
        </w:rPr>
      </w:pPr>
    </w:p>
    <w:p>
      <w:pPr>
        <w:pStyle w:val="5"/>
        <w:numPr>
          <w:ilvl w:val="0"/>
          <w:numId w:val="0"/>
        </w:numPr>
        <w:spacing w:line="600" w:lineRule="exact"/>
        <w:ind w:firstLine="640" w:firstLineChars="200"/>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33" w:name="_Toc15377212"/>
      <w:r>
        <w:rPr>
          <w:rFonts w:hint="eastAsia" w:ascii="楷体_GB2312" w:hAnsi="楷体_GB2312" w:eastAsia="楷体_GB2312" w:cs="楷体_GB2312"/>
          <w:b w:val="0"/>
          <w:bCs/>
          <w:color w:val="000000" w:themeColor="text1"/>
          <w:sz w:val="32"/>
          <w:szCs w:val="32"/>
          <w14:textFill>
            <w14:solidFill>
              <w14:schemeClr w14:val="tx1"/>
            </w14:solidFill>
          </w14:textFill>
        </w:rPr>
        <w:t>（三）一般公共预算财政拨款支出决算具体情况</w:t>
      </w:r>
      <w:bookmarkEnd w:id="33"/>
    </w:p>
    <w:p>
      <w:pPr>
        <w:pStyle w:val="5"/>
        <w:numPr>
          <w:ilvl w:val="0"/>
          <w:numId w:val="0"/>
        </w:numPr>
        <w:spacing w:line="600" w:lineRule="exact"/>
        <w:ind w:firstLine="643" w:firstLineChars="200"/>
        <w:outlineLvl w:val="2"/>
        <w:rPr>
          <w:rFonts w:hint="eastAsia" w:ascii="仿宋_GB2312" w:hAnsi="仿宋_GB2312" w:eastAsia="仿宋_GB2312" w:cs="仿宋_GB2312"/>
          <w:color w:val="000000" w:themeColor="text1"/>
          <w:sz w:val="32"/>
          <w:szCs w:val="32"/>
          <w14:textFill>
            <w14:solidFill>
              <w14:schemeClr w14:val="tx1"/>
            </w14:solidFill>
          </w14:textFill>
        </w:rPr>
      </w:pPr>
      <w:bookmarkStart w:id="34" w:name="_Toc15377213"/>
      <w:bookmarkStart w:id="35" w:name="_Toc15377444"/>
      <w:bookmarkStart w:id="36" w:name="_Toc15378460"/>
      <w:r>
        <w:rPr>
          <w:rFonts w:hint="eastAsia" w:ascii="仿宋_GB2312" w:hAnsi="仿宋_GB2312" w:eastAsia="仿宋_GB2312" w:cs="仿宋_GB2312"/>
          <w:b/>
          <w:color w:val="000000" w:themeColor="text1"/>
          <w:sz w:val="32"/>
          <w:szCs w:val="32"/>
          <w14:textFill>
            <w14:solidFill>
              <w14:schemeClr w14:val="tx1"/>
            </w14:solidFill>
          </w14:textFill>
        </w:rPr>
        <w:t>2020年一般公共预算支出决算数为</w:t>
      </w:r>
      <w:r>
        <w:rPr>
          <w:rFonts w:hint="eastAsia" w:ascii="仿宋_GB2312" w:hAnsi="仿宋_GB2312" w:eastAsia="仿宋_GB2312" w:cs="仿宋_GB2312"/>
          <w:b/>
          <w:color w:val="000000" w:themeColor="text1"/>
          <w:sz w:val="32"/>
          <w:szCs w:val="32"/>
          <w:lang w:eastAsia="zh-CN"/>
          <w14:textFill>
            <w14:solidFill>
              <w14:schemeClr w14:val="tx1"/>
            </w14:solidFill>
          </w14:textFill>
        </w:rPr>
        <w:t>13332.75</w:t>
      </w:r>
      <w:r>
        <w:rPr>
          <w:rFonts w:hint="eastAsia" w:ascii="仿宋_GB2312" w:hAnsi="仿宋_GB2312" w:eastAsia="仿宋_GB2312" w:cs="仿宋_GB2312"/>
          <w:b/>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0"/>
          <w:rFonts w:hint="eastAsia" w:ascii="仿宋_GB2312" w:hAnsi="仿宋_GB2312" w:eastAsia="仿宋_GB2312" w:cs="仿宋_GB2312"/>
          <w:bCs/>
          <w:color w:val="000000" w:themeColor="text1"/>
          <w:sz w:val="32"/>
          <w:szCs w:val="32"/>
          <w14:textFill>
            <w14:solidFill>
              <w14:schemeClr w14:val="tx1"/>
            </w14:solidFill>
          </w14:textFill>
        </w:rPr>
        <w:t>完成预算76%。其中：</w:t>
      </w:r>
      <w:bookmarkEnd w:id="34"/>
      <w:bookmarkEnd w:id="35"/>
      <w:bookmarkEnd w:id="36"/>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Style w:val="10"/>
          <w:rFonts w:hint="eastAsia" w:ascii="仿宋_GB2312" w:hAnsi="仿宋_GB2312" w:eastAsia="仿宋_GB2312" w:cs="仿宋_GB2312"/>
          <w:bCs/>
          <w:color w:val="000000" w:themeColor="text1"/>
          <w:sz w:val="32"/>
          <w:szCs w:val="32"/>
          <w14:textFill>
            <w14:solidFill>
              <w14:schemeClr w14:val="tx1"/>
            </w14:solidFill>
          </w14:textFill>
        </w:rPr>
        <w:t>一般公共服务（类）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纪检监察事务</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大案要案查处</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135</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Style w:val="10"/>
          <w:rFonts w:hint="eastAsia" w:ascii="仿宋_GB2312" w:hAnsi="仿宋_GB2312" w:eastAsia="仿宋_GB2312" w:cs="仿宋_GB2312"/>
          <w:bCs/>
          <w:color w:val="000000" w:themeColor="text1"/>
          <w:sz w:val="32"/>
          <w:szCs w:val="32"/>
          <w14:textFill>
            <w14:solidFill>
              <w14:schemeClr w14:val="tx1"/>
            </w14:solidFill>
          </w14:textFill>
        </w:rPr>
        <w:t>一般公共服务（类）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市场监督管理事务</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其他市场监督管理事务</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8.00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公共安全支出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司法</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行政运行</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i w:val="0"/>
          <w:strike w:val="0"/>
          <w:dstrike w:val="0"/>
          <w:outline w:val="0"/>
          <w:shadow w:val="0"/>
          <w:color w:val="000000" w:themeColor="text1"/>
          <w:kern w:val="2"/>
          <w:sz w:val="32"/>
          <w:szCs w:val="32"/>
          <w:u w:val="none"/>
          <w:lang w:val="en-US" w:eastAsia="zh-CN" w:bidi="ar-SA"/>
          <w14:textFill>
            <w14:solidFill>
              <w14:schemeClr w14:val="tx1"/>
            </w14:solidFill>
          </w14:textFill>
        </w:rPr>
        <w:t>5233.75</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万元，完成预算8</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6.00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公共安全支出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司法</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一般行政管理事务</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3808.15</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72.00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公共安全支出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司法</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基层司法业务</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398.33</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92.00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公共安全支出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司法</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普法宣传</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支出决算为3</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70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公共安全支出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司法</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法律援助</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799.97</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公共安全支出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司法</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国家统一法律资格考试</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60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公共安全支出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司法</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法制建设</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439</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公共安全支出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其他公共安全</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其他公共安全</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50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11.</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社会保障和就业支出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行政事业单位离退休</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未归口管理的行政事业单位离退休</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542.90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98.00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12.</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社会保障和就业支出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行政事业单位离退休</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机关事业单位基本养老保险缴费支出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367.01</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98.00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13.</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社会保障和就业支出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行政事业单位离退休</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机关事业单位职业年金缴费支出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支出决算为24</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.16</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14.</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社会保障和就业支出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抚恤</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死亡抚恤</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136.95</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卫生健康支出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行政事业单位医疗</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行政单位医疗</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267.97</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92.00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16.</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卫生健康支出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行政事业单位医疗</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公务员医疗补助</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60.72</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17.</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住房保障支付</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住房改革支出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住房公积金</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377.06</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bidi w:val="0"/>
        <w:spacing w:line="600" w:lineRule="exact"/>
        <w:ind w:firstLine="640" w:firstLineChars="200"/>
        <w:rPr>
          <w:rStyle w:val="10"/>
          <w:rFonts w:hint="eastAsia" w:ascii="仿宋_GB2312" w:hAnsi="仿宋_GB2312" w:eastAsia="仿宋_GB2312" w:cs="仿宋_GB2312"/>
          <w:b w:val="0"/>
          <w:bCs/>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18.</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住房保障支出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住房改革支出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购房补贴</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支出决算为2</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17.77</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19</w:t>
      </w:r>
      <w:r>
        <w:rPr>
          <w:rStyle w:val="10"/>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灾害防治及应急管理支出</w:t>
      </w:r>
      <w:r>
        <w:rPr>
          <w:rStyle w:val="10"/>
          <w:rFonts w:hint="eastAsia" w:ascii="仿宋_GB2312" w:hAnsi="仿宋_GB2312" w:eastAsia="仿宋_GB2312" w:cs="仿宋_GB2312"/>
          <w:bCs/>
          <w:color w:val="000000" w:themeColor="text1"/>
          <w:sz w:val="32"/>
          <w:szCs w:val="32"/>
          <w14:textFill>
            <w14:solidFill>
              <w14:schemeClr w14:val="tx1"/>
            </w14:solidFill>
          </w14:textFill>
        </w:rPr>
        <w:t>（类）</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应急管理事务</w:t>
      </w:r>
      <w:r>
        <w:rPr>
          <w:rStyle w:val="10"/>
          <w:rFonts w:hint="eastAsia" w:ascii="仿宋_GB2312" w:hAnsi="仿宋_GB2312" w:eastAsia="仿宋_GB2312" w:cs="仿宋_GB2312"/>
          <w:bCs/>
          <w:color w:val="000000" w:themeColor="text1"/>
          <w:sz w:val="32"/>
          <w:szCs w:val="32"/>
          <w14:textFill>
            <w14:solidFill>
              <w14:schemeClr w14:val="tx1"/>
            </w14:solidFill>
          </w14:textFill>
        </w:rPr>
        <w:t>（款）</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其他应急管理事务</w:t>
      </w:r>
      <w:r>
        <w:rPr>
          <w:rStyle w:val="10"/>
          <w:rFonts w:hint="eastAsia" w:ascii="仿宋_GB2312" w:hAnsi="仿宋_GB2312" w:eastAsia="仿宋_GB2312" w:cs="仿宋_GB2312"/>
          <w:bCs/>
          <w:color w:val="000000" w:themeColor="text1"/>
          <w:sz w:val="32"/>
          <w:szCs w:val="32"/>
          <w14:textFill>
            <w14:solidFill>
              <w14:schemeClr w14:val="tx1"/>
            </w14:solidFill>
          </w14:textFill>
        </w:rPr>
        <w:t>（项）</w:t>
      </w:r>
      <w:r>
        <w:rPr>
          <w:rStyle w:val="10"/>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支出决算为</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8.00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万元，完成预算</w:t>
      </w:r>
      <w:r>
        <w:rPr>
          <w:rStyle w:val="10"/>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100.00</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5"/>
        <w:numPr>
          <w:ilvl w:val="0"/>
          <w:numId w:val="0"/>
        </w:numPr>
        <w:tabs>
          <w:tab w:val="right" w:pos="8306"/>
        </w:tabs>
        <w:spacing w:line="600" w:lineRule="exact"/>
        <w:ind w:firstLine="640" w:firstLineChars="200"/>
        <w:outlineLvl w:val="1"/>
        <w:rPr>
          <w:rStyle w:val="13"/>
          <w:rFonts w:hint="eastAsia" w:ascii="仿宋_GB2312" w:hAnsi="仿宋_GB2312" w:eastAsia="仿宋_GB2312" w:cs="仿宋_GB2312"/>
          <w:b w:val="0"/>
          <w:color w:val="000000" w:themeColor="text1"/>
          <w14:textFill>
            <w14:solidFill>
              <w14:schemeClr w14:val="tx1"/>
            </w14:solidFill>
          </w14:textFill>
        </w:rPr>
      </w:pPr>
      <w:bookmarkStart w:id="37" w:name="_Toc15377214"/>
      <w:bookmarkStart w:id="38" w:name="_Toc15396608"/>
      <w:r>
        <w:rPr>
          <w:rFonts w:hint="eastAsia" w:ascii="黑体" w:hAnsi="黑体" w:eastAsia="黑体" w:cs="黑体"/>
          <w:color w:val="000000" w:themeColor="text1"/>
          <w:sz w:val="32"/>
          <w:szCs w:val="32"/>
          <w14:textFill>
            <w14:solidFill>
              <w14:schemeClr w14:val="tx1"/>
            </w14:solidFill>
          </w14:textFill>
        </w:rPr>
        <w:t>六</w:t>
      </w:r>
      <w:r>
        <w:rPr>
          <w:rFonts w:hint="eastAsia" w:ascii="黑体" w:hAnsi="黑体" w:eastAsia="黑体" w:cs="黑体"/>
          <w:b/>
          <w:color w:val="000000" w:themeColor="text1"/>
          <w:sz w:val="32"/>
          <w:szCs w:val="32"/>
          <w14:textFill>
            <w14:solidFill>
              <w14:schemeClr w14:val="tx1"/>
            </w14:solidFill>
          </w14:textFill>
        </w:rPr>
        <w:t>、一</w:t>
      </w:r>
      <w:r>
        <w:rPr>
          <w:rStyle w:val="13"/>
          <w:rFonts w:hint="eastAsia" w:ascii="黑体" w:hAnsi="黑体" w:eastAsia="黑体" w:cs="黑体"/>
          <w:b w:val="0"/>
          <w:color w:val="000000" w:themeColor="text1"/>
          <w14:textFill>
            <w14:solidFill>
              <w14:schemeClr w14:val="tx1"/>
            </w14:solidFill>
          </w14:textFill>
        </w:rPr>
        <w:t>般公共预算财政拨款基本支出决算情况说明</w:t>
      </w:r>
      <w:bookmarkEnd w:id="37"/>
      <w:bookmarkEnd w:id="38"/>
      <w:r>
        <w:rPr>
          <w:rStyle w:val="13"/>
          <w:rFonts w:hint="eastAsia" w:ascii="仿宋_GB2312" w:hAnsi="仿宋_GB2312" w:eastAsia="仿宋_GB2312" w:cs="仿宋_GB2312"/>
          <w:b w:val="0"/>
          <w:color w:val="000000" w:themeColor="text1"/>
          <w14:textFill>
            <w14:solidFill>
              <w14:schemeClr w14:val="tx1"/>
            </w14:solidFill>
          </w14:textFill>
        </w:rPr>
        <w:tab/>
      </w:r>
    </w:p>
    <w:p>
      <w:pPr>
        <w:pStyle w:val="5"/>
        <w:numPr>
          <w:ilvl w:val="0"/>
          <w:numId w:val="0"/>
        </w:numPr>
        <w:tabs>
          <w:tab w:val="right" w:pos="8306"/>
        </w:tabs>
        <w:spacing w:line="600" w:lineRule="exact"/>
        <w:ind w:firstLine="640" w:firstLineChars="200"/>
        <w:outlineLvl w:val="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2020年一般公共预算财政拨款基本支出6187.80万元，其中：</w:t>
      </w:r>
    </w:p>
    <w:p>
      <w:pPr>
        <w:pStyle w:val="5"/>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人员经费</w:t>
      </w:r>
      <w:r>
        <w:rPr>
          <w:rFonts w:hint="eastAsia" w:ascii="仿宋_GB2312" w:hAnsi="仿宋_GB2312" w:eastAsia="仿宋_GB2312" w:cs="仿宋_GB2312"/>
          <w:b w:val="0"/>
          <w:i w:val="0"/>
          <w:strike w:val="0"/>
          <w:dstrike w:val="0"/>
          <w:outline w:val="0"/>
          <w:shadow w:val="0"/>
          <w:color w:val="000000" w:themeColor="text1"/>
          <w:kern w:val="2"/>
          <w:sz w:val="32"/>
          <w:szCs w:val="32"/>
          <w:u w:val="none"/>
          <w:lang w:val="en-US" w:eastAsia="zh-CN" w:bidi="ar-SA"/>
          <w14:textFill>
            <w14:solidFill>
              <w14:schemeClr w14:val="tx1"/>
            </w14:solidFill>
          </w14:textFill>
        </w:rPr>
        <w:t>5253</w:t>
      </w:r>
      <w:r>
        <w:rPr>
          <w:rFonts w:hint="eastAsia" w:ascii="仿宋_GB2312" w:hAnsi="仿宋_GB2312" w:eastAsia="仿宋_GB2312" w:cs="仿宋_GB2312"/>
          <w:color w:val="000000" w:themeColor="text1"/>
          <w:sz w:val="32"/>
          <w:szCs w:val="32"/>
          <w14:textFill>
            <w14:solidFill>
              <w14:schemeClr w14:val="tx1"/>
            </w14:solidFill>
          </w14:textFill>
        </w:rPr>
        <w:t>万元，主要包括：基本工资、津贴补贴、绩效工资、机关事业单位基本养老保险缴费、职业年金缴费、其他社会保障缴费、医疗费补助、住房公积金、其他对个人和家庭的补助支出等。</w:t>
      </w:r>
    </w:p>
    <w:p>
      <w:pPr>
        <w:pStyle w:val="5"/>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日常公用经费934.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80</w:t>
      </w:r>
      <w:r>
        <w:rPr>
          <w:rFonts w:hint="eastAsia" w:ascii="仿宋_GB2312" w:hAnsi="仿宋_GB2312" w:eastAsia="仿宋_GB2312" w:cs="仿宋_GB2312"/>
          <w:color w:val="000000" w:themeColor="text1"/>
          <w:sz w:val="32"/>
          <w:szCs w:val="32"/>
          <w14:textFill>
            <w14:solidFill>
              <w14:schemeClr w14:val="tx1"/>
            </w14:solidFill>
          </w14:textFill>
        </w:rPr>
        <w:t>万元，主要包括：办公费、水费、电费、邮电费、取暖费、物业管理费、差旅费、因公出国（境）费用、培训费、工会经费、福利费、公务用车运行维护费等。</w:t>
      </w:r>
    </w:p>
    <w:p>
      <w:pPr>
        <w:pStyle w:val="5"/>
        <w:numPr>
          <w:ilvl w:val="0"/>
          <w:numId w:val="0"/>
        </w:numPr>
        <w:spacing w:line="600" w:lineRule="exact"/>
        <w:ind w:left="0" w:firstLine="640" w:firstLineChars="200"/>
        <w:outlineLvl w:val="1"/>
        <w:rPr>
          <w:rStyle w:val="13"/>
          <w:rFonts w:hint="eastAsia" w:ascii="黑体" w:hAnsi="黑体" w:eastAsia="黑体" w:cs="黑体"/>
          <w:b w:val="0"/>
          <w:color w:val="000000" w:themeColor="text1"/>
          <w14:textFill>
            <w14:solidFill>
              <w14:schemeClr w14:val="tx1"/>
            </w14:solidFill>
          </w14:textFill>
        </w:rPr>
      </w:pPr>
      <w:bookmarkStart w:id="39" w:name="_Toc15377215"/>
      <w:bookmarkStart w:id="40" w:name="_Toc15396609"/>
      <w:r>
        <w:rPr>
          <w:rFonts w:hint="eastAsia" w:ascii="黑体" w:hAnsi="黑体" w:eastAsia="黑体" w:cs="黑体"/>
          <w:color w:val="000000" w:themeColor="text1"/>
          <w:sz w:val="32"/>
          <w:szCs w:val="32"/>
          <w14:textFill>
            <w14:solidFill>
              <w14:schemeClr w14:val="tx1"/>
            </w14:solidFill>
          </w14:textFill>
        </w:rPr>
        <w:t>七、</w:t>
      </w:r>
      <w:r>
        <w:rPr>
          <w:rStyle w:val="13"/>
          <w:rFonts w:hint="eastAsia" w:ascii="黑体" w:hAnsi="黑体" w:eastAsia="黑体" w:cs="黑体"/>
          <w:color w:val="000000" w:themeColor="text1"/>
          <w14:textFill>
            <w14:solidFill>
              <w14:schemeClr w14:val="tx1"/>
            </w14:solidFill>
          </w14:textFill>
        </w:rPr>
        <w:t>“</w:t>
      </w:r>
      <w:r>
        <w:rPr>
          <w:rStyle w:val="13"/>
          <w:rFonts w:hint="eastAsia" w:ascii="黑体" w:hAnsi="黑体" w:eastAsia="黑体" w:cs="黑体"/>
          <w:b w:val="0"/>
          <w:color w:val="000000" w:themeColor="text1"/>
          <w14:textFill>
            <w14:solidFill>
              <w14:schemeClr w14:val="tx1"/>
            </w14:solidFill>
          </w14:textFill>
        </w:rPr>
        <w:t>三公”经费财政拨款支出决算情况说明</w:t>
      </w:r>
      <w:bookmarkEnd w:id="39"/>
      <w:bookmarkEnd w:id="40"/>
    </w:p>
    <w:p>
      <w:pPr>
        <w:pStyle w:val="5"/>
        <w:numPr>
          <w:ilvl w:val="0"/>
          <w:numId w:val="0"/>
        </w:numPr>
        <w:spacing w:line="600" w:lineRule="exact"/>
        <w:ind w:left="0" w:firstLine="640" w:firstLineChars="200"/>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41" w:name="_Toc15377216"/>
      <w:r>
        <w:rPr>
          <w:rFonts w:hint="eastAsia" w:ascii="楷体_GB2312" w:hAnsi="楷体_GB2312" w:eastAsia="楷体_GB2312" w:cs="楷体_GB2312"/>
          <w:b w:val="0"/>
          <w:bCs/>
          <w:color w:val="000000" w:themeColor="text1"/>
          <w:sz w:val="32"/>
          <w:szCs w:val="32"/>
          <w14:textFill>
            <w14:solidFill>
              <w14:schemeClr w14:val="tx1"/>
            </w14:solidFill>
          </w14:textFill>
        </w:rPr>
        <w:t>（一）“三公”经费财政拨款支出决算总体情况说明</w:t>
      </w:r>
      <w:bookmarkEnd w:id="41"/>
    </w:p>
    <w:p>
      <w:pPr>
        <w:pStyle w:val="5"/>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2020年“三公”经费财政拨款支出决算为71.82元，完成预算61.38%，决算数小于预算数的主要原因是单位厉行节约，压减“三公”经费支出。</w:t>
      </w:r>
    </w:p>
    <w:p>
      <w:pPr>
        <w:pStyle w:val="5"/>
        <w:numPr>
          <w:ilvl w:val="0"/>
          <w:numId w:val="0"/>
        </w:numPr>
        <w:spacing w:line="600" w:lineRule="exact"/>
        <w:ind w:left="0" w:firstLine="640" w:firstLineChars="200"/>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42" w:name="_Toc15377217"/>
      <w:r>
        <w:rPr>
          <w:rFonts w:hint="eastAsia" w:ascii="楷体_GB2312" w:hAnsi="楷体_GB2312" w:eastAsia="楷体_GB2312" w:cs="楷体_GB2312"/>
          <w:b w:val="0"/>
          <w:bCs/>
          <w:color w:val="000000" w:themeColor="text1"/>
          <w:sz w:val="32"/>
          <w:szCs w:val="32"/>
          <w14:textFill>
            <w14:solidFill>
              <w14:schemeClr w14:val="tx1"/>
            </w14:solidFill>
          </w14:textFill>
        </w:rPr>
        <w:t>（二）“三公”经费财政拨款支出决算具体情况说明</w:t>
      </w:r>
      <w:bookmarkEnd w:id="42"/>
    </w:p>
    <w:p>
      <w:pPr>
        <w:pStyle w:val="5"/>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2020年“三公”经费财政拨款支出决算中，因公出国（境）费支出决算0万元，占0%；公务用车购置及运行维护费支出决算69.13万元，占96.25%；公务接待费支出决算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2.69</w:t>
      </w:r>
      <w:r>
        <w:rPr>
          <w:rFonts w:hint="eastAsia" w:ascii="仿宋_GB2312" w:hAnsi="仿宋_GB2312" w:eastAsia="仿宋_GB2312" w:cs="仿宋_GB2312"/>
          <w:color w:val="000000" w:themeColor="text1"/>
          <w:sz w:val="32"/>
          <w:szCs w:val="32"/>
          <w14:textFill>
            <w14:solidFill>
              <w14:schemeClr w14:val="tx1"/>
            </w14:solidFill>
          </w14:textFill>
        </w:rPr>
        <w:t>万元，占3.75%。具体情况如下：</w:t>
      </w:r>
    </w:p>
    <w:p>
      <w:pPr>
        <w:pStyle w:val="5"/>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（图7：“三公”经费财政拨款支出结构）（饼状图）</w:t>
      </w:r>
    </w:p>
    <w:p>
      <w:pPr>
        <w:pStyle w:val="5"/>
        <w:ind w:firstLine="641"/>
        <w:rPr>
          <w:rFonts w:ascii="仿宋" w:hAnsi="仿宋" w:eastAsia="仿宋"/>
          <w:color w:val="000000"/>
          <w:sz w:val="32"/>
          <w:szCs w:val="32"/>
        </w:rPr>
      </w:pPr>
      <w:r>
        <w:drawing>
          <wp:anchor distT="0" distB="0" distL="0" distR="0" simplePos="0" relativeHeight="251664384" behindDoc="1" locked="0" layoutInCell="1" allowOverlap="1">
            <wp:simplePos x="0" y="0"/>
            <wp:positionH relativeFrom="column">
              <wp:posOffset>633730</wp:posOffset>
            </wp:positionH>
            <wp:positionV relativeFrom="paragraph">
              <wp:posOffset>29845</wp:posOffset>
            </wp:positionV>
            <wp:extent cx="4171950" cy="2742565"/>
            <wp:effectExtent l="0" t="0" r="0" b="0"/>
            <wp:wrapTight wrapText="bothSides">
              <wp:wrapPolygon>
                <wp:start x="-23" y="-35"/>
                <wp:lineTo x="-23" y="21420"/>
                <wp:lineTo x="21577" y="21420"/>
                <wp:lineTo x="21577" y="-35"/>
                <wp:lineTo x="-23" y="-35"/>
              </wp:wrapPolygon>
            </wp:wrapTight>
            <wp:docPr id="7" name="对象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5"/>
        <w:spacing w:line="600" w:lineRule="exact"/>
        <w:ind w:firstLine="641"/>
        <w:rPr>
          <w:rFonts w:ascii="仿宋" w:hAnsi="仿宋" w:eastAsia="仿宋"/>
          <w:color w:val="000000"/>
          <w:sz w:val="32"/>
          <w:szCs w:val="32"/>
        </w:rPr>
      </w:pPr>
    </w:p>
    <w:p>
      <w:pPr>
        <w:pStyle w:val="5"/>
        <w:numPr>
          <w:ilvl w:val="0"/>
          <w:numId w:val="0"/>
        </w:numPr>
        <w:spacing w:line="600" w:lineRule="exact"/>
        <w:rPr>
          <w:rFonts w:ascii="仿宋_GB2312" w:hAnsi="仿宋_GB2312" w:eastAsia="仿宋_GB2312"/>
          <w:b/>
          <w:color w:val="000000"/>
          <w:sz w:val="32"/>
          <w:szCs w:val="32"/>
        </w:rPr>
      </w:pPr>
    </w:p>
    <w:p>
      <w:pPr>
        <w:pStyle w:val="5"/>
        <w:numPr>
          <w:ilvl w:val="0"/>
          <w:numId w:val="0"/>
        </w:numPr>
        <w:spacing w:line="600" w:lineRule="exact"/>
        <w:rPr>
          <w:rFonts w:ascii="仿宋_GB2312" w:hAnsi="仿宋_GB2312" w:eastAsia="仿宋_GB2312"/>
          <w:b/>
          <w:color w:val="000000"/>
          <w:sz w:val="32"/>
          <w:szCs w:val="32"/>
        </w:rPr>
      </w:pPr>
    </w:p>
    <w:p>
      <w:pPr>
        <w:pStyle w:val="5"/>
        <w:numPr>
          <w:ilvl w:val="0"/>
          <w:numId w:val="0"/>
        </w:numPr>
        <w:spacing w:line="600" w:lineRule="exact"/>
        <w:rPr>
          <w:rFonts w:ascii="仿宋_GB2312" w:hAnsi="仿宋_GB2312" w:eastAsia="仿宋_GB2312"/>
          <w:b/>
          <w:color w:val="000000"/>
          <w:sz w:val="32"/>
          <w:szCs w:val="32"/>
        </w:rPr>
      </w:pPr>
    </w:p>
    <w:p>
      <w:pPr>
        <w:pStyle w:val="5"/>
        <w:numPr>
          <w:ilvl w:val="0"/>
          <w:numId w:val="0"/>
        </w:numPr>
        <w:spacing w:line="600" w:lineRule="exact"/>
        <w:rPr>
          <w:rFonts w:ascii="仿宋_GB2312" w:hAnsi="仿宋_GB2312" w:eastAsia="仿宋_GB2312"/>
          <w:b/>
          <w:color w:val="000000"/>
          <w:sz w:val="32"/>
          <w:szCs w:val="32"/>
        </w:rPr>
      </w:pPr>
    </w:p>
    <w:p>
      <w:pPr>
        <w:pStyle w:val="5"/>
        <w:numPr>
          <w:ilvl w:val="0"/>
          <w:numId w:val="0"/>
        </w:numPr>
        <w:spacing w:line="600" w:lineRule="exact"/>
        <w:rPr>
          <w:rFonts w:ascii="仿宋_GB2312" w:hAnsi="仿宋_GB2312" w:eastAsia="仿宋_GB2312"/>
          <w:b/>
          <w:color w:val="000000"/>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ascii="仿宋_GB2312" w:hAnsi="仿宋_GB2312" w:eastAsia="仿宋_GB2312"/>
          <w:b/>
          <w:color w:val="000000"/>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color w:val="000000" w:themeColor="text1"/>
          <w:sz w:val="32"/>
          <w:szCs w:val="32"/>
          <w14:textFill>
            <w14:solidFill>
              <w14:schemeClr w14:val="tx1"/>
            </w14:solidFill>
          </w14:textFill>
        </w:rPr>
        <w:t>因公出国（境）经费支出</w:t>
      </w:r>
      <w:r>
        <w:rPr>
          <w:rFonts w:hint="eastAsia" w:ascii="仿宋_GB2312" w:hAnsi="仿宋_GB2312" w:eastAsia="仿宋_GB2312" w:cs="仿宋_GB2312"/>
          <w:color w:val="000000" w:themeColor="text1"/>
          <w:sz w:val="32"/>
          <w:szCs w:val="32"/>
          <w14:textFill>
            <w14:solidFill>
              <w14:schemeClr w14:val="tx1"/>
            </w14:solidFill>
          </w14:textFill>
        </w:rPr>
        <w:t>0万元，</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完成预算0%。</w:t>
      </w:r>
      <w:r>
        <w:rPr>
          <w:rFonts w:hint="eastAsia" w:ascii="仿宋_GB2312" w:hAnsi="仿宋_GB2312" w:eastAsia="仿宋_GB2312" w:cs="仿宋_GB2312"/>
          <w:color w:val="000000" w:themeColor="text1"/>
          <w:sz w:val="32"/>
          <w:szCs w:val="32"/>
          <w14:textFill>
            <w14:solidFill>
              <w14:schemeClr w14:val="tx1"/>
            </w14:solidFill>
          </w14:textFill>
        </w:rPr>
        <w:t>全年安排因公出国（境）团组0次，出国（境）0人。因公出国（境）经费支出决算</w:t>
      </w:r>
      <w:r>
        <w:rPr>
          <w:rFonts w:hint="eastAsia" w:ascii="仿宋_GB2312" w:hAnsi="仿宋_GB2312" w:eastAsia="仿宋_GB2312" w:cs="仿宋_GB2312"/>
          <w:color w:val="000000" w:themeColor="text1"/>
          <w:sz w:val="32"/>
          <w:szCs w:val="32"/>
          <w:lang w:eastAsia="zh-CN"/>
          <w14:textFill>
            <w14:solidFill>
              <w14:schemeClr w14:val="tx1"/>
            </w14:solidFill>
          </w14:textFill>
        </w:rPr>
        <w:t>与</w:t>
      </w:r>
      <w:r>
        <w:rPr>
          <w:rFonts w:hint="eastAsia" w:ascii="仿宋_GB2312" w:hAnsi="仿宋_GB2312" w:eastAsia="仿宋_GB2312" w:cs="仿宋_GB2312"/>
          <w:color w:val="000000" w:themeColor="text1"/>
          <w:sz w:val="32"/>
          <w:szCs w:val="32"/>
          <w14:textFill>
            <w14:solidFill>
              <w14:schemeClr w14:val="tx1"/>
            </w14:solidFill>
          </w14:textFill>
        </w:rPr>
        <w:t>2019年减少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64</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，减少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100%。原因是2020年因疫情原因，没有产生</w:t>
      </w:r>
      <w:r>
        <w:rPr>
          <w:rFonts w:hint="eastAsia" w:ascii="仿宋_GB2312" w:hAnsi="仿宋_GB2312" w:eastAsia="仿宋_GB2312" w:cs="仿宋_GB2312"/>
          <w:color w:val="000000" w:themeColor="text1"/>
          <w:sz w:val="32"/>
          <w:szCs w:val="32"/>
          <w14:textFill>
            <w14:solidFill>
              <w14:schemeClr w14:val="tx1"/>
            </w14:solidFill>
          </w14:textFill>
        </w:rPr>
        <w:t>因公出国（境）</w:t>
      </w:r>
      <w:r>
        <w:rPr>
          <w:rFonts w:hint="eastAsia" w:ascii="仿宋_GB2312" w:hAnsi="仿宋_GB2312" w:eastAsia="仿宋_GB2312" w:cs="仿宋_GB2312"/>
          <w:color w:val="000000" w:themeColor="text1"/>
          <w:sz w:val="32"/>
          <w:szCs w:val="32"/>
          <w:lang w:eastAsia="zh-CN"/>
          <w14:textFill>
            <w14:solidFill>
              <w14:schemeClr w14:val="tx1"/>
            </w14:solidFill>
          </w14:textFill>
        </w:rPr>
        <w:t>经费支出。</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2.公务用车购置及运行维护费支出</w:t>
      </w:r>
      <w:r>
        <w:rPr>
          <w:rFonts w:hint="eastAsia" w:ascii="仿宋_GB2312" w:hAnsi="仿宋_GB2312" w:eastAsia="仿宋_GB2312" w:cs="仿宋_GB2312"/>
          <w:color w:val="000000" w:themeColor="text1"/>
          <w:sz w:val="32"/>
          <w:szCs w:val="32"/>
          <w14:textFill>
            <w14:solidFill>
              <w14:schemeClr w14:val="tx1"/>
            </w14:solidFill>
          </w14:textFill>
        </w:rPr>
        <w:t>69.13万元,</w:t>
      </w:r>
      <w:r>
        <w:rPr>
          <w:rStyle w:val="10"/>
          <w:rFonts w:hint="eastAsia" w:ascii="仿宋_GB2312" w:hAnsi="仿宋_GB2312" w:eastAsia="仿宋_GB2312" w:cs="仿宋_GB2312"/>
          <w:b w:val="0"/>
          <w:bCs/>
          <w:color w:val="000000" w:themeColor="text1"/>
          <w:sz w:val="32"/>
          <w:szCs w:val="32"/>
          <w14:textFill>
            <w14:solidFill>
              <w14:schemeClr w14:val="tx1"/>
            </w14:solidFill>
          </w14:textFill>
        </w:rPr>
        <w:t>完成预算80.38%。</w:t>
      </w:r>
      <w:r>
        <w:rPr>
          <w:rFonts w:hint="eastAsia" w:ascii="仿宋_GB2312" w:hAnsi="仿宋_GB2312" w:eastAsia="仿宋_GB2312" w:cs="仿宋_GB2312"/>
          <w:color w:val="000000" w:themeColor="text1"/>
          <w:sz w:val="32"/>
          <w:szCs w:val="32"/>
          <w14:textFill>
            <w14:solidFill>
              <w14:schemeClr w14:val="tx1"/>
            </w14:solidFill>
          </w14:textFill>
        </w:rPr>
        <w:t>公务用车购置及运行维护费支出决算比2019年增加9.80万元，增加18.64%。主要原因是新购车辆一台。</w:t>
      </w:r>
    </w:p>
    <w:p>
      <w:pPr>
        <w:pStyle w:val="25"/>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其中：公务用车购置支出19.04万元。全年按规定更新购置公务用车1辆，其中：轿车1辆，金额19.04万元，主要用于替换报废车辆。截至2020年12月底，单位共有公务用车2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辆，其中：轿车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辆、越野车3辆、载客汽车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辆。</w:t>
      </w:r>
    </w:p>
    <w:p>
      <w:pPr>
        <w:pStyle w:val="25"/>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公务用车运行维护费支出50.09万元。主要用于法律援助、普法宣传、基层司法、法制建设等工作所需的公务用车燃料费、维修费、过路过桥费、保险费等支出。</w:t>
      </w:r>
    </w:p>
    <w:p>
      <w:pPr>
        <w:pStyle w:val="25"/>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3.公务接待费支出2.69万元，完成预算26.9%。公务接待费支出决算比2019年减少5.47万元，下降67.01%。主要原因是单位厉行节约，压减“三公”经费支出。其中：</w:t>
      </w:r>
    </w:p>
    <w:p>
      <w:pPr>
        <w:pStyle w:val="25"/>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hint="eastAsia" w:ascii="仿宋_GB2312" w:hAnsi="仿宋_GB2312" w:eastAsia="仿宋_GB2312" w:cs="仿宋_GB2312"/>
          <w:b w:val="0"/>
          <w:bCs w:val="0"/>
          <w:color w:val="000000" w:themeColor="text1"/>
          <w:sz w:val="32"/>
          <w:szCs w:val="32"/>
          <w:lang w:val="en-US" w:eastAsia="zh-CN" w:bidi="hi-I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bidi="hi-IN"/>
          <w14:textFill>
            <w14:solidFill>
              <w14:schemeClr w14:val="tx1"/>
            </w14:solidFill>
          </w14:textFill>
        </w:rPr>
        <w:t>国内公务接待支出2.69万元，主要用于法律援助、普法宣传、基层司法、法制建设等执行公务、开展业务活动开支的用餐费。全年国内公务接待23批次，214人次，共计支出2.69万元。</w:t>
      </w:r>
    </w:p>
    <w:p>
      <w:pPr>
        <w:pStyle w:val="25"/>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hint="eastAsia" w:ascii="仿宋_GB2312" w:hAnsi="仿宋_GB2312" w:eastAsia="仿宋_GB2312" w:cs="仿宋_GB2312"/>
          <w:b w:val="0"/>
          <w:bCs w:val="0"/>
          <w:color w:val="000000" w:themeColor="text1"/>
          <w:sz w:val="32"/>
          <w:szCs w:val="32"/>
          <w:lang w:val="en-US" w:eastAsia="zh-CN" w:bidi="hi-I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bidi="hi-IN"/>
          <w14:textFill>
            <w14:solidFill>
              <w14:schemeClr w14:val="tx1"/>
            </w14:solidFill>
          </w14:textFill>
        </w:rPr>
        <w:t>无外事接待支出。</w:t>
      </w:r>
      <w:bookmarkStart w:id="43" w:name="_Toc15377218"/>
      <w:bookmarkStart w:id="44" w:name="_Toc15396610"/>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outlineLvl w:val="1"/>
        <w:rPr>
          <w:rStyle w:val="13"/>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八、</w:t>
      </w:r>
      <w:r>
        <w:rPr>
          <w:rStyle w:val="13"/>
          <w:rFonts w:ascii="黑体" w:hAnsi="黑体" w:eastAsia="黑体"/>
          <w:b w:val="0"/>
          <w:color w:val="000000" w:themeColor="text1"/>
          <w:sz w:val="32"/>
          <w:szCs w:val="32"/>
          <w14:textFill>
            <w14:solidFill>
              <w14:schemeClr w14:val="tx1"/>
            </w14:solidFill>
          </w14:textFill>
        </w:rPr>
        <w:t>政府性基金预算支出决算情况说明</w:t>
      </w:r>
      <w:bookmarkEnd w:id="43"/>
      <w:bookmarkEnd w:id="44"/>
    </w:p>
    <w:p>
      <w:pPr>
        <w:pStyle w:val="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2020年政府性基金预算拨款支出0万元。</w:t>
      </w:r>
    </w:p>
    <w:p>
      <w:pPr>
        <w:pStyle w:val="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firstLine="640" w:firstLineChars="200"/>
        <w:jc w:val="both"/>
        <w:textAlignment w:val="auto"/>
        <w:outlineLvl w:val="1"/>
        <w:rPr>
          <w:rStyle w:val="13"/>
          <w:rFonts w:ascii="黑体" w:hAnsi="黑体" w:eastAsia="黑体"/>
          <w:b w:val="0"/>
          <w:color w:val="000000" w:themeColor="text1"/>
          <w:sz w:val="32"/>
          <w:szCs w:val="32"/>
          <w14:textFill>
            <w14:solidFill>
              <w14:schemeClr w14:val="tx1"/>
            </w14:solidFill>
          </w14:textFill>
        </w:rPr>
      </w:pPr>
      <w:bookmarkStart w:id="45" w:name="_Toc15377219"/>
      <w:bookmarkStart w:id="46" w:name="_Toc15396611"/>
      <w:r>
        <w:rPr>
          <w:rStyle w:val="13"/>
          <w:rFonts w:hint="eastAsia" w:ascii="黑体" w:hAnsi="黑体" w:eastAsia="黑体"/>
          <w:b w:val="0"/>
          <w:color w:val="000000" w:themeColor="text1"/>
          <w:sz w:val="32"/>
          <w:szCs w:val="32"/>
          <w:lang w:eastAsia="zh-CN"/>
          <w14:textFill>
            <w14:solidFill>
              <w14:schemeClr w14:val="tx1"/>
            </w14:solidFill>
          </w14:textFill>
        </w:rPr>
        <w:t>九、</w:t>
      </w:r>
      <w:r>
        <w:rPr>
          <w:rStyle w:val="13"/>
          <w:rFonts w:ascii="黑体" w:hAnsi="黑体" w:eastAsia="黑体"/>
          <w:b w:val="0"/>
          <w:color w:val="000000" w:themeColor="text1"/>
          <w:sz w:val="32"/>
          <w:szCs w:val="32"/>
          <w14:textFill>
            <w14:solidFill>
              <w14:schemeClr w14:val="tx1"/>
            </w14:solidFill>
          </w14:textFill>
        </w:rPr>
        <w:t>国有资本经营预算支出决算情况说明</w:t>
      </w:r>
      <w:bookmarkEnd w:id="45"/>
      <w:bookmarkEnd w:id="46"/>
    </w:p>
    <w:p>
      <w:pPr>
        <w:pStyle w:val="5"/>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2020年国有资本经营预算拨款支出0万元。</w:t>
      </w:r>
    </w:p>
    <w:p>
      <w:pPr>
        <w:pStyle w:val="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firstLine="640" w:firstLineChars="200"/>
        <w:jc w:val="both"/>
        <w:textAlignment w:val="auto"/>
        <w:outlineLvl w:val="1"/>
        <w:rPr>
          <w:rStyle w:val="13"/>
          <w:rFonts w:ascii="黑体" w:hAnsi="黑体" w:eastAsia="黑体"/>
          <w:b w:val="0"/>
          <w:color w:val="000000" w:themeColor="text1"/>
          <w:sz w:val="32"/>
          <w:szCs w:val="32"/>
          <w14:textFill>
            <w14:solidFill>
              <w14:schemeClr w14:val="tx1"/>
            </w14:solidFill>
          </w14:textFill>
        </w:rPr>
      </w:pPr>
      <w:bookmarkStart w:id="47" w:name="_Toc15377221"/>
      <w:bookmarkStart w:id="48" w:name="_Toc15396612"/>
      <w:r>
        <w:rPr>
          <w:rStyle w:val="13"/>
          <w:rFonts w:hint="eastAsia" w:ascii="黑体" w:hAnsi="黑体" w:eastAsia="黑体"/>
          <w:b w:val="0"/>
          <w:color w:val="000000" w:themeColor="text1"/>
          <w:sz w:val="32"/>
          <w:szCs w:val="32"/>
          <w:lang w:eastAsia="zh-CN"/>
          <w14:textFill>
            <w14:solidFill>
              <w14:schemeClr w14:val="tx1"/>
            </w14:solidFill>
          </w14:textFill>
        </w:rPr>
        <w:t>十、</w:t>
      </w:r>
      <w:r>
        <w:rPr>
          <w:rStyle w:val="13"/>
          <w:rFonts w:ascii="黑体" w:hAnsi="黑体" w:eastAsia="黑体"/>
          <w:b w:val="0"/>
          <w:color w:val="000000" w:themeColor="text1"/>
          <w:sz w:val="32"/>
          <w:szCs w:val="32"/>
          <w14:textFill>
            <w14:solidFill>
              <w14:schemeClr w14:val="tx1"/>
            </w14:solidFill>
          </w14:textFill>
        </w:rPr>
        <w:t>其他重要事项的情况说明</w:t>
      </w:r>
      <w:bookmarkEnd w:id="47"/>
      <w:bookmarkEnd w:id="48"/>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2"/>
        <w:rPr>
          <w:rFonts w:hint="eastAsia" w:ascii="楷体_GB2312" w:hAnsi="楷体_GB2312" w:eastAsia="楷体_GB2312" w:cs="楷体_GB2312"/>
          <w:b w:val="0"/>
          <w:bCs/>
          <w:color w:val="000000" w:themeColor="text1"/>
          <w:sz w:val="32"/>
          <w:szCs w:val="32"/>
          <w14:textFill>
            <w14:solidFill>
              <w14:schemeClr w14:val="tx1"/>
            </w14:solidFill>
          </w14:textFill>
        </w:rPr>
      </w:pPr>
      <w:bookmarkStart w:id="49" w:name="_Toc15377222"/>
      <w:r>
        <w:rPr>
          <w:rFonts w:hint="eastAsia" w:ascii="楷体_GB2312" w:hAnsi="楷体_GB2312" w:eastAsia="楷体_GB2312" w:cs="楷体_GB2312"/>
          <w:b w:val="0"/>
          <w:bCs/>
          <w:color w:val="000000" w:themeColor="text1"/>
          <w:sz w:val="32"/>
          <w:szCs w:val="32"/>
          <w14:textFill>
            <w14:solidFill>
              <w14:schemeClr w14:val="tx1"/>
            </w14:solidFill>
          </w14:textFill>
        </w:rPr>
        <w:t>（一）机关运行经费支出情况</w:t>
      </w:r>
      <w:bookmarkEnd w:id="49"/>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2020年，司法厅机关运行经费支出934.79万元，比2019年增加241.78万元，增加34.89%，主要变动原因是主要用于合署办公的信息化建设。</w:t>
      </w:r>
    </w:p>
    <w:p>
      <w:pPr>
        <w:pStyle w:val="25"/>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ascii="楷体_GB2312" w:hAnsi="楷体_GB2312" w:eastAsia="楷体_GB2312" w:cs="楷体_GB2312"/>
          <w:color w:val="000000" w:themeColor="text1"/>
          <w:sz w:val="32"/>
          <w:szCs w:val="32"/>
          <w14:textFill>
            <w14:solidFill>
              <w14:schemeClr w14:val="tx1"/>
            </w14:solidFill>
          </w14:textFill>
        </w:rPr>
      </w:pPr>
      <w:r>
        <w:rPr>
          <w:rFonts w:ascii="楷体_GB2312" w:hAnsi="楷体_GB2312" w:eastAsia="楷体_GB2312" w:cs="楷体_GB2312"/>
          <w:color w:val="000000" w:themeColor="text1"/>
          <w:sz w:val="32"/>
          <w:szCs w:val="32"/>
          <w14:textFill>
            <w14:solidFill>
              <w14:schemeClr w14:val="tx1"/>
            </w14:solidFill>
          </w14:textFill>
        </w:rPr>
        <w:t>（二）政府采购支出情况</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2020年，司法厅政府采购支出总额2909.79万元，其中：政府采购货物支出598.66万元、政府采购工程支出0万元、政府采购服务支出2311.14万元。主要用于信息化建设及政府购买服务。授予中小企业合同金额20.17万元，占政府采购支出总额的0.69%，其中：授予小微企业合同金额20.17万元，占政府采购支出总额的0.69%。</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_GB2312" w:eastAsia="楷体_GB2312" w:cs="楷体_GB2312"/>
          <w:color w:val="000000" w:themeColor="text1"/>
          <w:sz w:val="32"/>
          <w:szCs w:val="32"/>
          <w14:textFill>
            <w14:solidFill>
              <w14:schemeClr w14:val="tx1"/>
            </w14:solidFill>
          </w14:textFill>
        </w:rPr>
      </w:pPr>
      <w:r>
        <w:rPr>
          <w:rFonts w:ascii="楷体_GB2312" w:hAnsi="楷体_GB2312" w:eastAsia="楷体_GB2312" w:cs="楷体_GB2312"/>
          <w:color w:val="000000" w:themeColor="text1"/>
          <w:sz w:val="32"/>
          <w:szCs w:val="32"/>
          <w14:textFill>
            <w14:solidFill>
              <w14:schemeClr w14:val="tx1"/>
            </w14:solidFill>
          </w14:textFill>
        </w:rPr>
        <w:t>（三）国有资产占有使用情况</w:t>
      </w:r>
    </w:p>
    <w:p>
      <w:pPr>
        <w:pStyle w:val="25"/>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截至2020年12月31日，司法厅共有车辆24辆，其中：主要领导干部用车1辆、机要通信用车2辆、应急保障用车3辆、执法执勤用车15辆、其他用车3辆，其他用车主要是用于离退休老干部用车。单价50万元以上通用设备0台（套），单价100万元以上专用设备0台（套）。</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_GB2312" w:eastAsia="楷体_GB2312" w:cs="楷体_GB2312"/>
          <w:color w:val="000000" w:themeColor="text1"/>
          <w:sz w:val="32"/>
          <w:szCs w:val="32"/>
          <w14:textFill>
            <w14:solidFill>
              <w14:schemeClr w14:val="tx1"/>
            </w14:solidFill>
          </w14:textFill>
        </w:rPr>
      </w:pPr>
      <w:r>
        <w:rPr>
          <w:rFonts w:ascii="楷体_GB2312" w:hAnsi="楷体_GB2312" w:eastAsia="楷体_GB2312" w:cs="楷体_GB2312"/>
          <w:color w:val="000000" w:themeColor="text1"/>
          <w:sz w:val="32"/>
          <w:szCs w:val="32"/>
          <w14:textFill>
            <w14:solidFill>
              <w14:schemeClr w14:val="tx1"/>
            </w14:solidFill>
          </w14:textFill>
        </w:rPr>
        <w:t>（四）预算绩效管理情况</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根据预算绩效管理要求，本部门在2020年度预算编制阶段，组织对法律援助等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ascii="仿宋_GB2312" w:hAnsi="仿宋_GB2312" w:eastAsia="仿宋_GB2312" w:cs="仿宋_GB2312"/>
          <w:color w:val="000000" w:themeColor="text1"/>
          <w:sz w:val="32"/>
          <w:szCs w:val="32"/>
          <w14:textFill>
            <w14:solidFill>
              <w14:schemeClr w14:val="tx1"/>
            </w14:solidFill>
          </w14:textFill>
        </w:rPr>
        <w:t>个项目开展了预算事前绩效评估，对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ascii="仿宋_GB2312" w:hAnsi="仿宋_GB2312" w:eastAsia="仿宋_GB2312" w:cs="仿宋_GB2312"/>
          <w:color w:val="000000" w:themeColor="text1"/>
          <w:sz w:val="32"/>
          <w:szCs w:val="32"/>
          <w14:textFill>
            <w14:solidFill>
              <w14:schemeClr w14:val="tx1"/>
            </w14:solidFill>
          </w14:textFill>
        </w:rPr>
        <w:t>个项目编制了绩效目标，预算执行过程中，选取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ascii="仿宋_GB2312" w:hAnsi="仿宋_GB2312" w:eastAsia="仿宋_GB2312" w:cs="仿宋_GB2312"/>
          <w:color w:val="000000" w:themeColor="text1"/>
          <w:sz w:val="32"/>
          <w:szCs w:val="32"/>
          <w14:textFill>
            <w14:solidFill>
              <w14:schemeClr w14:val="tx1"/>
            </w14:solidFill>
          </w14:textFill>
        </w:rPr>
        <w:t>个项目开展绩效监控，年终执行完毕后，对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ascii="仿宋_GB2312" w:hAnsi="仿宋_GB2312" w:eastAsia="仿宋_GB2312" w:cs="仿宋_GB2312"/>
          <w:color w:val="000000" w:themeColor="text1"/>
          <w:sz w:val="32"/>
          <w:szCs w:val="32"/>
          <w14:textFill>
            <w14:solidFill>
              <w14:schemeClr w14:val="tx1"/>
            </w14:solidFill>
          </w14:textFill>
        </w:rPr>
        <w:t>个项目开展了绩效目标完成情况自评。2020年部门支出绩效自评总分90分，我厅得分86.12分，主要扣分原因：一是“评价部门年初预算编制是否科学准确”扣分0.79分，原因是2020年预算调剂金额184万元，根据公式计算后此项得分9.21分；二是“评价部门在6、9、11月的预算执行情况”扣分1.6分，原因是2020年6月执行进度32.01%、9月执行进度56.07%、11月执行进度73.6%，根据公式计算后此项得分8.4分；三是“预算完成”扣分1.49分，原因是2020年12月执行进度85.1%，自评得分8.51分。2020年基本完成预算，在执行过程中仍然存在一些问题，主要表现在以下几个方面：一是存在调账较多；二是预算执行未严格按照预算编制执行；三是仍然存在无预算的支出；四是存在未按预算经济科目开支的现象。</w:t>
      </w:r>
    </w:p>
    <w:p>
      <w:pPr>
        <w:pStyle w:val="5"/>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1.项目绩效目标完成情况。</w:t>
      </w:r>
    </w:p>
    <w:p>
      <w:pPr>
        <w:pStyle w:val="5"/>
        <w:keepNext w:val="0"/>
        <w:keepLines w:val="0"/>
        <w:pageBreakBefore w:val="0"/>
        <w:widowControl w:val="0"/>
        <w:kinsoku/>
        <w:wordWrap/>
        <w:overflowPunct/>
        <w:topLinePunct w:val="0"/>
        <w:autoSpaceDE/>
        <w:autoSpaceDN/>
        <w:bidi w:val="0"/>
        <w:adjustRightInd/>
        <w:snapToGrid/>
        <w:spacing w:line="600" w:lineRule="exact"/>
        <w:ind w:left="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本单位</w:t>
      </w:r>
      <w:r>
        <w:rPr>
          <w:rFonts w:ascii="仿宋_GB2312" w:hAnsi="仿宋_GB2312" w:eastAsia="仿宋_GB2312" w:cs="仿宋_GB2312"/>
          <w:color w:val="000000" w:themeColor="text1"/>
          <w:sz w:val="32"/>
          <w:szCs w:val="32"/>
          <w14:textFill>
            <w14:solidFill>
              <w14:schemeClr w14:val="tx1"/>
            </w14:solidFill>
          </w14:textFill>
        </w:rPr>
        <w:t>在2020年度部门决算中反映“普法宣传”“法制建设”“基层司法”等5个项目绩效目标实际完成情况。</w:t>
      </w:r>
    </w:p>
    <w:p>
      <w:pPr>
        <w:pStyle w:val="25"/>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厅机关普法宣传经费2020年度全年预算数400万元，执行数为400万元，完成预算的100%。项目绩效总体目标包括宪法法律宣传教育等重点工作，利用全年重要时间节点，会同有关省直部门，组织开展法治宣传主题活动，推动落实“谁执法谁普法”责任制，为治蜀兴川再上新台阶营造浓厚法治氛围。具体绩效指标：宣传栏目《法治明镜》每期收视人数50万人以上；播出节目52期，重播节目104期；2020年12月31日以前完成12.4宪法宣传活动；法治教育覆盖面达到全省21个市州等。普法宣传项目政策依据充分，目标较明确，组织实施较为有序，通过项目实施，保障全省普法工作、开展专项普法活动，包括法律七进和藏区彝区法制宣传活动等，对构建社会和谐、促进我省法治宣传教育发展起到了积极作用。发现的主要问题：普法宣传经费项目绩效目标数量指标还不够具体量化；项目执行时间较晚，年底支付占比较大。下一步改进措施：预算编制过程中项目绩效目标更加细化和全面。切实加强项目立项审查和监督力度，督促具体实施单位加快实施进度，项目单位按计划实现绩效目标。</w:t>
      </w: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keepNext w:val="0"/>
        <w:keepLines w:val="0"/>
        <w:pageBreakBefore w:val="0"/>
        <w:widowControl w:val="0"/>
        <w:numPr>
          <w:ilvl w:val="0"/>
          <w:numId w:val="0"/>
        </w:numPr>
        <w:suppressAutoHyphens w:val="0"/>
        <w:kinsoku/>
        <w:wordWrap/>
        <w:overflowPunct/>
        <w:topLinePunct w:val="0"/>
        <w:autoSpaceDE/>
        <w:autoSpaceDN/>
        <w:bidi w:val="0"/>
        <w:adjustRightInd/>
        <w:snapToGrid/>
        <w:spacing w:beforeLines="0" w:afterLines="0" w:line="20" w:lineRule="exact"/>
        <w:jc w:val="both"/>
        <w:textAlignment w:val="auto"/>
      </w:pPr>
    </w:p>
    <w:p>
      <w:pPr>
        <w:pStyle w:val="26"/>
        <w:keepNext w:val="0"/>
        <w:keepLines w:val="0"/>
        <w:pageBreakBefore w:val="0"/>
        <w:widowControl w:val="0"/>
        <w:numPr>
          <w:ilvl w:val="0"/>
          <w:numId w:val="0"/>
        </w:numPr>
        <w:suppressAutoHyphens w:val="0"/>
        <w:kinsoku/>
        <w:wordWrap/>
        <w:overflowPunct/>
        <w:topLinePunct w:val="0"/>
        <w:autoSpaceDE/>
        <w:autoSpaceDN/>
        <w:bidi w:val="0"/>
        <w:adjustRightInd/>
        <w:snapToGrid/>
        <w:spacing w:beforeLines="0" w:afterLines="0" w:line="20" w:lineRule="exact"/>
        <w:jc w:val="both"/>
        <w:textAlignment w:val="auto"/>
      </w:pPr>
    </w:p>
    <w:tbl>
      <w:tblPr>
        <w:tblStyle w:val="7"/>
        <w:tblpPr w:leftFromText="180" w:rightFromText="180" w:vertAnchor="text" w:horzAnchor="page" w:tblpXSpec="center" w:tblpY="234"/>
        <w:tblOverlap w:val="never"/>
        <w:tblW w:w="10750" w:type="dxa"/>
        <w:jc w:val="center"/>
        <w:tblInd w:w="0" w:type="dxa"/>
        <w:tblLayout w:type="fixed"/>
        <w:tblCellMar>
          <w:top w:w="15" w:type="dxa"/>
          <w:left w:w="15" w:type="dxa"/>
          <w:bottom w:w="0" w:type="dxa"/>
          <w:right w:w="15" w:type="dxa"/>
        </w:tblCellMar>
      </w:tblPr>
      <w:tblGrid>
        <w:gridCol w:w="1125"/>
        <w:gridCol w:w="1290"/>
        <w:gridCol w:w="1485"/>
        <w:gridCol w:w="1515"/>
        <w:gridCol w:w="1725"/>
        <w:gridCol w:w="2025"/>
        <w:gridCol w:w="1585"/>
      </w:tblGrid>
      <w:tr>
        <w:tblPrEx>
          <w:tblLayout w:type="fixed"/>
          <w:tblCellMar>
            <w:top w:w="15" w:type="dxa"/>
            <w:left w:w="15" w:type="dxa"/>
            <w:bottom w:w="0" w:type="dxa"/>
            <w:right w:w="15" w:type="dxa"/>
          </w:tblCellMar>
        </w:tblPrEx>
        <w:trPr>
          <w:trHeight w:val="430" w:hRule="atLeast"/>
          <w:jc w:val="center"/>
        </w:trPr>
        <w:tc>
          <w:tcPr>
            <w:tcW w:w="10750" w:type="dxa"/>
            <w:gridSpan w:val="7"/>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宋体" w:hAnsi="宋体" w:eastAsia="宋体" w:cs="宋体"/>
                <w:b/>
                <w:i w:val="0"/>
                <w:color w:val="000000"/>
                <w:kern w:val="0"/>
                <w:sz w:val="32"/>
                <w:szCs w:val="32"/>
                <w:u w:val="none"/>
                <w:lang w:val="en-US" w:eastAsia="zh-CN" w:bidi="ar"/>
              </w:rPr>
            </w:pPr>
            <w:r>
              <w:rPr>
                <w:rFonts w:hint="eastAsia" w:ascii="黑体" w:hAnsi="黑体" w:eastAsia="黑体" w:cs="黑体"/>
                <w:b w:val="0"/>
                <w:bCs/>
                <w:i w:val="0"/>
                <w:color w:val="000000"/>
                <w:kern w:val="0"/>
                <w:sz w:val="24"/>
                <w:szCs w:val="24"/>
                <w:u w:val="none"/>
                <w:lang w:val="en-US" w:eastAsia="zh-CN" w:bidi="ar"/>
              </w:rPr>
              <w:t>项目绩效目标完成情况表</w:t>
            </w:r>
          </w:p>
        </w:tc>
      </w:tr>
      <w:tr>
        <w:tblPrEx>
          <w:tblLayout w:type="fixed"/>
          <w:tblCellMar>
            <w:top w:w="15" w:type="dxa"/>
            <w:left w:w="15" w:type="dxa"/>
            <w:bottom w:w="0" w:type="dxa"/>
            <w:right w:w="15" w:type="dxa"/>
          </w:tblCellMar>
        </w:tblPrEx>
        <w:trPr>
          <w:trHeight w:val="362" w:hRule="atLeast"/>
          <w:jc w:val="center"/>
        </w:trPr>
        <w:tc>
          <w:tcPr>
            <w:tcW w:w="10750" w:type="dxa"/>
            <w:gridSpan w:val="7"/>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宋体" w:hAnsi="宋体" w:eastAsia="宋体" w:cs="宋体"/>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2020   年度）</w:t>
            </w:r>
          </w:p>
        </w:tc>
      </w:tr>
      <w:tr>
        <w:tblPrEx>
          <w:tblLayout w:type="fixed"/>
          <w:tblCellMar>
            <w:top w:w="15" w:type="dxa"/>
            <w:left w:w="15" w:type="dxa"/>
            <w:bottom w:w="0" w:type="dxa"/>
            <w:right w:w="15" w:type="dxa"/>
          </w:tblCellMar>
        </w:tblPrEx>
        <w:trPr>
          <w:trHeight w:val="409" w:hRule="atLeast"/>
          <w:jc w:val="center"/>
        </w:trPr>
        <w:tc>
          <w:tcPr>
            <w:tcW w:w="241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33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普法宣传经费</w:t>
            </w:r>
          </w:p>
        </w:tc>
      </w:tr>
      <w:tr>
        <w:tblPrEx>
          <w:tblLayout w:type="fixed"/>
          <w:tblCellMar>
            <w:top w:w="15" w:type="dxa"/>
            <w:left w:w="15" w:type="dxa"/>
            <w:bottom w:w="0" w:type="dxa"/>
            <w:right w:w="15" w:type="dxa"/>
          </w:tblCellMar>
        </w:tblPrEx>
        <w:trPr>
          <w:trHeight w:val="439" w:hRule="atLeast"/>
          <w:jc w:val="center"/>
        </w:trPr>
        <w:tc>
          <w:tcPr>
            <w:tcW w:w="241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4725" w:type="dxa"/>
            <w:gridSpan w:val="3"/>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四川省司法厅</w:t>
            </w: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四川省司法厅机关</w:t>
            </w:r>
          </w:p>
        </w:tc>
      </w:tr>
      <w:tr>
        <w:tblPrEx>
          <w:tblLayout w:type="fixed"/>
          <w:tblCellMar>
            <w:top w:w="15" w:type="dxa"/>
            <w:left w:w="15" w:type="dxa"/>
            <w:bottom w:w="0" w:type="dxa"/>
            <w:right w:w="15" w:type="dxa"/>
          </w:tblCellMar>
        </w:tblPrEx>
        <w:trPr>
          <w:trHeight w:val="439" w:hRule="atLeast"/>
          <w:jc w:val="center"/>
        </w:trPr>
        <w:tc>
          <w:tcPr>
            <w:tcW w:w="241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项目预算</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执行情况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（万元）</w:t>
            </w: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预算数：</w:t>
            </w:r>
          </w:p>
        </w:tc>
        <w:tc>
          <w:tcPr>
            <w:tcW w:w="17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400.0</w:t>
            </w: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执行数：</w:t>
            </w: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400</w:t>
            </w:r>
          </w:p>
        </w:tc>
      </w:tr>
      <w:tr>
        <w:tblPrEx>
          <w:tblLayout w:type="fixed"/>
          <w:tblCellMar>
            <w:top w:w="15" w:type="dxa"/>
            <w:left w:w="15" w:type="dxa"/>
            <w:bottom w:w="0" w:type="dxa"/>
            <w:right w:w="15" w:type="dxa"/>
          </w:tblCellMar>
        </w:tblPrEx>
        <w:trPr>
          <w:trHeight w:val="439"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其中：财政拨款</w:t>
            </w:r>
          </w:p>
        </w:tc>
        <w:tc>
          <w:tcPr>
            <w:tcW w:w="17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400.0</w:t>
            </w: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其中：财政拨款</w:t>
            </w: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400</w:t>
            </w:r>
          </w:p>
        </w:tc>
      </w:tr>
      <w:tr>
        <w:tblPrEx>
          <w:tblLayout w:type="fixed"/>
          <w:tblCellMar>
            <w:top w:w="15" w:type="dxa"/>
            <w:left w:w="15" w:type="dxa"/>
            <w:bottom w:w="0" w:type="dxa"/>
            <w:right w:w="15" w:type="dxa"/>
          </w:tblCellMar>
        </w:tblPrEx>
        <w:trPr>
          <w:trHeight w:val="439"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其他资金</w:t>
            </w:r>
          </w:p>
        </w:tc>
        <w:tc>
          <w:tcPr>
            <w:tcW w:w="17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0.0</w:t>
            </w: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其他资金</w:t>
            </w: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307"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情</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况</w:t>
            </w:r>
          </w:p>
        </w:tc>
        <w:tc>
          <w:tcPr>
            <w:tcW w:w="6015" w:type="dxa"/>
            <w:gridSpan w:val="4"/>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预期目标</w:t>
            </w:r>
          </w:p>
        </w:tc>
        <w:tc>
          <w:tcPr>
            <w:tcW w:w="361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目标实际完成情况</w:t>
            </w:r>
          </w:p>
        </w:tc>
      </w:tr>
      <w:tr>
        <w:tblPrEx>
          <w:tblLayout w:type="fixed"/>
          <w:tblCellMar>
            <w:top w:w="15" w:type="dxa"/>
            <w:left w:w="15" w:type="dxa"/>
            <w:bottom w:w="0" w:type="dxa"/>
            <w:right w:w="15" w:type="dxa"/>
          </w:tblCellMar>
        </w:tblPrEx>
        <w:trPr>
          <w:trHeight w:val="175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6015" w:type="dxa"/>
            <w:gridSpan w:val="4"/>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推进法治理论研究，促进理论与实务相结合推进工作创新，充分发挥《四川司法》内部学术期刊对司法行政工作决策实践的先导和服务作用，为法治建设提供理论支撑和保障。</w:t>
            </w:r>
          </w:p>
        </w:tc>
        <w:tc>
          <w:tcPr>
            <w:tcW w:w="361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举办“民法典让生活更美好”法治微视频微电影大赛，搭建2020“法治四川行”专栏，与媒体合作推进四川普法宣传，为藏区购买宪法汉藏单行本，推出依法治省公益广告，开展全省法治文化示范阵地评选活动等。</w:t>
            </w:r>
          </w:p>
        </w:tc>
      </w:tr>
      <w:tr>
        <w:tblPrEx>
          <w:tblLayout w:type="fixed"/>
          <w:tblCellMar>
            <w:top w:w="15" w:type="dxa"/>
            <w:left w:w="15" w:type="dxa"/>
            <w:bottom w:w="0" w:type="dxa"/>
            <w:right w:w="15" w:type="dxa"/>
          </w:tblCellMar>
        </w:tblPrEx>
        <w:trPr>
          <w:trHeight w:val="394"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年度绩效指标完成情况</w:t>
            </w:r>
          </w:p>
        </w:tc>
        <w:tc>
          <w:tcPr>
            <w:tcW w:w="12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32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预期指标值</w:t>
            </w: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实际完成指标值</w:t>
            </w:r>
          </w:p>
        </w:tc>
      </w:tr>
      <w:tr>
        <w:tblPrEx>
          <w:tblLayout w:type="fixed"/>
          <w:tblCellMar>
            <w:top w:w="15" w:type="dxa"/>
            <w:left w:w="15" w:type="dxa"/>
            <w:bottom w:w="0" w:type="dxa"/>
            <w:right w:w="15" w:type="dxa"/>
          </w:tblCellMar>
        </w:tblPrEx>
        <w:trPr>
          <w:trHeight w:val="35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完</w:t>
            </w:r>
            <w:r>
              <w:rPr>
                <w:rFonts w:hint="eastAsia" w:ascii="仿宋_GB2312" w:hAnsi="仿宋_GB2312" w:eastAsia="仿宋_GB2312" w:cs="仿宋_GB2312"/>
                <w:i w:val="0"/>
                <w:color w:val="000000"/>
                <w:kern w:val="0"/>
                <w:sz w:val="18"/>
                <w:szCs w:val="18"/>
                <w:u w:val="none"/>
                <w:lang w:val="en-US" w:eastAsia="zh-CN" w:bidi="ar"/>
              </w:rPr>
              <w:br w:type="textWrapping"/>
            </w:r>
            <w:r>
              <w:rPr>
                <w:rStyle w:val="15"/>
                <w:rFonts w:hint="eastAsia" w:ascii="仿宋_GB2312" w:hAnsi="仿宋_GB2312" w:eastAsia="仿宋_GB2312" w:cs="仿宋_GB2312"/>
                <w:sz w:val="18"/>
                <w:szCs w:val="18"/>
                <w:lang w:val="en-US" w:eastAsia="zh-CN" w:bidi="ar"/>
              </w:rPr>
              <w:t>成</w:t>
            </w:r>
            <w:r>
              <w:rPr>
                <w:rFonts w:hint="eastAsia" w:ascii="仿宋_GB2312" w:hAnsi="仿宋_GB2312" w:eastAsia="仿宋_GB2312" w:cs="仿宋_GB2312"/>
                <w:i w:val="0"/>
                <w:color w:val="000000"/>
                <w:kern w:val="0"/>
                <w:sz w:val="18"/>
                <w:szCs w:val="18"/>
                <w:u w:val="none"/>
                <w:lang w:val="en-US" w:eastAsia="zh-CN" w:bidi="ar"/>
              </w:rPr>
              <w:br w:type="textWrapping"/>
            </w:r>
            <w:r>
              <w:rPr>
                <w:rStyle w:val="15"/>
                <w:rFonts w:hint="eastAsia" w:ascii="仿宋_GB2312" w:hAnsi="仿宋_GB2312" w:eastAsia="仿宋_GB2312" w:cs="仿宋_GB2312"/>
                <w:sz w:val="18"/>
                <w:szCs w:val="18"/>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Style w:val="15"/>
                <w:rFonts w:hint="eastAsia" w:ascii="仿宋_GB2312" w:hAnsi="仿宋_GB2312" w:eastAsia="仿宋_GB2312" w:cs="仿宋_GB2312"/>
                <w:sz w:val="18"/>
                <w:szCs w:val="18"/>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数量指标</w:t>
            </w:r>
          </w:p>
        </w:tc>
        <w:tc>
          <w:tcPr>
            <w:tcW w:w="3240" w:type="dxa"/>
            <w:gridSpan w:val="2"/>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786"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质量指标</w:t>
            </w:r>
          </w:p>
        </w:tc>
        <w:tc>
          <w:tcPr>
            <w:tcW w:w="32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促进依法治理水平</w:t>
            </w: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8900</w:t>
            </w:r>
            <w:r>
              <w:rPr>
                <w:rStyle w:val="15"/>
                <w:rFonts w:hint="eastAsia" w:ascii="仿宋_GB2312" w:hAnsi="仿宋_GB2312" w:eastAsia="仿宋_GB2312" w:cs="仿宋_GB2312"/>
                <w:sz w:val="18"/>
                <w:szCs w:val="18"/>
                <w:lang w:val="en-US" w:eastAsia="zh-CN" w:bidi="ar"/>
              </w:rPr>
              <w:t>百万人口</w:t>
            </w: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普法宣传活动覆盖全省，尤其是藏区。</w:t>
            </w:r>
          </w:p>
        </w:tc>
      </w:tr>
      <w:tr>
        <w:tblPrEx>
          <w:tblLayout w:type="fixed"/>
          <w:tblCellMar>
            <w:top w:w="15" w:type="dxa"/>
            <w:left w:w="15" w:type="dxa"/>
            <w:bottom w:w="0" w:type="dxa"/>
            <w:right w:w="15" w:type="dxa"/>
          </w:tblCellMar>
        </w:tblPrEx>
        <w:trPr>
          <w:trHeight w:val="435"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rPr>
                <w:rFonts w:ascii="宋体" w:hAnsi="宋体" w:eastAsia="宋体" w:cs="宋体"/>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宋体" w:hAnsi="宋体" w:eastAsia="宋体" w:cs="宋体"/>
                <w:i w:val="0"/>
                <w:color w:val="000000"/>
                <w:sz w:val="16"/>
                <w:szCs w:val="16"/>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时效指标</w:t>
            </w:r>
          </w:p>
        </w:tc>
        <w:tc>
          <w:tcPr>
            <w:tcW w:w="32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2020</w:t>
            </w:r>
            <w:r>
              <w:rPr>
                <w:rStyle w:val="15"/>
                <w:rFonts w:hint="eastAsia" w:ascii="仿宋_GB2312" w:hAnsi="仿宋_GB2312" w:eastAsia="仿宋_GB2312" w:cs="仿宋_GB2312"/>
                <w:sz w:val="18"/>
                <w:szCs w:val="18"/>
                <w:lang w:val="en-US" w:eastAsia="zh-CN" w:bidi="ar"/>
              </w:rPr>
              <w:t>年底</w:t>
            </w: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2020</w:t>
            </w:r>
            <w:r>
              <w:rPr>
                <w:rStyle w:val="15"/>
                <w:rFonts w:hint="eastAsia" w:ascii="仿宋_GB2312" w:hAnsi="仿宋_GB2312" w:eastAsia="仿宋_GB2312" w:cs="仿宋_GB2312"/>
                <w:sz w:val="18"/>
                <w:szCs w:val="18"/>
                <w:lang w:val="en-US" w:eastAsia="zh-CN" w:bidi="ar"/>
              </w:rPr>
              <w:t>年底</w:t>
            </w: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2020</w:t>
            </w:r>
            <w:r>
              <w:rPr>
                <w:rStyle w:val="15"/>
                <w:rFonts w:hint="eastAsia" w:ascii="仿宋_GB2312" w:hAnsi="仿宋_GB2312" w:eastAsia="仿宋_GB2312" w:cs="仿宋_GB2312"/>
                <w:sz w:val="18"/>
                <w:szCs w:val="18"/>
                <w:lang w:val="en-US" w:eastAsia="zh-CN" w:bidi="ar"/>
              </w:rPr>
              <w:t>年底完成年度普法宣传工作计划。</w:t>
            </w:r>
          </w:p>
        </w:tc>
      </w:tr>
      <w:tr>
        <w:tblPrEx>
          <w:tblLayout w:type="fixed"/>
          <w:tblCellMar>
            <w:top w:w="15" w:type="dxa"/>
            <w:left w:w="15" w:type="dxa"/>
            <w:bottom w:w="0" w:type="dxa"/>
            <w:right w:w="15" w:type="dxa"/>
          </w:tblCellMar>
        </w:tblPrEx>
        <w:trPr>
          <w:trHeight w:val="437"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rPr>
                <w:rFonts w:ascii="宋体" w:hAnsi="宋体" w:eastAsia="宋体" w:cs="宋体"/>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宋体" w:hAnsi="宋体" w:eastAsia="宋体" w:cs="宋体"/>
                <w:i w:val="0"/>
                <w:color w:val="000000"/>
                <w:sz w:val="16"/>
                <w:szCs w:val="16"/>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成本指标</w:t>
            </w:r>
          </w:p>
        </w:tc>
        <w:tc>
          <w:tcPr>
            <w:tcW w:w="3240" w:type="dxa"/>
            <w:gridSpan w:val="2"/>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both"/>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68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rPr>
                <w:rFonts w:ascii="宋体" w:hAnsi="宋体" w:eastAsia="宋体" w:cs="宋体"/>
                <w:i w:val="0"/>
                <w:color w:val="000000"/>
                <w:sz w:val="16"/>
                <w:szCs w:val="16"/>
                <w:u w:val="none"/>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效</w:t>
            </w:r>
            <w:r>
              <w:rPr>
                <w:rFonts w:hint="eastAsia" w:ascii="仿宋_GB2312" w:hAnsi="仿宋_GB2312" w:eastAsia="仿宋_GB2312" w:cs="仿宋_GB2312"/>
                <w:i w:val="0"/>
                <w:color w:val="000000"/>
                <w:kern w:val="0"/>
                <w:sz w:val="18"/>
                <w:szCs w:val="18"/>
                <w:u w:val="none"/>
                <w:lang w:val="en-US" w:eastAsia="zh-CN" w:bidi="ar"/>
              </w:rPr>
              <w:br w:type="textWrapping"/>
            </w:r>
            <w:r>
              <w:rPr>
                <w:rStyle w:val="15"/>
                <w:rFonts w:hint="eastAsia" w:ascii="仿宋_GB2312" w:hAnsi="仿宋_GB2312" w:eastAsia="仿宋_GB2312" w:cs="仿宋_GB2312"/>
                <w:sz w:val="18"/>
                <w:szCs w:val="18"/>
                <w:lang w:val="en-US" w:eastAsia="zh-CN" w:bidi="ar"/>
              </w:rPr>
              <w:t>益</w:t>
            </w:r>
            <w:r>
              <w:rPr>
                <w:rFonts w:hint="eastAsia" w:ascii="仿宋_GB2312" w:hAnsi="仿宋_GB2312" w:eastAsia="仿宋_GB2312" w:cs="仿宋_GB2312"/>
                <w:i w:val="0"/>
                <w:color w:val="000000"/>
                <w:kern w:val="0"/>
                <w:sz w:val="18"/>
                <w:szCs w:val="18"/>
                <w:u w:val="none"/>
                <w:lang w:val="en-US" w:eastAsia="zh-CN" w:bidi="ar"/>
              </w:rPr>
              <w:br w:type="textWrapping"/>
            </w:r>
            <w:r>
              <w:rPr>
                <w:rStyle w:val="15"/>
                <w:rFonts w:hint="eastAsia" w:ascii="仿宋_GB2312" w:hAnsi="仿宋_GB2312" w:eastAsia="仿宋_GB2312" w:cs="仿宋_GB2312"/>
                <w:sz w:val="18"/>
                <w:szCs w:val="18"/>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Style w:val="15"/>
                <w:rFonts w:hint="eastAsia" w:ascii="仿宋_GB2312" w:hAnsi="仿宋_GB2312" w:eastAsia="仿宋_GB2312" w:cs="仿宋_GB2312"/>
                <w:sz w:val="18"/>
                <w:szCs w:val="18"/>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经济效益指标</w:t>
            </w:r>
          </w:p>
        </w:tc>
        <w:tc>
          <w:tcPr>
            <w:tcW w:w="32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提升司法所服务群众的能力和水平。</w:t>
            </w: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提升司法所服务群众的能力和水平。</w:t>
            </w: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提升基层普法宣传能力和水平。</w:t>
            </w:r>
          </w:p>
        </w:tc>
      </w:tr>
      <w:tr>
        <w:tblPrEx>
          <w:tblLayout w:type="fixed"/>
          <w:tblCellMar>
            <w:top w:w="15" w:type="dxa"/>
            <w:left w:w="15" w:type="dxa"/>
            <w:bottom w:w="0" w:type="dxa"/>
            <w:right w:w="15" w:type="dxa"/>
          </w:tblCellMar>
        </w:tblPrEx>
        <w:trPr>
          <w:trHeight w:val="103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rPr>
                <w:rFonts w:ascii="宋体" w:hAnsi="宋体" w:eastAsia="宋体" w:cs="宋体"/>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社会效益指标</w:t>
            </w:r>
          </w:p>
        </w:tc>
        <w:tc>
          <w:tcPr>
            <w:tcW w:w="32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推动法治建设水平提升</w:t>
            </w: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Style w:val="15"/>
                <w:rFonts w:hint="eastAsia" w:ascii="仿宋_GB2312" w:hAnsi="仿宋_GB2312" w:eastAsia="仿宋_GB2312" w:cs="仿宋_GB2312"/>
                <w:sz w:val="18"/>
                <w:szCs w:val="18"/>
                <w:lang w:val="en-US" w:eastAsia="zh-CN" w:bidi="ar"/>
              </w:rPr>
              <w:t>指导</w:t>
            </w:r>
            <w:r>
              <w:rPr>
                <w:rFonts w:hint="eastAsia" w:ascii="仿宋_GB2312" w:hAnsi="仿宋_GB2312" w:eastAsia="仿宋_GB2312" w:cs="仿宋_GB2312"/>
                <w:i w:val="0"/>
                <w:color w:val="000000"/>
                <w:kern w:val="0"/>
                <w:sz w:val="18"/>
                <w:szCs w:val="18"/>
                <w:u w:val="none"/>
                <w:lang w:val="en-US" w:eastAsia="zh-CN" w:bidi="ar"/>
              </w:rPr>
              <w:t>21</w:t>
            </w:r>
            <w:r>
              <w:rPr>
                <w:rStyle w:val="15"/>
                <w:rFonts w:hint="eastAsia" w:ascii="仿宋_GB2312" w:hAnsi="仿宋_GB2312" w:eastAsia="仿宋_GB2312" w:cs="仿宋_GB2312"/>
                <w:sz w:val="18"/>
                <w:szCs w:val="18"/>
                <w:lang w:val="en-US" w:eastAsia="zh-CN" w:bidi="ar"/>
              </w:rPr>
              <w:t>个市州</w:t>
            </w: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推动法治建设水平提升，指导21</w:t>
            </w:r>
            <w:r>
              <w:rPr>
                <w:rStyle w:val="15"/>
                <w:rFonts w:hint="eastAsia" w:ascii="仿宋_GB2312" w:hAnsi="仿宋_GB2312" w:eastAsia="仿宋_GB2312" w:cs="仿宋_GB2312"/>
                <w:sz w:val="18"/>
                <w:szCs w:val="18"/>
                <w:lang w:val="en-US" w:eastAsia="zh-CN" w:bidi="ar"/>
              </w:rPr>
              <w:t>个市州普法宣传工作。</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rPr>
                <w:rFonts w:ascii="宋体" w:hAnsi="宋体" w:eastAsia="宋体" w:cs="宋体"/>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生态效益指标</w:t>
            </w:r>
          </w:p>
        </w:tc>
        <w:tc>
          <w:tcPr>
            <w:tcW w:w="3240" w:type="dxa"/>
            <w:gridSpan w:val="2"/>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both"/>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rPr>
                <w:rFonts w:ascii="宋体" w:hAnsi="宋体" w:eastAsia="宋体" w:cs="宋体"/>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可持续影响指标</w:t>
            </w:r>
          </w:p>
        </w:tc>
        <w:tc>
          <w:tcPr>
            <w:tcW w:w="3240" w:type="dxa"/>
            <w:gridSpan w:val="2"/>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both"/>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rPr>
                <w:rFonts w:ascii="宋体" w:hAnsi="宋体" w:eastAsia="宋体" w:cs="宋体"/>
                <w:i w:val="0"/>
                <w:color w:val="000000"/>
                <w:sz w:val="16"/>
                <w:szCs w:val="16"/>
                <w:u w:val="none"/>
              </w:rPr>
            </w:pPr>
          </w:p>
        </w:tc>
        <w:tc>
          <w:tcPr>
            <w:tcW w:w="12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满</w:t>
            </w:r>
            <w:r>
              <w:rPr>
                <w:rFonts w:hint="eastAsia" w:ascii="仿宋_GB2312" w:hAnsi="仿宋_GB2312" w:eastAsia="仿宋_GB2312" w:cs="仿宋_GB2312"/>
                <w:i w:val="0"/>
                <w:color w:val="000000"/>
                <w:kern w:val="0"/>
                <w:sz w:val="18"/>
                <w:szCs w:val="18"/>
                <w:u w:val="none"/>
                <w:lang w:val="en-US" w:eastAsia="zh-CN" w:bidi="ar"/>
              </w:rPr>
              <w:br w:type="textWrapping"/>
            </w:r>
            <w:r>
              <w:rPr>
                <w:rStyle w:val="15"/>
                <w:rFonts w:hint="eastAsia" w:ascii="仿宋_GB2312" w:hAnsi="仿宋_GB2312" w:eastAsia="仿宋_GB2312" w:cs="仿宋_GB2312"/>
                <w:sz w:val="18"/>
                <w:szCs w:val="18"/>
                <w:lang w:val="en-US" w:eastAsia="zh-CN" w:bidi="ar"/>
              </w:rPr>
              <w:t>意</w:t>
            </w:r>
            <w:r>
              <w:rPr>
                <w:rFonts w:hint="eastAsia" w:ascii="仿宋_GB2312" w:hAnsi="仿宋_GB2312" w:eastAsia="仿宋_GB2312" w:cs="仿宋_GB2312"/>
                <w:i w:val="0"/>
                <w:color w:val="000000"/>
                <w:kern w:val="0"/>
                <w:sz w:val="18"/>
                <w:szCs w:val="18"/>
                <w:u w:val="none"/>
                <w:lang w:val="en-US" w:eastAsia="zh-CN" w:bidi="ar"/>
              </w:rPr>
              <w:br w:type="textWrapping"/>
            </w:r>
            <w:r>
              <w:rPr>
                <w:rStyle w:val="15"/>
                <w:rFonts w:hint="eastAsia" w:ascii="仿宋_GB2312" w:hAnsi="仿宋_GB2312" w:eastAsia="仿宋_GB2312" w:cs="仿宋_GB2312"/>
                <w:sz w:val="18"/>
                <w:szCs w:val="18"/>
                <w:lang w:val="en-US" w:eastAsia="zh-CN" w:bidi="ar"/>
              </w:rPr>
              <w:t>度</w:t>
            </w:r>
            <w:r>
              <w:rPr>
                <w:rFonts w:hint="eastAsia" w:ascii="仿宋_GB2312" w:hAnsi="仿宋_GB2312" w:eastAsia="仿宋_GB2312" w:cs="仿宋_GB2312"/>
                <w:i w:val="0"/>
                <w:color w:val="000000"/>
                <w:kern w:val="0"/>
                <w:sz w:val="18"/>
                <w:szCs w:val="18"/>
                <w:u w:val="none"/>
                <w:lang w:val="en-US" w:eastAsia="zh-CN" w:bidi="ar"/>
              </w:rPr>
              <w:br w:type="textWrapping"/>
            </w:r>
            <w:r>
              <w:rPr>
                <w:rStyle w:val="15"/>
                <w:rFonts w:hint="eastAsia" w:ascii="仿宋_GB2312" w:hAnsi="仿宋_GB2312" w:eastAsia="仿宋_GB2312" w:cs="仿宋_GB2312"/>
                <w:sz w:val="18"/>
                <w:szCs w:val="18"/>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Style w:val="15"/>
                <w:rFonts w:hint="eastAsia" w:ascii="仿宋_GB2312" w:hAnsi="仿宋_GB2312" w:eastAsia="仿宋_GB2312" w:cs="仿宋_GB2312"/>
                <w:sz w:val="18"/>
                <w:szCs w:val="18"/>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满意度指标</w:t>
            </w:r>
          </w:p>
        </w:tc>
        <w:tc>
          <w:tcPr>
            <w:tcW w:w="32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人民群众对司法工作满意率。</w:t>
            </w:r>
          </w:p>
        </w:tc>
        <w:tc>
          <w:tcPr>
            <w:tcW w:w="20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满意率显著提升。</w:t>
            </w:r>
          </w:p>
        </w:tc>
        <w:tc>
          <w:tcPr>
            <w:tcW w:w="15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普法宣传受众人群满意度达到90%</w:t>
            </w:r>
            <w:r>
              <w:rPr>
                <w:rStyle w:val="15"/>
                <w:rFonts w:hint="eastAsia" w:ascii="仿宋_GB2312" w:hAnsi="仿宋_GB2312" w:eastAsia="仿宋_GB2312" w:cs="仿宋_GB2312"/>
                <w:sz w:val="18"/>
                <w:szCs w:val="18"/>
                <w:lang w:val="en-US" w:eastAsia="zh-CN" w:bidi="ar"/>
              </w:rPr>
              <w:t>以上。</w:t>
            </w:r>
          </w:p>
        </w:tc>
      </w:tr>
    </w:tbl>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司法厅法制建设项目2020年度全年预算数440万元，执行数为439万元，完成预算的99.99%。项目绩效总体目标包括，认真落实习近平总书记“要在全社会深入开展尊崇宪法、学习宪法、遵守宪法、维护宪法、运用宪法宣传教育活动”的重要指示。全面加强规章规范性文件备案审查工作。具体绩效指标：完成“公共法律服务体系运行规范”、“公共法律服务体系服务规范”、“公共法律服务体系管理规范”、“公共法律服务体系评估考核规范”等建设；全面加强规章规范性文件备案审查工作等。法制建设项目政策依据充分，目标较明确，组织实施较为有序，通过开展法治领域课题研究，与中国社会科学院合作编辑发布年度《四川法治蓝皮书》，行政应诉购买服务，行政复议案件办理工作；通过依法治省法律顾问团，不断完善法律顾问制度，提升公共服务法治水平，借智借力做好依法治省工作。发现的主要问题：法制建设项目绩效目标数量指标设立不够科学，量化指标不够。下一步改进措施：预算编制过程中项目绩效目标更加细化和全面。切实加强项目立项审查和监督力度，督促具体实施单位加快实施进度，项目单位按计划实现绩效目标。</w:t>
      </w:r>
    </w:p>
    <w:p>
      <w:pPr>
        <w:pStyle w:val="26"/>
        <w:widowControl w:val="0"/>
        <w:numPr>
          <w:ilvl w:val="0"/>
          <w:numId w:val="0"/>
        </w:numPr>
        <w:suppressAutoHyphens w:val="0"/>
        <w:bidi w:val="0"/>
        <w:spacing w:beforeLines="0" w:afterLines="0"/>
        <w:jc w:val="both"/>
      </w:pPr>
    </w:p>
    <w:p>
      <w:pPr>
        <w:pStyle w:val="26"/>
        <w:widowControl w:val="0"/>
        <w:numPr>
          <w:ilvl w:val="0"/>
          <w:numId w:val="0"/>
        </w:numPr>
        <w:suppressAutoHyphens w:val="0"/>
        <w:bidi w:val="0"/>
        <w:spacing w:beforeLines="0" w:afterLines="0"/>
        <w:jc w:val="both"/>
      </w:pPr>
    </w:p>
    <w:p>
      <w:pPr>
        <w:pStyle w:val="26"/>
        <w:keepNext w:val="0"/>
        <w:keepLines w:val="0"/>
        <w:pageBreakBefore w:val="0"/>
        <w:widowControl w:val="0"/>
        <w:kinsoku/>
        <w:wordWrap/>
        <w:overflowPunct/>
        <w:topLinePunct w:val="0"/>
        <w:autoSpaceDE/>
        <w:autoSpaceDN/>
        <w:bidi w:val="0"/>
        <w:adjustRightInd/>
        <w:snapToGrid/>
        <w:spacing w:line="300" w:lineRule="exact"/>
        <w:textAlignment w:val="auto"/>
      </w:pPr>
    </w:p>
    <w:tbl>
      <w:tblPr>
        <w:tblStyle w:val="7"/>
        <w:tblW w:w="11260" w:type="dxa"/>
        <w:jc w:val="center"/>
        <w:tblInd w:w="0" w:type="dxa"/>
        <w:tblLayout w:type="fixed"/>
        <w:tblCellMar>
          <w:top w:w="15" w:type="dxa"/>
          <w:left w:w="15" w:type="dxa"/>
          <w:bottom w:w="0" w:type="dxa"/>
          <w:right w:w="15" w:type="dxa"/>
        </w:tblCellMar>
      </w:tblPr>
      <w:tblGrid>
        <w:gridCol w:w="1125"/>
        <w:gridCol w:w="1290"/>
        <w:gridCol w:w="1485"/>
        <w:gridCol w:w="1515"/>
        <w:gridCol w:w="1605"/>
        <w:gridCol w:w="2490"/>
        <w:gridCol w:w="1750"/>
      </w:tblGrid>
      <w:tr>
        <w:tblPrEx>
          <w:tblLayout w:type="fixed"/>
          <w:tblCellMar>
            <w:top w:w="15" w:type="dxa"/>
            <w:left w:w="15" w:type="dxa"/>
            <w:bottom w:w="0" w:type="dxa"/>
            <w:right w:w="15" w:type="dxa"/>
          </w:tblCellMar>
        </w:tblPrEx>
        <w:trPr>
          <w:trHeight w:val="518" w:hRule="atLeast"/>
          <w:jc w:val="center"/>
        </w:trPr>
        <w:tc>
          <w:tcPr>
            <w:tcW w:w="11260" w:type="dxa"/>
            <w:gridSpan w:val="7"/>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宋体" w:hAnsi="宋体" w:eastAsia="宋体" w:cs="宋体"/>
                <w:b/>
                <w:i w:val="0"/>
                <w:color w:val="000000"/>
                <w:kern w:val="0"/>
                <w:sz w:val="32"/>
                <w:szCs w:val="32"/>
                <w:u w:val="none"/>
                <w:lang w:val="en-US" w:eastAsia="zh-CN" w:bidi="ar"/>
              </w:rPr>
            </w:pPr>
            <w:r>
              <w:rPr>
                <w:rFonts w:hint="eastAsia" w:ascii="黑体" w:hAnsi="黑体" w:eastAsia="黑体" w:cs="黑体"/>
                <w:b w:val="0"/>
                <w:bCs/>
                <w:i w:val="0"/>
                <w:color w:val="000000"/>
                <w:kern w:val="0"/>
                <w:sz w:val="24"/>
                <w:szCs w:val="24"/>
                <w:u w:val="none"/>
                <w:lang w:val="en-US" w:eastAsia="zh-CN" w:bidi="ar"/>
              </w:rPr>
              <w:t>项目绩效目标完成情况表</w:t>
            </w:r>
          </w:p>
        </w:tc>
      </w:tr>
      <w:tr>
        <w:tblPrEx>
          <w:tblLayout w:type="fixed"/>
          <w:tblCellMar>
            <w:top w:w="15" w:type="dxa"/>
            <w:left w:w="15" w:type="dxa"/>
            <w:bottom w:w="0" w:type="dxa"/>
            <w:right w:w="15" w:type="dxa"/>
          </w:tblCellMar>
        </w:tblPrEx>
        <w:trPr>
          <w:trHeight w:val="466" w:hRule="atLeast"/>
          <w:jc w:val="center"/>
        </w:trPr>
        <w:tc>
          <w:tcPr>
            <w:tcW w:w="11260" w:type="dxa"/>
            <w:gridSpan w:val="7"/>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宋体" w:hAnsi="宋体" w:eastAsia="宋体" w:cs="宋体"/>
                <w:i w:val="0"/>
                <w:color w:val="000000"/>
                <w:kern w:val="0"/>
                <w:sz w:val="16"/>
                <w:szCs w:val="16"/>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2020   年度）</w:t>
            </w:r>
          </w:p>
        </w:tc>
      </w:tr>
      <w:tr>
        <w:tblPrEx>
          <w:tblLayout w:type="fixed"/>
          <w:tblCellMar>
            <w:top w:w="15" w:type="dxa"/>
            <w:left w:w="15" w:type="dxa"/>
            <w:bottom w:w="0" w:type="dxa"/>
            <w:right w:w="15" w:type="dxa"/>
          </w:tblCellMar>
        </w:tblPrEx>
        <w:trPr>
          <w:trHeight w:val="352" w:hRule="atLeast"/>
          <w:jc w:val="center"/>
        </w:trPr>
        <w:tc>
          <w:tcPr>
            <w:tcW w:w="241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84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法制建设</w:t>
            </w:r>
          </w:p>
        </w:tc>
      </w:tr>
      <w:tr>
        <w:tblPrEx>
          <w:tblLayout w:type="fixed"/>
          <w:tblCellMar>
            <w:top w:w="15" w:type="dxa"/>
            <w:left w:w="15" w:type="dxa"/>
            <w:bottom w:w="0" w:type="dxa"/>
            <w:right w:w="15" w:type="dxa"/>
          </w:tblCellMar>
        </w:tblPrEx>
        <w:trPr>
          <w:trHeight w:val="387" w:hRule="atLeast"/>
          <w:jc w:val="center"/>
        </w:trPr>
        <w:tc>
          <w:tcPr>
            <w:tcW w:w="241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4605" w:type="dxa"/>
            <w:gridSpan w:val="3"/>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四川省司法厅</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四川省司法厅机关</w:t>
            </w:r>
          </w:p>
        </w:tc>
      </w:tr>
      <w:tr>
        <w:tblPrEx>
          <w:tblLayout w:type="fixed"/>
          <w:tblCellMar>
            <w:top w:w="15" w:type="dxa"/>
            <w:left w:w="15" w:type="dxa"/>
            <w:bottom w:w="0" w:type="dxa"/>
            <w:right w:w="15" w:type="dxa"/>
          </w:tblCellMar>
        </w:tblPrEx>
        <w:trPr>
          <w:trHeight w:val="299" w:hRule="atLeast"/>
          <w:jc w:val="center"/>
        </w:trPr>
        <w:tc>
          <w:tcPr>
            <w:tcW w:w="241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项目预算</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执行情况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（万元）</w:t>
            </w: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预算数：</w:t>
            </w:r>
          </w:p>
        </w:tc>
        <w:tc>
          <w:tcPr>
            <w:tcW w:w="160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440.0</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执行数：</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439</w:t>
            </w:r>
          </w:p>
        </w:tc>
      </w:tr>
      <w:tr>
        <w:tblPrEx>
          <w:tblLayout w:type="fixed"/>
          <w:tblCellMar>
            <w:top w:w="15" w:type="dxa"/>
            <w:left w:w="15" w:type="dxa"/>
            <w:bottom w:w="0" w:type="dxa"/>
            <w:right w:w="15" w:type="dxa"/>
          </w:tblCellMar>
        </w:tblPrEx>
        <w:trPr>
          <w:trHeight w:val="436"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其中：财政拨款</w:t>
            </w:r>
          </w:p>
        </w:tc>
        <w:tc>
          <w:tcPr>
            <w:tcW w:w="160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440.0</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其中：财政拨款</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439</w:t>
            </w:r>
          </w:p>
        </w:tc>
      </w:tr>
      <w:tr>
        <w:tblPrEx>
          <w:tblLayout w:type="fixed"/>
          <w:tblCellMar>
            <w:top w:w="15" w:type="dxa"/>
            <w:left w:w="15" w:type="dxa"/>
            <w:bottom w:w="0" w:type="dxa"/>
            <w:right w:w="15" w:type="dxa"/>
          </w:tblCellMar>
        </w:tblPrEx>
        <w:trPr>
          <w:trHeight w:val="421"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其他资金</w:t>
            </w:r>
          </w:p>
        </w:tc>
        <w:tc>
          <w:tcPr>
            <w:tcW w:w="160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0.0</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其他资金</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340"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情</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况</w:t>
            </w:r>
          </w:p>
        </w:tc>
        <w:tc>
          <w:tcPr>
            <w:tcW w:w="5895" w:type="dxa"/>
            <w:gridSpan w:val="4"/>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预期目标</w:t>
            </w: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目标实际完成情况</w:t>
            </w:r>
          </w:p>
        </w:tc>
      </w:tr>
      <w:tr>
        <w:tblPrEx>
          <w:tblLayout w:type="fixed"/>
          <w:tblCellMar>
            <w:top w:w="15" w:type="dxa"/>
            <w:left w:w="15" w:type="dxa"/>
            <w:bottom w:w="0" w:type="dxa"/>
            <w:right w:w="15" w:type="dxa"/>
          </w:tblCellMar>
        </w:tblPrEx>
        <w:trPr>
          <w:trHeight w:val="1905"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5895" w:type="dxa"/>
            <w:gridSpan w:val="4"/>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top"/>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深入学习贯彻习近平总书记全面依法治国新理念新思想新战略，认真落实习近平总书记“要在全社会深入开展尊崇宪法、学习宪法、遵守宪法、维护宪法、运用宪法宣传教育活动”的重要指示。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全面加强规章规范性文件备案审查工作是推进依法行政、建设法治政府的必然要求，有利于维护国家法制统一、尊严和权威，促进法治政府建设和依法行政，保障人民群众的合法权益。</w:t>
            </w:r>
            <w:r>
              <w:rPr>
                <w:rFonts w:hint="eastAsia" w:ascii="仿宋_GB2312" w:hAnsi="仿宋_GB2312" w:eastAsia="仿宋_GB2312" w:cs="仿宋_GB2312"/>
                <w:i w:val="0"/>
                <w:color w:val="000000"/>
                <w:kern w:val="0"/>
                <w:sz w:val="18"/>
                <w:szCs w:val="18"/>
                <w:u w:val="none"/>
                <w:lang w:val="en-US" w:eastAsia="zh-CN" w:bidi="ar"/>
              </w:rPr>
              <w:br w:type="textWrapping"/>
            </w:r>
          </w:p>
        </w:tc>
        <w:tc>
          <w:tcPr>
            <w:tcW w:w="42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2020年度编印法治蓝皮书；开展中共四川省委党校依法治省和依法行政考核第三方评估；开展法治政府建设第三方评估；全省行政执法证件制作；组织执法人员考试；政府购买行政应诉法律服务。</w:t>
            </w:r>
          </w:p>
        </w:tc>
      </w:tr>
      <w:tr>
        <w:tblPrEx>
          <w:tblLayout w:type="fixed"/>
          <w:tblCellMar>
            <w:top w:w="15" w:type="dxa"/>
            <w:left w:w="15" w:type="dxa"/>
            <w:bottom w:w="0" w:type="dxa"/>
            <w:right w:w="15" w:type="dxa"/>
          </w:tblCellMar>
        </w:tblPrEx>
        <w:trPr>
          <w:trHeight w:val="332"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年度绩效指标完成情况</w:t>
            </w:r>
          </w:p>
        </w:tc>
        <w:tc>
          <w:tcPr>
            <w:tcW w:w="12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预期指标值</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实际完成指标值</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数量指标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四项规范"公共法律服务体系运行规范。公共法律服务体系服务规范。公共法律服务体系管理规范。公共法律服务体系评估考核规范。"</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完成规范化建设</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四项规范"公共法律服务体系运行规范。公共法律服务体系服务规范。公共法律服务体系管理规范。公共法律服务体系评估考核规范。"</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质量指标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全面加强规章规范性文件备案审查工作是推进依法行政、建设法治政府的必然要求，有利于维护国家法制统一、尊严和权威，促进法治政府建设和依法行政，保障人民群众的合法权益。</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全面加强规章规范性文件备案审查工作</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全面加强规章规范性文件备案审查工作</w:t>
            </w:r>
          </w:p>
        </w:tc>
      </w:tr>
      <w:tr>
        <w:tblPrEx>
          <w:tblLayout w:type="fixed"/>
          <w:tblCellMar>
            <w:top w:w="15" w:type="dxa"/>
            <w:left w:w="15" w:type="dxa"/>
            <w:bottom w:w="0" w:type="dxa"/>
            <w:right w:w="15" w:type="dxa"/>
          </w:tblCellMar>
        </w:tblPrEx>
        <w:trPr>
          <w:trHeight w:val="525"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时效指标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完成时间每年12月31日前完成</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12月31日</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2020年12月31日完成年度工作计划</w:t>
            </w:r>
          </w:p>
        </w:tc>
      </w:tr>
      <w:tr>
        <w:tblPrEx>
          <w:tblLayout w:type="fixed"/>
          <w:tblCellMar>
            <w:top w:w="15" w:type="dxa"/>
            <w:left w:w="15" w:type="dxa"/>
            <w:bottom w:w="0" w:type="dxa"/>
            <w:right w:w="15" w:type="dxa"/>
          </w:tblCellMar>
        </w:tblPrEx>
        <w:trPr>
          <w:trHeight w:val="287"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成本指标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32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效</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益</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经济效益指标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法治理念深入人心</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法治理念深入人心</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法治理念深入人心</w:t>
            </w:r>
          </w:p>
        </w:tc>
      </w:tr>
      <w:tr>
        <w:tblPrEx>
          <w:tblLayout w:type="fixed"/>
          <w:tblCellMar>
            <w:top w:w="15" w:type="dxa"/>
            <w:left w:w="15" w:type="dxa"/>
            <w:bottom w:w="0" w:type="dxa"/>
            <w:right w:w="15" w:type="dxa"/>
          </w:tblCellMar>
        </w:tblPrEx>
        <w:trPr>
          <w:trHeight w:val="9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社会效益指标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行政执法主体规范行权</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行政执法主体规范行权</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行政执法主体规范行权</w:t>
            </w:r>
          </w:p>
        </w:tc>
      </w:tr>
      <w:tr>
        <w:tblPrEx>
          <w:tblLayout w:type="fixed"/>
          <w:tblCellMar>
            <w:top w:w="15" w:type="dxa"/>
            <w:left w:w="15" w:type="dxa"/>
            <w:bottom w:w="0" w:type="dxa"/>
            <w:right w:w="15" w:type="dxa"/>
          </w:tblCellMar>
        </w:tblPrEx>
        <w:trPr>
          <w:trHeight w:val="494"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生态效益指标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全省21个市州、183个县</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全省21个市州、183个县</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全省21个市州、183个县</w:t>
            </w:r>
          </w:p>
        </w:tc>
      </w:tr>
      <w:tr>
        <w:tblPrEx>
          <w:tblLayout w:type="fixed"/>
          <w:tblCellMar>
            <w:top w:w="15" w:type="dxa"/>
            <w:left w:w="15" w:type="dxa"/>
            <w:bottom w:w="0" w:type="dxa"/>
            <w:right w:w="15" w:type="dxa"/>
          </w:tblCellMar>
        </w:tblPrEx>
        <w:trPr>
          <w:trHeight w:val="571"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可持续影响指标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1.5万余执法主体规范行使裁决工作</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1.5万余执法主体规范行使裁决工作</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1.5万余执法主体规范行使裁决工作</w:t>
            </w:r>
          </w:p>
        </w:tc>
      </w:tr>
      <w:tr>
        <w:tblPrEx>
          <w:tblLayout w:type="fixed"/>
          <w:tblCellMar>
            <w:top w:w="15" w:type="dxa"/>
            <w:left w:w="15" w:type="dxa"/>
            <w:bottom w:w="0" w:type="dxa"/>
            <w:right w:w="15" w:type="dxa"/>
          </w:tblCellMar>
        </w:tblPrEx>
        <w:trPr>
          <w:trHeight w:val="1233"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满意度指标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法治建设实务工作者对研究成果满意度达到95%</w:t>
            </w:r>
          </w:p>
        </w:tc>
        <w:tc>
          <w:tcPr>
            <w:tcW w:w="24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法治建设实务工作者对研究成果满意度达到95%</w:t>
            </w:r>
          </w:p>
        </w:tc>
        <w:tc>
          <w:tcPr>
            <w:tcW w:w="175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bottom"/>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法治建设实务工作者对研究成果满意度达到95%</w:t>
            </w:r>
          </w:p>
        </w:tc>
      </w:tr>
    </w:tbl>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基层司法业务经费2020年度全年预算数435万元，执行数为398.33万元，完成预算的91.95%。项目绩效总体目标包括制作全省“最美人民调解员”评选活动工作专题片，组织最美人民调解员投票评选、全省司法所服务乡村振兴现场推进等活动，组织2020年四川省律师和公证员高级职称评审工作，组织厅机关公开遴选公务员，完成年度社区矫正执法证、工作证制作，组织四川省社区矫正法网络知识竞赛等。基层司法业务项目政策依据充分，目标较明确，组织实施较为有序，通过项目实施，保障基层司法业务、社区矫正、司法鉴定、外来企业投诉等重点业务开展，对构建社会和谐工作起到良好效果。发现的主要问题：基层司法业务经费项目绩效目标项目整体目标慨括不够，政府采购项目执行时间较晚，且未完成预算执行。下一步改进措施：预算编制过程中项目绩效目标更加细化和全面，编制政府采购项目预算时，更精准和细致，发挥资金最大绩效，实现绩效目标。</w:t>
      </w:r>
    </w:p>
    <w:p>
      <w:pPr>
        <w:pStyle w:val="26"/>
      </w:pPr>
    </w:p>
    <w:p>
      <w:pPr>
        <w:pStyle w:val="26"/>
      </w:pPr>
    </w:p>
    <w:p>
      <w:pPr>
        <w:pStyle w:val="26"/>
      </w:pPr>
    </w:p>
    <w:p>
      <w:pPr>
        <w:pStyle w:val="26"/>
      </w:pPr>
    </w:p>
    <w:p>
      <w:pPr>
        <w:pStyle w:val="26"/>
      </w:pPr>
    </w:p>
    <w:p>
      <w:pPr>
        <w:pStyle w:val="26"/>
        <w:keepNext w:val="0"/>
        <w:keepLines w:val="0"/>
        <w:pageBreakBefore w:val="0"/>
        <w:widowControl w:val="0"/>
        <w:kinsoku/>
        <w:wordWrap/>
        <w:overflowPunct/>
        <w:topLinePunct w:val="0"/>
        <w:autoSpaceDE/>
        <w:autoSpaceDN/>
        <w:bidi w:val="0"/>
        <w:adjustRightInd/>
        <w:snapToGrid/>
        <w:spacing w:line="300" w:lineRule="exact"/>
        <w:textAlignment w:val="auto"/>
      </w:pPr>
    </w:p>
    <w:tbl>
      <w:tblPr>
        <w:tblStyle w:val="7"/>
        <w:tblW w:w="11182" w:type="dxa"/>
        <w:jc w:val="center"/>
        <w:tblInd w:w="0" w:type="dxa"/>
        <w:tblLayout w:type="fixed"/>
        <w:tblCellMar>
          <w:top w:w="15" w:type="dxa"/>
          <w:left w:w="15" w:type="dxa"/>
          <w:bottom w:w="0" w:type="dxa"/>
          <w:right w:w="15" w:type="dxa"/>
        </w:tblCellMar>
      </w:tblPr>
      <w:tblGrid>
        <w:gridCol w:w="687"/>
        <w:gridCol w:w="1290"/>
        <w:gridCol w:w="1485"/>
        <w:gridCol w:w="1515"/>
        <w:gridCol w:w="1710"/>
        <w:gridCol w:w="2235"/>
        <w:gridCol w:w="2260"/>
      </w:tblGrid>
      <w:tr>
        <w:tblPrEx>
          <w:tblLayout w:type="fixed"/>
          <w:tblCellMar>
            <w:top w:w="15" w:type="dxa"/>
            <w:left w:w="15" w:type="dxa"/>
            <w:bottom w:w="0" w:type="dxa"/>
            <w:right w:w="15" w:type="dxa"/>
          </w:tblCellMar>
        </w:tblPrEx>
        <w:trPr>
          <w:trHeight w:val="541" w:hRule="atLeast"/>
          <w:jc w:val="center"/>
        </w:trPr>
        <w:tc>
          <w:tcPr>
            <w:tcW w:w="11182" w:type="dxa"/>
            <w:gridSpan w:val="7"/>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宋体" w:hAnsi="宋体" w:eastAsia="宋体" w:cs="宋体"/>
                <w:b/>
                <w:i w:val="0"/>
                <w:color w:val="000000"/>
                <w:kern w:val="0"/>
                <w:sz w:val="32"/>
                <w:szCs w:val="32"/>
                <w:u w:val="none"/>
                <w:lang w:val="en-US" w:eastAsia="zh-CN" w:bidi="ar"/>
              </w:rPr>
            </w:pPr>
            <w:r>
              <w:rPr>
                <w:rFonts w:hint="eastAsia" w:ascii="黑体" w:hAnsi="黑体" w:eastAsia="黑体" w:cs="黑体"/>
                <w:b w:val="0"/>
                <w:bCs/>
                <w:i w:val="0"/>
                <w:color w:val="000000"/>
                <w:kern w:val="0"/>
                <w:sz w:val="24"/>
                <w:szCs w:val="24"/>
                <w:u w:val="none"/>
                <w:lang w:val="en-US" w:eastAsia="zh-CN" w:bidi="ar"/>
              </w:rPr>
              <w:t>项目绩效目标完成情况表</w:t>
            </w:r>
          </w:p>
        </w:tc>
      </w:tr>
      <w:tr>
        <w:tblPrEx>
          <w:tblLayout w:type="fixed"/>
          <w:tblCellMar>
            <w:top w:w="15" w:type="dxa"/>
            <w:left w:w="15" w:type="dxa"/>
            <w:bottom w:w="0" w:type="dxa"/>
            <w:right w:w="15" w:type="dxa"/>
          </w:tblCellMar>
        </w:tblPrEx>
        <w:trPr>
          <w:trHeight w:val="432" w:hRule="atLeast"/>
          <w:jc w:val="center"/>
        </w:trPr>
        <w:tc>
          <w:tcPr>
            <w:tcW w:w="11182" w:type="dxa"/>
            <w:gridSpan w:val="7"/>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宋体" w:hAnsi="宋体" w:eastAsia="宋体" w:cs="宋体"/>
                <w:i w:val="0"/>
                <w:color w:val="000000"/>
                <w:kern w:val="0"/>
                <w:sz w:val="16"/>
                <w:szCs w:val="16"/>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2020   年度）</w:t>
            </w:r>
          </w:p>
        </w:tc>
      </w:tr>
      <w:tr>
        <w:tblPrEx>
          <w:tblLayout w:type="fixed"/>
          <w:tblCellMar>
            <w:top w:w="15" w:type="dxa"/>
            <w:left w:w="15" w:type="dxa"/>
            <w:bottom w:w="0" w:type="dxa"/>
            <w:right w:w="15" w:type="dxa"/>
          </w:tblCellMar>
        </w:tblPrEx>
        <w:trPr>
          <w:trHeight w:val="439" w:hRule="atLeast"/>
          <w:jc w:val="center"/>
        </w:trPr>
        <w:tc>
          <w:tcPr>
            <w:tcW w:w="1977"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920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基层司法业务经费</w:t>
            </w:r>
          </w:p>
        </w:tc>
      </w:tr>
      <w:tr>
        <w:tblPrEx>
          <w:tblLayout w:type="fixed"/>
          <w:tblCellMar>
            <w:top w:w="15" w:type="dxa"/>
            <w:left w:w="15" w:type="dxa"/>
            <w:bottom w:w="0" w:type="dxa"/>
            <w:right w:w="15" w:type="dxa"/>
          </w:tblCellMar>
        </w:tblPrEx>
        <w:trPr>
          <w:trHeight w:val="387" w:hRule="atLeast"/>
          <w:jc w:val="center"/>
        </w:trPr>
        <w:tc>
          <w:tcPr>
            <w:tcW w:w="1977"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4710" w:type="dxa"/>
            <w:gridSpan w:val="3"/>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四川省司法厅</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四川省司法厅机关</w:t>
            </w:r>
          </w:p>
        </w:tc>
      </w:tr>
      <w:tr>
        <w:tblPrEx>
          <w:tblLayout w:type="fixed"/>
          <w:tblCellMar>
            <w:top w:w="15" w:type="dxa"/>
            <w:left w:w="15" w:type="dxa"/>
            <w:bottom w:w="0" w:type="dxa"/>
            <w:right w:w="15" w:type="dxa"/>
          </w:tblCellMar>
        </w:tblPrEx>
        <w:trPr>
          <w:trHeight w:val="439" w:hRule="atLeast"/>
          <w:jc w:val="center"/>
        </w:trPr>
        <w:tc>
          <w:tcPr>
            <w:tcW w:w="1977"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项目预算</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执行情况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（万元）</w:t>
            </w: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预算数：</w:t>
            </w:r>
          </w:p>
        </w:tc>
        <w:tc>
          <w:tcPr>
            <w:tcW w:w="171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435.0</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执行数：</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398.33</w:t>
            </w:r>
          </w:p>
        </w:tc>
      </w:tr>
      <w:tr>
        <w:tblPrEx>
          <w:tblLayout w:type="fixed"/>
          <w:tblCellMar>
            <w:top w:w="15" w:type="dxa"/>
            <w:left w:w="15" w:type="dxa"/>
            <w:bottom w:w="0" w:type="dxa"/>
            <w:right w:w="15" w:type="dxa"/>
          </w:tblCellMar>
        </w:tblPrEx>
        <w:trPr>
          <w:trHeight w:val="439" w:hRule="atLeast"/>
          <w:jc w:val="center"/>
        </w:trPr>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其中：财政拨款</w:t>
            </w:r>
          </w:p>
        </w:tc>
        <w:tc>
          <w:tcPr>
            <w:tcW w:w="171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435.0</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其中：财政拨款</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398.33</w:t>
            </w:r>
          </w:p>
        </w:tc>
      </w:tr>
      <w:tr>
        <w:tblPrEx>
          <w:tblLayout w:type="fixed"/>
          <w:tblCellMar>
            <w:top w:w="15" w:type="dxa"/>
            <w:left w:w="15" w:type="dxa"/>
            <w:bottom w:w="0" w:type="dxa"/>
            <w:right w:w="15" w:type="dxa"/>
          </w:tblCellMar>
        </w:tblPrEx>
        <w:trPr>
          <w:trHeight w:val="439" w:hRule="atLeast"/>
          <w:jc w:val="center"/>
        </w:trPr>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其他资金</w:t>
            </w:r>
          </w:p>
        </w:tc>
        <w:tc>
          <w:tcPr>
            <w:tcW w:w="171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0.0</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其他资金</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363"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情</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况</w:t>
            </w:r>
          </w:p>
        </w:tc>
        <w:tc>
          <w:tcPr>
            <w:tcW w:w="6000" w:type="dxa"/>
            <w:gridSpan w:val="4"/>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预期目标</w:t>
            </w:r>
          </w:p>
        </w:tc>
        <w:tc>
          <w:tcPr>
            <w:tcW w:w="449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目标实际完成情况</w:t>
            </w:r>
          </w:p>
        </w:tc>
      </w:tr>
      <w:tr>
        <w:tblPrEx>
          <w:tblLayout w:type="fixed"/>
          <w:tblCellMar>
            <w:top w:w="15" w:type="dxa"/>
            <w:left w:w="15" w:type="dxa"/>
            <w:bottom w:w="0" w:type="dxa"/>
            <w:right w:w="15" w:type="dxa"/>
          </w:tblCellMar>
        </w:tblPrEx>
        <w:trPr>
          <w:trHeight w:val="1774"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6000" w:type="dxa"/>
            <w:gridSpan w:val="4"/>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2019年12月31日之前，完成全省“智慧矫正”的建设启动工作。实现全省5个社区矫正中心达到“智慧矫正”要求，并接受司法部社区矫正管理局的验收，使四川省社区矫正信息化水平进一步提升。2020年12月31日之前，对信访诉求合理无法律政策支持且生活困难的信访人进行司法救助，帮助其缓解经济压力，维护社会公平正义。</w:t>
            </w:r>
          </w:p>
        </w:tc>
        <w:tc>
          <w:tcPr>
            <w:tcW w:w="449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2020年12月31日以前完成年度工作任务，制作全省“最美人民调解员”评选活动工作专题片，组织最美人民调解员投票评选、全省司法所服务乡村振兴现场推进等活动，组织2020年四川省律师和公证员高级职称评审工作，组织厅机关公开遴选公务员，完成年度社区矫正执法证、工作证制作，组织四川省社区矫正法网络知识竞赛。</w:t>
            </w:r>
          </w:p>
        </w:tc>
      </w:tr>
      <w:tr>
        <w:tblPrEx>
          <w:tblLayout w:type="fixed"/>
          <w:tblCellMar>
            <w:top w:w="15" w:type="dxa"/>
            <w:left w:w="15" w:type="dxa"/>
            <w:bottom w:w="0" w:type="dxa"/>
            <w:right w:w="15" w:type="dxa"/>
          </w:tblCellMar>
        </w:tblPrEx>
        <w:trPr>
          <w:trHeight w:val="439"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年度绩效指标完成情况</w:t>
            </w:r>
          </w:p>
        </w:tc>
        <w:tc>
          <w:tcPr>
            <w:tcW w:w="12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322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预期指标值</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实际完成指标值</w:t>
            </w:r>
          </w:p>
        </w:tc>
      </w:tr>
      <w:tr>
        <w:tblPrEx>
          <w:tblLayout w:type="fixed"/>
          <w:tblCellMar>
            <w:top w:w="15" w:type="dxa"/>
            <w:left w:w="15" w:type="dxa"/>
            <w:bottom w:w="0" w:type="dxa"/>
            <w:right w:w="15" w:type="dxa"/>
          </w:tblCellMar>
        </w:tblPrEx>
        <w:trPr>
          <w:trHeight w:val="564"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数量指标</w:t>
            </w:r>
          </w:p>
        </w:tc>
        <w:tc>
          <w:tcPr>
            <w:tcW w:w="322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社区矫正对象再犯罪率低于0.2%</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0.2%</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社区矫正对象再犯罪率低于0.2%</w:t>
            </w:r>
          </w:p>
        </w:tc>
      </w:tr>
      <w:tr>
        <w:tblPrEx>
          <w:tblLayout w:type="fixed"/>
          <w:tblCellMar>
            <w:top w:w="15" w:type="dxa"/>
            <w:left w:w="15" w:type="dxa"/>
            <w:bottom w:w="0" w:type="dxa"/>
            <w:right w:w="15" w:type="dxa"/>
          </w:tblCellMar>
        </w:tblPrEx>
        <w:trPr>
          <w:trHeight w:val="586"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质量指标</w:t>
            </w:r>
          </w:p>
        </w:tc>
        <w:tc>
          <w:tcPr>
            <w:tcW w:w="322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司法部对“智慧矫正”的各项系统标准</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达到“智慧矫正”部局验收标准</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达到“智慧矫正”部局验收标准</w:t>
            </w:r>
          </w:p>
        </w:tc>
      </w:tr>
      <w:tr>
        <w:tblPrEx>
          <w:tblLayout w:type="fixed"/>
          <w:tblCellMar>
            <w:top w:w="15" w:type="dxa"/>
            <w:left w:w="15" w:type="dxa"/>
            <w:bottom w:w="0" w:type="dxa"/>
            <w:right w:w="15" w:type="dxa"/>
          </w:tblCellMar>
        </w:tblPrEx>
        <w:trPr>
          <w:trHeight w:val="611"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时效指标</w:t>
            </w:r>
          </w:p>
        </w:tc>
        <w:tc>
          <w:tcPr>
            <w:tcW w:w="322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2020年12月31日之前，</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2020年12月31日</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2020年12月31日以前完成年度工作计划</w:t>
            </w:r>
          </w:p>
        </w:tc>
      </w:tr>
      <w:tr>
        <w:tblPrEx>
          <w:tblLayout w:type="fixed"/>
          <w:tblCellMar>
            <w:top w:w="15" w:type="dxa"/>
            <w:left w:w="15" w:type="dxa"/>
            <w:bottom w:w="0" w:type="dxa"/>
            <w:right w:w="15" w:type="dxa"/>
          </w:tblCellMar>
        </w:tblPrEx>
        <w:trPr>
          <w:trHeight w:val="587"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成本指标</w:t>
            </w:r>
          </w:p>
        </w:tc>
        <w:tc>
          <w:tcPr>
            <w:tcW w:w="322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降低再犯罪率，</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0.2%</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社区矫正对象再犯罪率低于0.2%</w:t>
            </w:r>
          </w:p>
        </w:tc>
      </w:tr>
      <w:tr>
        <w:tblPrEx>
          <w:tblLayout w:type="fixed"/>
          <w:tblCellMar>
            <w:top w:w="15" w:type="dxa"/>
            <w:left w:w="15" w:type="dxa"/>
            <w:bottom w:w="0" w:type="dxa"/>
            <w:right w:w="15" w:type="dxa"/>
          </w:tblCellMar>
        </w:tblPrEx>
        <w:trPr>
          <w:trHeight w:val="577"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效</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益</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经济效益指标</w:t>
            </w:r>
          </w:p>
        </w:tc>
        <w:tc>
          <w:tcPr>
            <w:tcW w:w="322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形成“大平台共享、大系统共治、大数据慧治”的信息化新格局</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大平台共享、大系统共治、大数据慧治</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大平台共享、大系统共治、大数据慧治</w:t>
            </w:r>
          </w:p>
        </w:tc>
      </w:tr>
      <w:tr>
        <w:tblPrEx>
          <w:tblLayout w:type="fixed"/>
          <w:tblCellMar>
            <w:top w:w="15" w:type="dxa"/>
            <w:left w:w="15" w:type="dxa"/>
            <w:bottom w:w="0" w:type="dxa"/>
            <w:right w:w="15" w:type="dxa"/>
          </w:tblCellMar>
        </w:tblPrEx>
        <w:trPr>
          <w:trHeight w:val="563"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社会效益指标</w:t>
            </w:r>
          </w:p>
        </w:tc>
        <w:tc>
          <w:tcPr>
            <w:tcW w:w="322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化解社会矛盾、服务群众、对社会的促进作用</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构建平安四川一步提升</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构建平安四川一步提升</w:t>
            </w:r>
          </w:p>
        </w:tc>
      </w:tr>
      <w:tr>
        <w:tblPrEx>
          <w:tblLayout w:type="fixed"/>
          <w:tblCellMar>
            <w:top w:w="15" w:type="dxa"/>
            <w:left w:w="15" w:type="dxa"/>
            <w:bottom w:w="0" w:type="dxa"/>
            <w:right w:w="15" w:type="dxa"/>
          </w:tblCellMar>
        </w:tblPrEx>
        <w:trPr>
          <w:trHeight w:val="1023"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生态效益指标</w:t>
            </w:r>
          </w:p>
        </w:tc>
        <w:tc>
          <w:tcPr>
            <w:tcW w:w="322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2020年12月31日之前，对信访诉求合理无法律政策支持且生活困难的信访人进行司法救助，帮助其缓解经济压力，维护社会公平正义。</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维护社会公平正义</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维护社会公平正义</w:t>
            </w:r>
          </w:p>
        </w:tc>
      </w:tr>
      <w:tr>
        <w:tblPrEx>
          <w:tblLayout w:type="fixed"/>
          <w:tblCellMar>
            <w:top w:w="15" w:type="dxa"/>
            <w:left w:w="15" w:type="dxa"/>
            <w:bottom w:w="0" w:type="dxa"/>
            <w:right w:w="15" w:type="dxa"/>
          </w:tblCellMar>
        </w:tblPrEx>
        <w:trPr>
          <w:trHeight w:val="721"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可持续影响指标</w:t>
            </w:r>
          </w:p>
        </w:tc>
        <w:tc>
          <w:tcPr>
            <w:tcW w:w="322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维护社会稳定，构建和谐四川</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实现“智慧矫正”后全面落实社区矫正工作“无纸化办公”</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实现“智慧矫正”后全面落实社区矫正工作“无纸化办公”</w:t>
            </w:r>
          </w:p>
        </w:tc>
      </w:tr>
      <w:tr>
        <w:tblPrEx>
          <w:tblLayout w:type="fixed"/>
          <w:tblCellMar>
            <w:top w:w="15" w:type="dxa"/>
            <w:left w:w="15" w:type="dxa"/>
            <w:bottom w:w="0" w:type="dxa"/>
            <w:right w:w="15" w:type="dxa"/>
          </w:tblCellMar>
        </w:tblPrEx>
        <w:trPr>
          <w:trHeight w:val="1165"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满意度指标</w:t>
            </w:r>
          </w:p>
        </w:tc>
        <w:tc>
          <w:tcPr>
            <w:tcW w:w="322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提高人民群众对司法行政工作满意度</w:t>
            </w:r>
          </w:p>
        </w:tc>
        <w:tc>
          <w:tcPr>
            <w:tcW w:w="223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85%</w:t>
            </w:r>
          </w:p>
        </w:tc>
        <w:tc>
          <w:tcPr>
            <w:tcW w:w="226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人民群众对司法行政工作满意度达到85%</w:t>
            </w:r>
          </w:p>
        </w:tc>
      </w:tr>
    </w:tbl>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法律援助经费2020年度全年预算数800万元，执行数为799.97万元，完成预算的100%。项目绩效总体目标包括完成法律援助案件办理、咨询、代书等服务15000人次。省法院、成都铁路法院；省检察院、成都铁路检察院通知辩护、值班律师指派全覆盖。具体绩效指标：案件受理和咨询服务时限3天以内；完成法律援助案件办理1300-1500件；公众通过各类窗口、网络需求法律咨询引导服务100%接待受理；完成法律援助案件办理1300-1500件；咨询、代书等服务15000人次等。法律援助项目政策依据充分，目标较明确，组织实施较为有序，通过项目实施，实现全年法律援助服务受援人群30万人次，完成法律援助数量5万件以上，保障2020年度法援工作顺利进行。发现的主要问题：法律援助经费项目绩效总体目标设置不够详细，数量指标三级指标描述不够具体。下一步改进措施：预算编制过程中项目绩效目标更加细化和全面。切实加强项目立项审查和监督力度，督促具体实施单位加快实施进度，项目单位按计划实现绩效目标。</w:t>
      </w:r>
    </w:p>
    <w:p>
      <w:pPr>
        <w:pStyle w:val="26"/>
      </w:pPr>
    </w:p>
    <w:p>
      <w:pPr>
        <w:pStyle w:val="26"/>
      </w:pPr>
    </w:p>
    <w:p>
      <w:pPr>
        <w:pStyle w:val="26"/>
      </w:pPr>
    </w:p>
    <w:p>
      <w:pPr>
        <w:pStyle w:val="26"/>
      </w:pPr>
    </w:p>
    <w:p>
      <w:pPr>
        <w:pStyle w:val="26"/>
      </w:pPr>
    </w:p>
    <w:tbl>
      <w:tblPr>
        <w:tblStyle w:val="7"/>
        <w:tblW w:w="11163" w:type="dxa"/>
        <w:jc w:val="center"/>
        <w:tblInd w:w="0" w:type="dxa"/>
        <w:tblLayout w:type="fixed"/>
        <w:tblCellMar>
          <w:top w:w="15" w:type="dxa"/>
          <w:left w:w="15" w:type="dxa"/>
          <w:bottom w:w="0" w:type="dxa"/>
          <w:right w:w="15" w:type="dxa"/>
        </w:tblCellMar>
      </w:tblPr>
      <w:tblGrid>
        <w:gridCol w:w="1125"/>
        <w:gridCol w:w="1290"/>
        <w:gridCol w:w="1485"/>
        <w:gridCol w:w="1515"/>
        <w:gridCol w:w="1170"/>
        <w:gridCol w:w="2385"/>
        <w:gridCol w:w="2193"/>
      </w:tblGrid>
      <w:tr>
        <w:tblPrEx>
          <w:tblLayout w:type="fixed"/>
          <w:tblCellMar>
            <w:top w:w="15" w:type="dxa"/>
            <w:left w:w="15" w:type="dxa"/>
            <w:bottom w:w="0" w:type="dxa"/>
            <w:right w:w="15" w:type="dxa"/>
          </w:tblCellMar>
        </w:tblPrEx>
        <w:trPr>
          <w:trHeight w:val="496" w:hRule="atLeast"/>
          <w:jc w:val="center"/>
        </w:trPr>
        <w:tc>
          <w:tcPr>
            <w:tcW w:w="11163" w:type="dxa"/>
            <w:gridSpan w:val="7"/>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宋体" w:hAnsi="宋体" w:eastAsia="宋体" w:cs="宋体"/>
                <w:b/>
                <w:i w:val="0"/>
                <w:color w:val="000000"/>
                <w:kern w:val="0"/>
                <w:sz w:val="32"/>
                <w:szCs w:val="32"/>
                <w:u w:val="none"/>
                <w:lang w:val="en-US" w:eastAsia="zh-CN" w:bidi="ar"/>
              </w:rPr>
            </w:pPr>
            <w:r>
              <w:rPr>
                <w:rFonts w:hint="eastAsia" w:ascii="黑体" w:hAnsi="黑体" w:eastAsia="黑体" w:cs="黑体"/>
                <w:b w:val="0"/>
                <w:bCs/>
                <w:i w:val="0"/>
                <w:color w:val="000000"/>
                <w:kern w:val="0"/>
                <w:sz w:val="24"/>
                <w:szCs w:val="24"/>
                <w:u w:val="none"/>
                <w:lang w:val="en-US" w:eastAsia="zh-CN" w:bidi="ar"/>
              </w:rPr>
              <w:t>项目绩效目标完成情况表</w:t>
            </w:r>
          </w:p>
        </w:tc>
      </w:tr>
      <w:tr>
        <w:tblPrEx>
          <w:tblLayout w:type="fixed"/>
          <w:tblCellMar>
            <w:top w:w="15" w:type="dxa"/>
            <w:left w:w="15" w:type="dxa"/>
            <w:bottom w:w="0" w:type="dxa"/>
            <w:right w:w="15" w:type="dxa"/>
          </w:tblCellMar>
        </w:tblPrEx>
        <w:trPr>
          <w:trHeight w:val="501" w:hRule="atLeast"/>
          <w:jc w:val="center"/>
        </w:trPr>
        <w:tc>
          <w:tcPr>
            <w:tcW w:w="11163" w:type="dxa"/>
            <w:gridSpan w:val="7"/>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宋体" w:hAnsi="宋体" w:eastAsia="宋体" w:cs="宋体"/>
                <w:i w:val="0"/>
                <w:color w:val="000000"/>
                <w:kern w:val="0"/>
                <w:sz w:val="16"/>
                <w:szCs w:val="16"/>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2020   年度）</w:t>
            </w:r>
          </w:p>
        </w:tc>
      </w:tr>
      <w:tr>
        <w:tblPrEx>
          <w:tblLayout w:type="fixed"/>
          <w:tblCellMar>
            <w:top w:w="15" w:type="dxa"/>
            <w:left w:w="15" w:type="dxa"/>
            <w:bottom w:w="0" w:type="dxa"/>
            <w:right w:w="15" w:type="dxa"/>
          </w:tblCellMar>
        </w:tblPrEx>
        <w:trPr>
          <w:trHeight w:val="375" w:hRule="atLeast"/>
          <w:jc w:val="center"/>
        </w:trPr>
        <w:tc>
          <w:tcPr>
            <w:tcW w:w="241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748"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法律援助经费</w:t>
            </w:r>
          </w:p>
        </w:tc>
      </w:tr>
      <w:tr>
        <w:tblPrEx>
          <w:tblLayout w:type="fixed"/>
          <w:tblCellMar>
            <w:top w:w="15" w:type="dxa"/>
            <w:left w:w="15" w:type="dxa"/>
            <w:bottom w:w="0" w:type="dxa"/>
            <w:right w:w="15" w:type="dxa"/>
          </w:tblCellMar>
        </w:tblPrEx>
        <w:trPr>
          <w:trHeight w:val="439" w:hRule="atLeast"/>
          <w:jc w:val="center"/>
        </w:trPr>
        <w:tc>
          <w:tcPr>
            <w:tcW w:w="241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4170" w:type="dxa"/>
            <w:gridSpan w:val="3"/>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四川省司法厅</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四川省司法厅机关</w:t>
            </w:r>
          </w:p>
        </w:tc>
      </w:tr>
      <w:tr>
        <w:tblPrEx>
          <w:tblLayout w:type="fixed"/>
          <w:tblCellMar>
            <w:top w:w="15" w:type="dxa"/>
            <w:left w:w="15" w:type="dxa"/>
            <w:bottom w:w="0" w:type="dxa"/>
            <w:right w:w="15" w:type="dxa"/>
          </w:tblCellMar>
        </w:tblPrEx>
        <w:trPr>
          <w:trHeight w:val="439" w:hRule="atLeast"/>
          <w:jc w:val="center"/>
        </w:trPr>
        <w:tc>
          <w:tcPr>
            <w:tcW w:w="241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项目预算</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执行情况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（万元）</w:t>
            </w: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预算数：</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800.0</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执行数：</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799.97</w:t>
            </w:r>
          </w:p>
        </w:tc>
      </w:tr>
      <w:tr>
        <w:tblPrEx>
          <w:tblLayout w:type="fixed"/>
          <w:tblCellMar>
            <w:top w:w="15" w:type="dxa"/>
            <w:left w:w="15" w:type="dxa"/>
            <w:bottom w:w="0" w:type="dxa"/>
            <w:right w:w="15" w:type="dxa"/>
          </w:tblCellMar>
        </w:tblPrEx>
        <w:trPr>
          <w:trHeight w:val="439"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其中：财政拨款</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800.0</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其中：财政拨款</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799.97</w:t>
            </w:r>
          </w:p>
        </w:tc>
      </w:tr>
      <w:tr>
        <w:tblPrEx>
          <w:tblLayout w:type="fixed"/>
          <w:tblCellMar>
            <w:top w:w="15" w:type="dxa"/>
            <w:left w:w="15" w:type="dxa"/>
            <w:bottom w:w="0" w:type="dxa"/>
            <w:right w:w="15" w:type="dxa"/>
          </w:tblCellMar>
        </w:tblPrEx>
        <w:trPr>
          <w:trHeight w:val="439"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其他资金</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0.0</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其他资金</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439"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情</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况</w:t>
            </w:r>
          </w:p>
        </w:tc>
        <w:tc>
          <w:tcPr>
            <w:tcW w:w="5460" w:type="dxa"/>
            <w:gridSpan w:val="4"/>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预期目标</w:t>
            </w:r>
          </w:p>
        </w:tc>
        <w:tc>
          <w:tcPr>
            <w:tcW w:w="4578"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目标实际完成情况</w:t>
            </w:r>
          </w:p>
        </w:tc>
      </w:tr>
      <w:tr>
        <w:tblPrEx>
          <w:tblLayout w:type="fixed"/>
          <w:tblCellMar>
            <w:top w:w="15" w:type="dxa"/>
            <w:left w:w="15" w:type="dxa"/>
            <w:bottom w:w="0" w:type="dxa"/>
            <w:right w:w="15" w:type="dxa"/>
          </w:tblCellMar>
        </w:tblPrEx>
        <w:trPr>
          <w:trHeight w:val="1906"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5460" w:type="dxa"/>
            <w:gridSpan w:val="4"/>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促进法治政府建设和依法行政，保障人民群众的合法权益</w:t>
            </w:r>
          </w:p>
        </w:tc>
        <w:tc>
          <w:tcPr>
            <w:tcW w:w="4578"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完成法律援助案件办理、咨询、代书等服务15000人次。省法院、成都铁路法院；省检察院、成都铁路检察院通知辩护、值班律师指派全覆盖。</w:t>
            </w:r>
          </w:p>
        </w:tc>
      </w:tr>
      <w:tr>
        <w:tblPrEx>
          <w:tblLayout w:type="fixed"/>
          <w:tblCellMar>
            <w:top w:w="15" w:type="dxa"/>
            <w:left w:w="15" w:type="dxa"/>
            <w:bottom w:w="0" w:type="dxa"/>
            <w:right w:w="15" w:type="dxa"/>
          </w:tblCellMar>
        </w:tblPrEx>
        <w:trPr>
          <w:trHeight w:val="439"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年度绩效指标完成情况</w:t>
            </w:r>
          </w:p>
        </w:tc>
        <w:tc>
          <w:tcPr>
            <w:tcW w:w="12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预期指标值</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实际完成指标值</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数量指标</w:t>
            </w: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受益人口（万人）</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15000</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法律援助受益人口15000人次</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质量指标</w:t>
            </w: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群众投诉</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群众投诉小于3%</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时效指标</w:t>
            </w: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案件受理和咨询服务时限</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案件受理和咨询服务时限3天以内</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成本指标</w:t>
            </w: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使法律成为老百姓的依靠</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完成法律援助案件办理1300-1500件；</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完成法律援助案件办理1300-1500件；</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效</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益</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经济效益指标</w:t>
            </w: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公众通过各类窗口、网络需求法律咨询引导服务100%接待受理。</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100%接待受理。</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公众通过各类窗口、网络需求法律咨询引导服务100%接待受理。</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社会效益指标</w:t>
            </w: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推动社会和谐</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完成法律援助案件办理1300-1500件；咨询、代书等服务15000人次。</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完成法律援助案件办理1300-1500件；咨询、代书等服务15000人次。</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生态效益指标</w:t>
            </w: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对省外川籍农民工向省外四川商会、政府驻外办事处的求助，100%给予咨询、接待和法律援助申请协助、引导服务</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完成法律援助案件办理、咨询、代书等服务15000人次。</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完成法律援助案件办理、咨询、代书等服务15000人次。</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可持续影响指标</w:t>
            </w: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2020年12月31日之前，省法院、成都铁路法院；省检察院、成都铁路检察院通知辩护、值班律师指派全覆盖。</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省法院、成都铁路法院；省检察院、成都铁路检察院通知辩护、值班律师指派全覆盖</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省法院、成都铁路法院；省检察院、成都铁路检察院通知辩护、值班律师指派全覆盖</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满意度指标</w:t>
            </w:r>
          </w:p>
        </w:tc>
        <w:tc>
          <w:tcPr>
            <w:tcW w:w="268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服务对象满意</w:t>
            </w:r>
          </w:p>
        </w:tc>
        <w:tc>
          <w:tcPr>
            <w:tcW w:w="23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受援群众满意度达到95%以上</w:t>
            </w:r>
          </w:p>
        </w:tc>
      </w:tr>
    </w:tbl>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纪检办案经费2020年度全年预算数140万元，执行数为140万元，完成预算的100%。项目绩效总体目标是以监督、执纪、问责为主线，查处系统内违规、违纪、违法行为，教育广大民警职工，巩固已经形成的“反腐败压倒性态势”，夺取反腐败斗争压倒性胜利。贯彻一届任期全覆盖的要求，以问题为导向，发现问题，形成震慑，提升被巡察党委凝聚力、战斗力，促使党员领导干部遵守财经纪律、依法行政、廉洁从政。具体绩效指标：办理信访案件不少于100件；不出现冤假错案；按时上报省纪委统计数据；办理信访案件，信访对象满意度达到80%以上等。纪检办案经费项目政策依据充分，目标较明确，组织实施较为有序，通过项目实施，促进党风廉政建设进一步好转。发现的主要问题：纪检办案经费项目绩效目标较单一，没有全面反映项目具体内容。下一步改进措施：预算编制过程中项目绩效目标更加细化和全面。切实加强项目立项审查和监督力度，督促具体实施单位加快实施进度，项目单位按计划实现绩效目标。</w:t>
      </w:r>
    </w:p>
    <w:p>
      <w:pPr>
        <w:pStyle w:val="26"/>
        <w:keepNext w:val="0"/>
        <w:keepLines w:val="0"/>
        <w:pageBreakBefore w:val="0"/>
        <w:widowControl w:val="0"/>
        <w:kinsoku/>
        <w:wordWrap/>
        <w:overflowPunct/>
        <w:topLinePunct w:val="0"/>
        <w:autoSpaceDE/>
        <w:autoSpaceDN/>
        <w:bidi w:val="0"/>
        <w:adjustRightInd/>
        <w:snapToGrid/>
        <w:spacing w:line="300" w:lineRule="exact"/>
        <w:textAlignment w:val="auto"/>
      </w:pPr>
    </w:p>
    <w:p>
      <w:pPr>
        <w:pStyle w:val="26"/>
        <w:keepNext w:val="0"/>
        <w:keepLines w:val="0"/>
        <w:pageBreakBefore w:val="0"/>
        <w:widowControl w:val="0"/>
        <w:kinsoku/>
        <w:wordWrap/>
        <w:overflowPunct/>
        <w:topLinePunct w:val="0"/>
        <w:autoSpaceDE/>
        <w:autoSpaceDN/>
        <w:bidi w:val="0"/>
        <w:adjustRightInd/>
        <w:snapToGrid/>
        <w:spacing w:line="300" w:lineRule="exact"/>
        <w:textAlignment w:val="auto"/>
      </w:pPr>
    </w:p>
    <w:p>
      <w:pPr>
        <w:pStyle w:val="26"/>
        <w:keepNext w:val="0"/>
        <w:keepLines w:val="0"/>
        <w:pageBreakBefore w:val="0"/>
        <w:widowControl w:val="0"/>
        <w:kinsoku/>
        <w:wordWrap/>
        <w:overflowPunct/>
        <w:topLinePunct w:val="0"/>
        <w:autoSpaceDE/>
        <w:autoSpaceDN/>
        <w:bidi w:val="0"/>
        <w:adjustRightInd/>
        <w:snapToGrid/>
        <w:spacing w:line="300" w:lineRule="exact"/>
        <w:textAlignment w:val="auto"/>
      </w:pPr>
    </w:p>
    <w:p>
      <w:pPr>
        <w:pStyle w:val="26"/>
        <w:keepNext w:val="0"/>
        <w:keepLines w:val="0"/>
        <w:pageBreakBefore w:val="0"/>
        <w:widowControl w:val="0"/>
        <w:kinsoku/>
        <w:wordWrap/>
        <w:overflowPunct/>
        <w:topLinePunct w:val="0"/>
        <w:autoSpaceDE/>
        <w:autoSpaceDN/>
        <w:bidi w:val="0"/>
        <w:adjustRightInd/>
        <w:snapToGrid/>
        <w:spacing w:line="300" w:lineRule="exact"/>
        <w:textAlignment w:val="auto"/>
      </w:pPr>
    </w:p>
    <w:p>
      <w:pPr>
        <w:pStyle w:val="26"/>
        <w:keepNext w:val="0"/>
        <w:keepLines w:val="0"/>
        <w:pageBreakBefore w:val="0"/>
        <w:widowControl w:val="0"/>
        <w:kinsoku/>
        <w:wordWrap/>
        <w:overflowPunct/>
        <w:topLinePunct w:val="0"/>
        <w:autoSpaceDE/>
        <w:autoSpaceDN/>
        <w:bidi w:val="0"/>
        <w:adjustRightInd/>
        <w:snapToGrid/>
        <w:spacing w:line="300" w:lineRule="exact"/>
        <w:textAlignment w:val="auto"/>
      </w:pPr>
    </w:p>
    <w:p>
      <w:pPr>
        <w:pStyle w:val="26"/>
        <w:keepNext w:val="0"/>
        <w:keepLines w:val="0"/>
        <w:pageBreakBefore w:val="0"/>
        <w:widowControl w:val="0"/>
        <w:kinsoku/>
        <w:wordWrap/>
        <w:overflowPunct/>
        <w:topLinePunct w:val="0"/>
        <w:autoSpaceDE/>
        <w:autoSpaceDN/>
        <w:bidi w:val="0"/>
        <w:adjustRightInd/>
        <w:snapToGrid/>
        <w:spacing w:line="300" w:lineRule="exact"/>
        <w:textAlignment w:val="auto"/>
      </w:pPr>
    </w:p>
    <w:p>
      <w:pPr>
        <w:pStyle w:val="26"/>
        <w:keepNext w:val="0"/>
        <w:keepLines w:val="0"/>
        <w:pageBreakBefore w:val="0"/>
        <w:widowControl w:val="0"/>
        <w:kinsoku/>
        <w:wordWrap/>
        <w:overflowPunct/>
        <w:topLinePunct w:val="0"/>
        <w:autoSpaceDE/>
        <w:autoSpaceDN/>
        <w:bidi w:val="0"/>
        <w:adjustRightInd/>
        <w:snapToGrid/>
        <w:spacing w:line="300" w:lineRule="exact"/>
        <w:textAlignment w:val="auto"/>
      </w:pPr>
    </w:p>
    <w:p>
      <w:pPr>
        <w:pStyle w:val="26"/>
        <w:keepNext w:val="0"/>
        <w:keepLines w:val="0"/>
        <w:pageBreakBefore w:val="0"/>
        <w:widowControl w:val="0"/>
        <w:kinsoku/>
        <w:wordWrap/>
        <w:overflowPunct/>
        <w:topLinePunct w:val="0"/>
        <w:autoSpaceDE/>
        <w:autoSpaceDN/>
        <w:bidi w:val="0"/>
        <w:adjustRightInd/>
        <w:snapToGrid/>
        <w:spacing w:line="300" w:lineRule="exact"/>
        <w:textAlignment w:val="auto"/>
      </w:pPr>
    </w:p>
    <w:p>
      <w:pPr>
        <w:pStyle w:val="26"/>
        <w:keepNext w:val="0"/>
        <w:keepLines w:val="0"/>
        <w:pageBreakBefore w:val="0"/>
        <w:widowControl w:val="0"/>
        <w:kinsoku/>
        <w:wordWrap/>
        <w:overflowPunct/>
        <w:topLinePunct w:val="0"/>
        <w:autoSpaceDE/>
        <w:autoSpaceDN/>
        <w:bidi w:val="0"/>
        <w:adjustRightInd/>
        <w:snapToGrid/>
        <w:spacing w:line="300" w:lineRule="exact"/>
        <w:textAlignment w:val="auto"/>
      </w:pPr>
    </w:p>
    <w:tbl>
      <w:tblPr>
        <w:tblStyle w:val="7"/>
        <w:tblW w:w="11140" w:type="dxa"/>
        <w:jc w:val="center"/>
        <w:tblInd w:w="0" w:type="dxa"/>
        <w:tblLayout w:type="fixed"/>
        <w:tblCellMar>
          <w:top w:w="15" w:type="dxa"/>
          <w:left w:w="15" w:type="dxa"/>
          <w:bottom w:w="0" w:type="dxa"/>
          <w:right w:w="15" w:type="dxa"/>
        </w:tblCellMar>
      </w:tblPr>
      <w:tblGrid>
        <w:gridCol w:w="1125"/>
        <w:gridCol w:w="1290"/>
        <w:gridCol w:w="1485"/>
        <w:gridCol w:w="1515"/>
        <w:gridCol w:w="1125"/>
        <w:gridCol w:w="2280"/>
        <w:gridCol w:w="2320"/>
      </w:tblGrid>
      <w:tr>
        <w:tblPrEx>
          <w:tblLayout w:type="fixed"/>
          <w:tblCellMar>
            <w:top w:w="15" w:type="dxa"/>
            <w:left w:w="15" w:type="dxa"/>
            <w:bottom w:w="0" w:type="dxa"/>
            <w:right w:w="15" w:type="dxa"/>
          </w:tblCellMar>
        </w:tblPrEx>
        <w:trPr>
          <w:trHeight w:val="489" w:hRule="atLeast"/>
          <w:jc w:val="center"/>
        </w:trPr>
        <w:tc>
          <w:tcPr>
            <w:tcW w:w="11140" w:type="dxa"/>
            <w:gridSpan w:val="7"/>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宋体" w:hAnsi="宋体" w:eastAsia="宋体" w:cs="宋体"/>
                <w:b/>
                <w:i w:val="0"/>
                <w:color w:val="000000"/>
                <w:kern w:val="0"/>
                <w:sz w:val="32"/>
                <w:szCs w:val="32"/>
                <w:u w:val="none"/>
                <w:lang w:val="en-US" w:eastAsia="zh-CN" w:bidi="ar"/>
              </w:rPr>
            </w:pPr>
            <w:r>
              <w:rPr>
                <w:rFonts w:hint="eastAsia" w:ascii="黑体" w:hAnsi="黑体" w:eastAsia="黑体" w:cs="黑体"/>
                <w:b w:val="0"/>
                <w:bCs/>
                <w:i w:val="0"/>
                <w:color w:val="000000"/>
                <w:kern w:val="0"/>
                <w:sz w:val="24"/>
                <w:szCs w:val="24"/>
                <w:u w:val="none"/>
                <w:lang w:val="en-US" w:eastAsia="zh-CN" w:bidi="ar"/>
              </w:rPr>
              <w:t>项目绩效目标完成情况表</w:t>
            </w:r>
          </w:p>
        </w:tc>
      </w:tr>
      <w:tr>
        <w:tblPrEx>
          <w:tblLayout w:type="fixed"/>
          <w:tblCellMar>
            <w:top w:w="15" w:type="dxa"/>
            <w:left w:w="15" w:type="dxa"/>
            <w:bottom w:w="0" w:type="dxa"/>
            <w:right w:w="15" w:type="dxa"/>
          </w:tblCellMar>
        </w:tblPrEx>
        <w:trPr>
          <w:trHeight w:val="459" w:hRule="atLeast"/>
          <w:jc w:val="center"/>
        </w:trPr>
        <w:tc>
          <w:tcPr>
            <w:tcW w:w="11140" w:type="dxa"/>
            <w:gridSpan w:val="7"/>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宋体" w:hAnsi="宋体" w:eastAsia="宋体" w:cs="宋体"/>
                <w:i w:val="0"/>
                <w:color w:val="000000"/>
                <w:kern w:val="0"/>
                <w:sz w:val="16"/>
                <w:szCs w:val="16"/>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2020   年度）</w:t>
            </w:r>
          </w:p>
        </w:tc>
      </w:tr>
      <w:tr>
        <w:tblPrEx>
          <w:tblLayout w:type="fixed"/>
          <w:tblCellMar>
            <w:top w:w="15" w:type="dxa"/>
            <w:left w:w="15" w:type="dxa"/>
            <w:bottom w:w="0" w:type="dxa"/>
            <w:right w:w="15" w:type="dxa"/>
          </w:tblCellMar>
        </w:tblPrEx>
        <w:trPr>
          <w:trHeight w:val="439" w:hRule="atLeast"/>
          <w:jc w:val="center"/>
        </w:trPr>
        <w:tc>
          <w:tcPr>
            <w:tcW w:w="241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项目名称</w:t>
            </w:r>
          </w:p>
        </w:tc>
        <w:tc>
          <w:tcPr>
            <w:tcW w:w="872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纪检办案经费</w:t>
            </w:r>
          </w:p>
        </w:tc>
      </w:tr>
      <w:tr>
        <w:tblPrEx>
          <w:tblLayout w:type="fixed"/>
          <w:tblCellMar>
            <w:top w:w="15" w:type="dxa"/>
            <w:left w:w="15" w:type="dxa"/>
            <w:bottom w:w="0" w:type="dxa"/>
            <w:right w:w="15" w:type="dxa"/>
          </w:tblCellMar>
        </w:tblPrEx>
        <w:trPr>
          <w:trHeight w:val="398" w:hRule="atLeast"/>
          <w:jc w:val="center"/>
        </w:trPr>
        <w:tc>
          <w:tcPr>
            <w:tcW w:w="2415"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主管部门及代码</w:t>
            </w:r>
          </w:p>
        </w:tc>
        <w:tc>
          <w:tcPr>
            <w:tcW w:w="4125" w:type="dxa"/>
            <w:gridSpan w:val="3"/>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四川省司法厅</w:t>
            </w: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实施单位</w:t>
            </w: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四川省司法厅机关</w:t>
            </w:r>
          </w:p>
        </w:tc>
      </w:tr>
      <w:tr>
        <w:tblPrEx>
          <w:tblLayout w:type="fixed"/>
          <w:tblCellMar>
            <w:top w:w="15" w:type="dxa"/>
            <w:left w:w="15" w:type="dxa"/>
            <w:bottom w:w="0" w:type="dxa"/>
            <w:right w:w="15" w:type="dxa"/>
          </w:tblCellMar>
        </w:tblPrEx>
        <w:trPr>
          <w:trHeight w:val="439" w:hRule="atLeast"/>
          <w:jc w:val="center"/>
        </w:trPr>
        <w:tc>
          <w:tcPr>
            <w:tcW w:w="241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项目预算</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执行情况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（万元）</w:t>
            </w: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预算数：</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140.0</w:t>
            </w: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执行数：</w:t>
            </w: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140</w:t>
            </w:r>
          </w:p>
        </w:tc>
      </w:tr>
      <w:tr>
        <w:tblPrEx>
          <w:tblLayout w:type="fixed"/>
          <w:tblCellMar>
            <w:top w:w="15" w:type="dxa"/>
            <w:left w:w="15" w:type="dxa"/>
            <w:bottom w:w="0" w:type="dxa"/>
            <w:right w:w="15" w:type="dxa"/>
          </w:tblCellMar>
        </w:tblPrEx>
        <w:trPr>
          <w:trHeight w:val="439"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其中：财政拨款</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140.0</w:t>
            </w: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其中：财政拨款</w:t>
            </w: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140</w:t>
            </w:r>
          </w:p>
        </w:tc>
      </w:tr>
      <w:tr>
        <w:tblPrEx>
          <w:tblLayout w:type="fixed"/>
          <w:tblCellMar>
            <w:top w:w="15" w:type="dxa"/>
            <w:left w:w="15" w:type="dxa"/>
            <w:bottom w:w="0" w:type="dxa"/>
            <w:right w:w="15" w:type="dxa"/>
          </w:tblCellMar>
        </w:tblPrEx>
        <w:trPr>
          <w:trHeight w:val="439" w:hRule="atLeast"/>
          <w:jc w:val="center"/>
        </w:trPr>
        <w:tc>
          <w:tcPr>
            <w:tcW w:w="241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30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其他资金</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0.0</w:t>
            </w: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其他资金</w:t>
            </w: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439"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年</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体</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目</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情</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况</w:t>
            </w:r>
          </w:p>
        </w:tc>
        <w:tc>
          <w:tcPr>
            <w:tcW w:w="5415" w:type="dxa"/>
            <w:gridSpan w:val="4"/>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预期目标</w:t>
            </w:r>
          </w:p>
        </w:tc>
        <w:tc>
          <w:tcPr>
            <w:tcW w:w="46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目标实际完成情况</w:t>
            </w:r>
          </w:p>
        </w:tc>
      </w:tr>
      <w:tr>
        <w:tblPrEx>
          <w:tblLayout w:type="fixed"/>
          <w:tblCellMar>
            <w:top w:w="15" w:type="dxa"/>
            <w:left w:w="15" w:type="dxa"/>
            <w:bottom w:w="0" w:type="dxa"/>
            <w:right w:w="15" w:type="dxa"/>
          </w:tblCellMar>
        </w:tblPrEx>
        <w:trPr>
          <w:trHeight w:val="1836"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5415" w:type="dxa"/>
            <w:gridSpan w:val="4"/>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以监督、执纪、问责为主线，查处系统内违规、违纪、违法行为，教育广大民警职工，巩固已经形成的“反腐败压倒性态势”，夺取反腐败斗争压倒性生理。贯彻一届任期全覆盖的要求，以问题为导向，发问题，形成震慑，提升被巡察党委凝聚力、战斗力，促使党员领导干部遵守财经纪律、依法行政、廉洁从政。</w:t>
            </w:r>
          </w:p>
        </w:tc>
        <w:tc>
          <w:tcPr>
            <w:tcW w:w="460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2020年度纪检办案工作以监督、执纪、问责为主线，查处系统内违规、违纪、违法行为，教育广大民警职工，巩固已经形成的“反腐败压倒性态势”，夺取反腐败斗争压倒性生理。贯彻一届任期全覆盖的要求，以问题为导向，发问题，形成震慑，提升被巡察党委凝聚力、战斗力，促使党员领导干部遵守财经纪律、依法行政、廉洁从政。</w:t>
            </w:r>
          </w:p>
        </w:tc>
      </w:tr>
      <w:tr>
        <w:tblPrEx>
          <w:tblLayout w:type="fixed"/>
          <w:tblCellMar>
            <w:top w:w="15" w:type="dxa"/>
            <w:left w:w="15" w:type="dxa"/>
            <w:bottom w:w="0" w:type="dxa"/>
            <w:right w:w="15" w:type="dxa"/>
          </w:tblCellMar>
        </w:tblPrEx>
        <w:trPr>
          <w:trHeight w:val="439"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年度绩效指标完成情况</w:t>
            </w:r>
          </w:p>
        </w:tc>
        <w:tc>
          <w:tcPr>
            <w:tcW w:w="12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二级指标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三级指标</w:t>
            </w: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预期指标值</w:t>
            </w: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实际完成指标值</w:t>
            </w:r>
          </w:p>
        </w:tc>
      </w:tr>
      <w:tr>
        <w:tblPrEx>
          <w:tblLayout w:type="fixed"/>
          <w:tblCellMar>
            <w:top w:w="15" w:type="dxa"/>
            <w:left w:w="15" w:type="dxa"/>
            <w:bottom w:w="0" w:type="dxa"/>
            <w:right w:w="15" w:type="dxa"/>
          </w:tblCellMar>
        </w:tblPrEx>
        <w:trPr>
          <w:trHeight w:val="723"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完</w:t>
            </w:r>
            <w:r>
              <w:rPr>
                <w:rFonts w:hint="eastAsia" w:ascii="仿宋_GB2312" w:hAnsi="仿宋_GB2312" w:eastAsia="仿宋_GB2312" w:cs="仿宋_GB2312"/>
                <w:i w:val="0"/>
                <w:color w:val="000000"/>
                <w:kern w:val="0"/>
                <w:sz w:val="18"/>
                <w:szCs w:val="18"/>
                <w:u w:val="none"/>
                <w:lang w:val="en-US" w:eastAsia="zh-CN" w:bidi="ar"/>
              </w:rPr>
              <w:br w:type="textWrapping"/>
            </w:r>
            <w:r>
              <w:rPr>
                <w:rStyle w:val="16"/>
                <w:rFonts w:hint="eastAsia" w:ascii="仿宋_GB2312" w:hAnsi="仿宋_GB2312" w:eastAsia="仿宋_GB2312" w:cs="仿宋_GB2312"/>
                <w:sz w:val="18"/>
                <w:szCs w:val="18"/>
                <w:lang w:val="en-US" w:eastAsia="zh-CN" w:bidi="ar"/>
              </w:rPr>
              <w:t>成</w:t>
            </w:r>
            <w:r>
              <w:rPr>
                <w:rFonts w:hint="eastAsia" w:ascii="仿宋_GB2312" w:hAnsi="仿宋_GB2312" w:eastAsia="仿宋_GB2312" w:cs="仿宋_GB2312"/>
                <w:i w:val="0"/>
                <w:color w:val="000000"/>
                <w:kern w:val="0"/>
                <w:sz w:val="18"/>
                <w:szCs w:val="18"/>
                <w:u w:val="none"/>
                <w:lang w:val="en-US" w:eastAsia="zh-CN" w:bidi="ar"/>
              </w:rPr>
              <w:br w:type="textWrapping"/>
            </w:r>
            <w:r>
              <w:rPr>
                <w:rStyle w:val="16"/>
                <w:rFonts w:hint="eastAsia" w:ascii="仿宋_GB2312" w:hAnsi="仿宋_GB2312" w:eastAsia="仿宋_GB2312" w:cs="仿宋_GB2312"/>
                <w:sz w:val="18"/>
                <w:szCs w:val="18"/>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Style w:val="16"/>
                <w:rFonts w:hint="eastAsia" w:ascii="仿宋_GB2312" w:hAnsi="仿宋_GB2312" w:eastAsia="仿宋_GB2312" w:cs="仿宋_GB2312"/>
                <w:sz w:val="18"/>
                <w:szCs w:val="18"/>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数量指标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办理信访案件</w:t>
            </w: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办理信访案件不少于100</w:t>
            </w:r>
            <w:r>
              <w:rPr>
                <w:rStyle w:val="17"/>
                <w:rFonts w:hint="eastAsia" w:ascii="仿宋_GB2312" w:hAnsi="仿宋_GB2312" w:eastAsia="仿宋_GB2312" w:cs="仿宋_GB2312"/>
                <w:sz w:val="18"/>
                <w:szCs w:val="18"/>
                <w:lang w:val="en-US" w:eastAsia="zh-CN" w:bidi="ar"/>
              </w:rPr>
              <w:t>件</w:t>
            </w: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2020年度一共办理信访案件不少于100</w:t>
            </w:r>
            <w:r>
              <w:rPr>
                <w:rStyle w:val="17"/>
                <w:rFonts w:hint="eastAsia" w:ascii="仿宋_GB2312" w:hAnsi="仿宋_GB2312" w:eastAsia="仿宋_GB2312" w:cs="仿宋_GB2312"/>
                <w:sz w:val="18"/>
                <w:szCs w:val="18"/>
                <w:lang w:val="en-US" w:eastAsia="zh-CN" w:bidi="ar"/>
              </w:rPr>
              <w:t>件</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质量指标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案件完成情况</w:t>
            </w: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不出现冤假错案</w:t>
            </w: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未出现冤假错案</w:t>
            </w:r>
          </w:p>
        </w:tc>
      </w:tr>
      <w:tr>
        <w:tblPrEx>
          <w:tblLayout w:type="fixed"/>
          <w:tblCellMar>
            <w:top w:w="15" w:type="dxa"/>
            <w:left w:w="15" w:type="dxa"/>
            <w:bottom w:w="0" w:type="dxa"/>
            <w:right w:w="15" w:type="dxa"/>
          </w:tblCellMar>
        </w:tblPrEx>
        <w:trPr>
          <w:trHeight w:val="697"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时效指标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完成时间</w:t>
            </w: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按时上报省纪委统计数据</w:t>
            </w: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2020年12</w:t>
            </w:r>
            <w:r>
              <w:rPr>
                <w:rStyle w:val="17"/>
                <w:rFonts w:hint="eastAsia" w:ascii="仿宋_GB2312" w:hAnsi="仿宋_GB2312" w:eastAsia="仿宋_GB2312" w:cs="仿宋_GB2312"/>
                <w:sz w:val="18"/>
                <w:szCs w:val="18"/>
                <w:lang w:val="en-US" w:eastAsia="zh-CN" w:bidi="ar"/>
              </w:rPr>
              <w:t>月</w:t>
            </w:r>
            <w:r>
              <w:rPr>
                <w:rFonts w:hint="eastAsia" w:ascii="仿宋_GB2312" w:hAnsi="仿宋_GB2312" w:eastAsia="仿宋_GB2312" w:cs="仿宋_GB2312"/>
                <w:i w:val="0"/>
                <w:color w:val="000000"/>
                <w:kern w:val="0"/>
                <w:sz w:val="18"/>
                <w:szCs w:val="18"/>
                <w:u w:val="none"/>
                <w:lang w:val="en-US" w:eastAsia="zh-CN" w:bidi="ar"/>
              </w:rPr>
              <w:t>31</w:t>
            </w:r>
            <w:r>
              <w:rPr>
                <w:rStyle w:val="17"/>
                <w:rFonts w:hint="eastAsia" w:ascii="仿宋_GB2312" w:hAnsi="仿宋_GB2312" w:eastAsia="仿宋_GB2312" w:cs="仿宋_GB2312"/>
                <w:sz w:val="18"/>
                <w:szCs w:val="18"/>
                <w:lang w:val="en-US" w:eastAsia="zh-CN" w:bidi="ar"/>
              </w:rPr>
              <w:t>日以前按时上报省纪委统计数据</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成本指标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效</w:t>
            </w:r>
            <w:r>
              <w:rPr>
                <w:rFonts w:hint="eastAsia" w:ascii="仿宋_GB2312" w:hAnsi="仿宋_GB2312" w:eastAsia="仿宋_GB2312" w:cs="仿宋_GB2312"/>
                <w:i w:val="0"/>
                <w:color w:val="000000"/>
                <w:kern w:val="0"/>
                <w:sz w:val="18"/>
                <w:szCs w:val="18"/>
                <w:u w:val="none"/>
                <w:lang w:val="en-US" w:eastAsia="zh-CN" w:bidi="ar"/>
              </w:rPr>
              <w:br w:type="textWrapping"/>
            </w:r>
            <w:r>
              <w:rPr>
                <w:rStyle w:val="16"/>
                <w:rFonts w:hint="eastAsia" w:ascii="仿宋_GB2312" w:hAnsi="仿宋_GB2312" w:eastAsia="仿宋_GB2312" w:cs="仿宋_GB2312"/>
                <w:sz w:val="18"/>
                <w:szCs w:val="18"/>
                <w:lang w:val="en-US" w:eastAsia="zh-CN" w:bidi="ar"/>
              </w:rPr>
              <w:t>益</w:t>
            </w:r>
            <w:r>
              <w:rPr>
                <w:rFonts w:hint="eastAsia" w:ascii="仿宋_GB2312" w:hAnsi="仿宋_GB2312" w:eastAsia="仿宋_GB2312" w:cs="仿宋_GB2312"/>
                <w:i w:val="0"/>
                <w:color w:val="000000"/>
                <w:kern w:val="0"/>
                <w:sz w:val="18"/>
                <w:szCs w:val="18"/>
                <w:u w:val="none"/>
                <w:lang w:val="en-US" w:eastAsia="zh-CN" w:bidi="ar"/>
              </w:rPr>
              <w:br w:type="textWrapping"/>
            </w:r>
            <w:r>
              <w:rPr>
                <w:rStyle w:val="16"/>
                <w:rFonts w:hint="eastAsia" w:ascii="仿宋_GB2312" w:hAnsi="仿宋_GB2312" w:eastAsia="仿宋_GB2312" w:cs="仿宋_GB2312"/>
                <w:sz w:val="18"/>
                <w:szCs w:val="18"/>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Style w:val="16"/>
                <w:rFonts w:hint="eastAsia" w:ascii="仿宋_GB2312" w:hAnsi="仿宋_GB2312" w:eastAsia="仿宋_GB2312" w:cs="仿宋_GB2312"/>
                <w:sz w:val="18"/>
                <w:szCs w:val="18"/>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经济效益指标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66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社会效益指标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对社会促进作用</w:t>
            </w: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促进党风廉政建设进一步好转</w:t>
            </w: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纪检监察工作促进党风廉政建设进一步好转</w:t>
            </w: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生态效益指标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48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可持续影响指标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r>
      <w:tr>
        <w:tblPrEx>
          <w:tblLayout w:type="fixed"/>
          <w:tblCellMar>
            <w:top w:w="15" w:type="dxa"/>
            <w:left w:w="15" w:type="dxa"/>
            <w:bottom w:w="0" w:type="dxa"/>
            <w:right w:w="15" w:type="dxa"/>
          </w:tblCellMar>
        </w:tblPrEx>
        <w:trPr>
          <w:trHeight w:val="1527"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hint="eastAsia" w:ascii="仿宋_GB2312" w:hAnsi="仿宋_GB2312" w:eastAsia="仿宋_GB2312" w:cs="仿宋_GB2312"/>
                <w:i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满</w:t>
            </w:r>
            <w:r>
              <w:rPr>
                <w:rFonts w:hint="eastAsia" w:ascii="仿宋_GB2312" w:hAnsi="仿宋_GB2312" w:eastAsia="仿宋_GB2312" w:cs="仿宋_GB2312"/>
                <w:i w:val="0"/>
                <w:color w:val="000000"/>
                <w:kern w:val="0"/>
                <w:sz w:val="18"/>
                <w:szCs w:val="18"/>
                <w:u w:val="none"/>
                <w:lang w:val="en-US" w:eastAsia="zh-CN" w:bidi="ar"/>
              </w:rPr>
              <w:br w:type="textWrapping"/>
            </w:r>
            <w:r>
              <w:rPr>
                <w:rStyle w:val="16"/>
                <w:rFonts w:hint="eastAsia" w:ascii="仿宋_GB2312" w:hAnsi="仿宋_GB2312" w:eastAsia="仿宋_GB2312" w:cs="仿宋_GB2312"/>
                <w:sz w:val="18"/>
                <w:szCs w:val="18"/>
                <w:lang w:val="en-US" w:eastAsia="zh-CN" w:bidi="ar"/>
              </w:rPr>
              <w:t>意</w:t>
            </w:r>
            <w:r>
              <w:rPr>
                <w:rFonts w:hint="eastAsia" w:ascii="仿宋_GB2312" w:hAnsi="仿宋_GB2312" w:eastAsia="仿宋_GB2312" w:cs="仿宋_GB2312"/>
                <w:i w:val="0"/>
                <w:color w:val="000000"/>
                <w:kern w:val="0"/>
                <w:sz w:val="18"/>
                <w:szCs w:val="18"/>
                <w:u w:val="none"/>
                <w:lang w:val="en-US" w:eastAsia="zh-CN" w:bidi="ar"/>
              </w:rPr>
              <w:br w:type="textWrapping"/>
            </w:r>
            <w:r>
              <w:rPr>
                <w:rStyle w:val="16"/>
                <w:rFonts w:hint="eastAsia" w:ascii="仿宋_GB2312" w:hAnsi="仿宋_GB2312" w:eastAsia="仿宋_GB2312" w:cs="仿宋_GB2312"/>
                <w:sz w:val="18"/>
                <w:szCs w:val="18"/>
                <w:lang w:val="en-US" w:eastAsia="zh-CN" w:bidi="ar"/>
              </w:rPr>
              <w:t>度</w:t>
            </w:r>
            <w:r>
              <w:rPr>
                <w:rFonts w:hint="eastAsia" w:ascii="仿宋_GB2312" w:hAnsi="仿宋_GB2312" w:eastAsia="仿宋_GB2312" w:cs="仿宋_GB2312"/>
                <w:i w:val="0"/>
                <w:color w:val="000000"/>
                <w:kern w:val="0"/>
                <w:sz w:val="18"/>
                <w:szCs w:val="18"/>
                <w:u w:val="none"/>
                <w:lang w:val="en-US" w:eastAsia="zh-CN" w:bidi="ar"/>
              </w:rPr>
              <w:br w:type="textWrapping"/>
            </w:r>
            <w:r>
              <w:rPr>
                <w:rStyle w:val="16"/>
                <w:rFonts w:hint="eastAsia" w:ascii="仿宋_GB2312" w:hAnsi="仿宋_GB2312" w:eastAsia="仿宋_GB2312" w:cs="仿宋_GB2312"/>
                <w:sz w:val="18"/>
                <w:szCs w:val="18"/>
                <w:lang w:val="en-US" w:eastAsia="zh-CN" w:bidi="ar"/>
              </w:rPr>
              <w:t>指</w:t>
            </w:r>
            <w:r>
              <w:rPr>
                <w:rFonts w:hint="eastAsia" w:ascii="仿宋_GB2312" w:hAnsi="仿宋_GB2312" w:eastAsia="仿宋_GB2312" w:cs="仿宋_GB2312"/>
                <w:i w:val="0"/>
                <w:color w:val="000000"/>
                <w:kern w:val="0"/>
                <w:sz w:val="18"/>
                <w:szCs w:val="18"/>
                <w:u w:val="none"/>
                <w:lang w:val="en-US" w:eastAsia="zh-CN" w:bidi="ar"/>
              </w:rPr>
              <w:br w:type="textWrapping"/>
            </w:r>
            <w:r>
              <w:rPr>
                <w:rStyle w:val="16"/>
                <w:rFonts w:hint="eastAsia" w:ascii="仿宋_GB2312" w:hAnsi="仿宋_GB2312" w:eastAsia="仿宋_GB2312" w:cs="仿宋_GB2312"/>
                <w:sz w:val="18"/>
                <w:szCs w:val="18"/>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满意度指标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服务对象满意度</w:t>
            </w:r>
          </w:p>
        </w:tc>
        <w:tc>
          <w:tcPr>
            <w:tcW w:w="228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办理信访案件，信访对象满意度达到80%</w:t>
            </w:r>
            <w:r>
              <w:rPr>
                <w:rStyle w:val="17"/>
                <w:rFonts w:hint="eastAsia" w:ascii="仿宋_GB2312" w:hAnsi="仿宋_GB2312" w:eastAsia="仿宋_GB2312" w:cs="仿宋_GB2312"/>
                <w:sz w:val="18"/>
                <w:szCs w:val="18"/>
                <w:lang w:val="en-US" w:eastAsia="zh-CN" w:bidi="ar"/>
              </w:rPr>
              <w:t>以上</w:t>
            </w:r>
          </w:p>
        </w:tc>
        <w:tc>
          <w:tcPr>
            <w:tcW w:w="232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hint="eastAsia" w:ascii="仿宋_GB2312" w:hAnsi="仿宋_GB2312" w:eastAsia="仿宋_GB2312" w:cs="仿宋_GB2312"/>
                <w:sz w:val="18"/>
                <w:szCs w:val="18"/>
              </w:rPr>
            </w:pPr>
            <w:r>
              <w:rPr>
                <w:rFonts w:hint="eastAsia" w:ascii="仿宋_GB2312" w:hAnsi="仿宋_GB2312" w:eastAsia="仿宋_GB2312" w:cs="仿宋_GB2312"/>
                <w:i w:val="0"/>
                <w:color w:val="000000"/>
                <w:kern w:val="0"/>
                <w:sz w:val="18"/>
                <w:szCs w:val="18"/>
                <w:u w:val="none"/>
                <w:lang w:val="en-US" w:eastAsia="zh-CN" w:bidi="ar"/>
              </w:rPr>
              <w:t>2020</w:t>
            </w:r>
            <w:r>
              <w:rPr>
                <w:rStyle w:val="17"/>
                <w:rFonts w:hint="eastAsia" w:ascii="仿宋_GB2312" w:hAnsi="仿宋_GB2312" w:eastAsia="仿宋_GB2312" w:cs="仿宋_GB2312"/>
                <w:sz w:val="18"/>
                <w:szCs w:val="18"/>
                <w:lang w:val="en-US" w:eastAsia="zh-CN" w:bidi="ar"/>
              </w:rPr>
              <w:t>年度纪检办理信访案件，信访对象满意度达到80%以上</w:t>
            </w:r>
          </w:p>
        </w:tc>
      </w:tr>
    </w:tbl>
    <w:p>
      <w:pPr>
        <w:pStyle w:val="27"/>
        <w:keepNext w:val="0"/>
        <w:keepLines w:val="0"/>
        <w:pageBreakBefore w:val="0"/>
        <w:widowControl w:val="0"/>
        <w:kinsoku/>
        <w:wordWrap/>
        <w:overflowPunct/>
        <w:topLinePunct w:val="0"/>
        <w:autoSpaceDE/>
        <w:autoSpaceDN/>
        <w:bidi w:val="0"/>
        <w:adjustRightInd/>
        <w:snapToGrid/>
        <w:spacing w:line="300" w:lineRule="exact"/>
        <w:ind w:firstLine="641"/>
        <w:textAlignment w:val="auto"/>
        <w:rPr>
          <w:rFonts w:ascii="仿宋_GB2312" w:hAnsi="仿宋_GB2312" w:eastAsia="仿宋_GB2312" w:cs="仿宋_GB2312"/>
          <w:color w:val="000000"/>
          <w:sz w:val="32"/>
          <w:szCs w:val="32"/>
        </w:rPr>
      </w:pPr>
    </w:p>
    <w:p>
      <w:pPr>
        <w:pStyle w:val="27"/>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2.部门绩效评价结果。</w:t>
      </w:r>
    </w:p>
    <w:p>
      <w:pPr>
        <w:pStyle w:val="2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sz w:val="32"/>
          <w:szCs w:val="32"/>
        </w:rPr>
      </w:pPr>
      <w:r>
        <w:rPr>
          <w:rFonts w:ascii="仿宋_GB2312" w:hAnsi="仿宋_GB2312" w:cs="仿宋_GB2312"/>
          <w:color w:val="000000"/>
          <w:sz w:val="32"/>
          <w:szCs w:val="32"/>
        </w:rPr>
        <w:t>本部门</w:t>
      </w:r>
      <w:r>
        <w:rPr>
          <w:rFonts w:cs="仿宋_GB2312"/>
          <w:color w:val="000000"/>
          <w:sz w:val="32"/>
          <w:szCs w:val="32"/>
          <w:lang w:eastAsia="zh-CN"/>
        </w:rPr>
        <w:t>自行组织对</w:t>
      </w:r>
      <w:r>
        <w:rPr>
          <w:rFonts w:ascii="仿宋_GB2312" w:hAnsi="仿宋_GB2312" w:cs="仿宋_GB2312"/>
          <w:color w:val="000000"/>
          <w:sz w:val="32"/>
          <w:szCs w:val="32"/>
        </w:rPr>
        <w:t>“普法宣传”“法制建设”“基层司法”等</w:t>
      </w:r>
      <w:r>
        <w:rPr>
          <w:rFonts w:eastAsia="仿宋_GB2312" w:cs="仿宋_GB2312"/>
          <w:color w:val="000000"/>
          <w:sz w:val="32"/>
          <w:szCs w:val="32"/>
        </w:rPr>
        <w:t>5</w:t>
      </w:r>
      <w:r>
        <w:rPr>
          <w:rFonts w:ascii="仿宋_GB2312" w:hAnsi="仿宋_GB2312" w:cs="仿宋_GB2312"/>
          <w:color w:val="000000"/>
          <w:sz w:val="32"/>
          <w:szCs w:val="32"/>
        </w:rPr>
        <w:t>个</w:t>
      </w:r>
      <w:r>
        <w:rPr>
          <w:rFonts w:cs="仿宋_GB2312"/>
          <w:color w:val="000000"/>
          <w:sz w:val="32"/>
          <w:szCs w:val="32"/>
          <w:lang w:eastAsia="zh-CN"/>
        </w:rPr>
        <w:t>部门预算项目开展了绩效评价，</w:t>
      </w:r>
      <w:r>
        <w:rPr>
          <w:rFonts w:ascii="仿宋_GB2312" w:hAnsi="仿宋_GB2312" w:cs="仿宋_GB2312"/>
          <w:color w:val="000000"/>
          <w:sz w:val="32"/>
          <w:szCs w:val="32"/>
        </w:rPr>
        <w:t>《</w:t>
      </w:r>
      <w:r>
        <w:rPr>
          <w:rFonts w:eastAsia="仿宋_GB2312" w:cs="仿宋_GB2312"/>
          <w:color w:val="000000"/>
          <w:sz w:val="32"/>
          <w:szCs w:val="32"/>
        </w:rPr>
        <w:t>2020</w:t>
      </w:r>
      <w:r>
        <w:rPr>
          <w:rFonts w:ascii="仿宋_GB2312" w:hAnsi="仿宋_GB2312" w:cs="仿宋_GB2312"/>
          <w:color w:val="000000"/>
          <w:sz w:val="32"/>
          <w:szCs w:val="32"/>
        </w:rPr>
        <w:t>年部门</w:t>
      </w:r>
      <w:r>
        <w:rPr>
          <w:rFonts w:cs="仿宋_GB2312"/>
          <w:color w:val="000000"/>
          <w:sz w:val="32"/>
          <w:szCs w:val="32"/>
          <w:lang w:eastAsia="zh-CN"/>
        </w:rPr>
        <w:t>预算项目支出绩效自评</w:t>
      </w:r>
      <w:r>
        <w:rPr>
          <w:rFonts w:ascii="仿宋_GB2312" w:hAnsi="仿宋_GB2312" w:cs="仿宋_GB2312"/>
          <w:color w:val="000000"/>
          <w:sz w:val="32"/>
          <w:szCs w:val="32"/>
        </w:rPr>
        <w:t>报告》见附件。</w:t>
      </w:r>
    </w:p>
    <w:p>
      <w:pPr>
        <w:pStyle w:val="27"/>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_GB2312" w:eastAsia="仿宋_GB2312" w:cs="仿宋_GB2312"/>
          <w:b/>
          <w:color w:val="000000"/>
          <w:sz w:val="32"/>
          <w:szCs w:val="32"/>
          <w:lang w:val="en-US" w:eastAsia="zh-CN"/>
        </w:rPr>
      </w:pPr>
    </w:p>
    <w:p>
      <w:pPr>
        <w:pStyle w:val="28"/>
        <w:rPr>
          <w:rFonts w:ascii="仿宋_GB2312" w:hAnsi="仿宋_GB2312" w:eastAsia="仿宋_GB2312" w:cs="仿宋_GB2312"/>
          <w:b/>
          <w:color w:val="000000"/>
          <w:sz w:val="32"/>
          <w:szCs w:val="32"/>
        </w:rPr>
      </w:pPr>
    </w:p>
    <w:p>
      <w:pPr>
        <w:pStyle w:val="28"/>
        <w:rPr>
          <w:b/>
          <w:color w:val="000000"/>
          <w:sz w:val="32"/>
          <w:szCs w:val="32"/>
        </w:rPr>
      </w:pPr>
    </w:p>
    <w:p>
      <w:pPr>
        <w:pStyle w:val="28"/>
        <w:rPr>
          <w:b/>
          <w:color w:val="000000"/>
          <w:sz w:val="32"/>
          <w:szCs w:val="32"/>
        </w:rPr>
      </w:pPr>
    </w:p>
    <w:p>
      <w:pPr>
        <w:pStyle w:val="28"/>
        <w:rPr>
          <w:b/>
          <w:color w:val="000000"/>
          <w:sz w:val="32"/>
          <w:szCs w:val="32"/>
        </w:rPr>
      </w:pPr>
    </w:p>
    <w:p>
      <w:pPr>
        <w:pStyle w:val="28"/>
        <w:rPr>
          <w:b/>
          <w:color w:val="000000"/>
          <w:sz w:val="32"/>
          <w:szCs w:val="32"/>
        </w:rPr>
      </w:pPr>
    </w:p>
    <w:p>
      <w:pPr>
        <w:pStyle w:val="28"/>
        <w:rPr>
          <w:b/>
          <w:color w:val="000000"/>
          <w:sz w:val="32"/>
          <w:szCs w:val="32"/>
        </w:rPr>
      </w:pPr>
    </w:p>
    <w:p>
      <w:pPr>
        <w:pStyle w:val="28"/>
        <w:rPr>
          <w:b/>
          <w:color w:val="000000"/>
          <w:sz w:val="32"/>
          <w:szCs w:val="32"/>
        </w:rPr>
      </w:pPr>
    </w:p>
    <w:p>
      <w:pPr>
        <w:pStyle w:val="28"/>
        <w:rPr>
          <w:b/>
          <w:color w:val="000000"/>
          <w:sz w:val="32"/>
          <w:szCs w:val="32"/>
        </w:rPr>
      </w:pPr>
    </w:p>
    <w:p>
      <w:pPr>
        <w:pStyle w:val="28"/>
        <w:rPr>
          <w:b/>
          <w:color w:val="000000"/>
          <w:sz w:val="32"/>
          <w:szCs w:val="32"/>
        </w:rPr>
      </w:pPr>
    </w:p>
    <w:p>
      <w:pPr>
        <w:pStyle w:val="28"/>
        <w:rPr>
          <w:b/>
          <w:color w:val="000000"/>
          <w:sz w:val="32"/>
          <w:szCs w:val="32"/>
        </w:rPr>
      </w:pPr>
    </w:p>
    <w:p>
      <w:pPr>
        <w:pStyle w:val="28"/>
        <w:rPr>
          <w:b/>
          <w:color w:val="000000"/>
          <w:sz w:val="32"/>
          <w:szCs w:val="32"/>
        </w:rPr>
      </w:pPr>
    </w:p>
    <w:p>
      <w:pPr>
        <w:pStyle w:val="28"/>
        <w:rPr>
          <w:b/>
          <w:color w:val="000000"/>
          <w:sz w:val="32"/>
          <w:szCs w:val="32"/>
        </w:rPr>
      </w:pPr>
    </w:p>
    <w:p>
      <w:pPr>
        <w:pStyle w:val="28"/>
        <w:rPr>
          <w:b/>
          <w:color w:val="000000"/>
          <w:sz w:val="32"/>
          <w:szCs w:val="32"/>
        </w:rPr>
      </w:pPr>
    </w:p>
    <w:p>
      <w:pPr>
        <w:pStyle w:val="28"/>
        <w:rPr>
          <w:b/>
          <w:color w:val="000000"/>
          <w:sz w:val="32"/>
          <w:szCs w:val="32"/>
        </w:rPr>
      </w:pPr>
    </w:p>
    <w:p>
      <w:pPr>
        <w:pStyle w:val="27"/>
        <w:numPr>
          <w:ilvl w:val="0"/>
          <w:numId w:val="0"/>
        </w:numPr>
        <w:tabs>
          <w:tab w:val="left" w:pos="0"/>
        </w:tabs>
        <w:spacing w:line="600" w:lineRule="exact"/>
        <w:jc w:val="both"/>
        <w:outlineLvl w:val="0"/>
        <w:rPr>
          <w:rFonts w:ascii="方正小标宋_GBK" w:hAnsi="方正小标宋_GBK" w:eastAsia="方正小标宋_GBK" w:cs="方正小标宋_GBK"/>
          <w:color w:val="000000"/>
          <w:sz w:val="44"/>
          <w:szCs w:val="44"/>
        </w:rPr>
      </w:pPr>
    </w:p>
    <w:p>
      <w:pPr>
        <w:pStyle w:val="27"/>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第三部分  名</w:t>
      </w:r>
      <w:r>
        <w:rPr>
          <w:rStyle w:val="11"/>
          <w:rFonts w:hint="eastAsia" w:ascii="方正小标宋简体" w:hAnsi="方正小标宋简体" w:eastAsia="方正小标宋简体" w:cs="方正小标宋简体"/>
          <w:b w:val="0"/>
          <w:color w:val="000000"/>
          <w:sz w:val="44"/>
          <w:szCs w:val="44"/>
        </w:rPr>
        <w:t>词解释</w:t>
      </w:r>
    </w:p>
    <w:p>
      <w:pPr>
        <w:pStyle w:val="27"/>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Style w:val="11"/>
          <w:rFonts w:hint="eastAsia" w:ascii="仿宋_GB2312" w:hAnsi="仿宋_GB2312" w:eastAsia="仿宋_GB2312" w:cs="仿宋_GB2312"/>
          <w:b/>
          <w:color w:val="000000"/>
          <w:sz w:val="32"/>
          <w:szCs w:val="32"/>
        </w:rPr>
      </w:pP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2.事业收入：指事业单位开展专业业务活动及辅助活动取得的收入。</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3.经营收入：指事业单位在专业业务活动及其辅助活动之外开展非独立核算经营活动取得的收入。</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4.其他收入：指单位取得的除上述收入以外的各项收入。</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5.使用非财政拨款结余：指事业单位使用以前年度积累的非财政拨款结余弥补当年收支差额的金额。</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6.年初结转和结余：指以前年度尚未完成、结转到本年按有关规定继续使用的资金。</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7.结余分配：指事业单位按照会计制度规定缴纳的所得税、提取的专用结余以及转入非财政拨款结余的金额等。</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8.年末结转和结余：指单位按有关规定结转到下年或以后年度继续使用的资金。</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9.一般公共服务（类）纪检监察事务（款）大案要案查处（项）：反映查处大要（专）案的支出。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10.一般公共服务（类）市场监督管理事务（款）其他市场监督管理事务（项）：反映用于其他市场监督管理事务方面的支出。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11.公共安全支出（类）司法（款）行政运行（项）：反映行政单位（包括试行公务员管理的事业单位）的基本支出。</w:t>
      </w:r>
    </w:p>
    <w:p>
      <w:pPr>
        <w:pStyle w:val="5"/>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sz w:val="32"/>
          <w:szCs w:val="32"/>
          <w:lang w:bidi="ar-SA"/>
        </w:rPr>
      </w:pPr>
      <w:r>
        <w:rPr>
          <w:rFonts w:hint="eastAsia" w:ascii="仿宋_GB2312" w:hAnsi="仿宋_GB2312" w:eastAsia="仿宋_GB2312" w:cs="仿宋_GB2312"/>
          <w:color w:val="000000"/>
          <w:sz w:val="32"/>
          <w:szCs w:val="32"/>
          <w:lang w:bidi="ar-SA"/>
        </w:rPr>
        <w:t>12.公共安全支出（类）司法（款）一般行政管理事（项）</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lang w:bidi="ar-SA"/>
        </w:rPr>
        <w:t>反映行政单位（包括试行公务员管理的事业单位）为单独设置顶级科目的其他项目支出。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13.公共安全支出（类）司法（款）机关服务（项）：反映行政单位（包括试行公务员管理的事业单位）提供后勤服务的各类后勤服务中心、医务室等附属事业单位的支出。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14.公共安全支出（类）司法（款）基层司法业务（项）：指各级司法行政部门用于基层业务的支出。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15.公共安全支出（类）司法（款）普法宣传（项）：指各级司法行政部门用于组织各种媒体的宣传、普法装备与设施、宣传资料、对外宣传、法制作品的审读评审等方面的支出。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16.公共安全支出（类）司法（款）法律援助（项）：指各级法律援助机构用于开展法律援助工作的支出。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17.公共安全支出（类）司法（款）国家统一法律资格考试（项）：指各级司法行政部门用于举办司法统一考试所需支出，包括报名组织费、命题费、试卷印刷费、阅卷费、考场租赁费等。</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18.公共安全支出（类）司法（款）法制建设（项）：反映各级政府用于法制建设方面的支出。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19.公共安全支出（类）其他公共安全（款）其他公共安全（项）：反映用于其他方面公共安全支出。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20.教育支出（类）职业教育（款）高等职业教育（项）：指经国家批准设立的高等职业大学、专科职业教育等方面的支出。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21.社会保障和就业支出（类）行政事业单位离退休（款）未归口管理的行政事业单位离退休（项）：指未实行归口管理的行政单位（包括实行公务员管理的事业单位）开支的离退休支出。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22.社会保障和就业支出（类）行政事业单位离退休（款）机关事业单位基本养老保险缴费支出（项）：指机关事业单位实施养老保险制度由单位缴纳的基本养老保险支出。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23.社会保障和就业支出（类）行政事业单位离退休（款）机关事业单位职业年金缴费支出（项）：反映机关事业单位实施年老保险制度由单位缴纳的职业年金支出。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24.社会保障和就业支出（类）抚恤（款）死亡抚恤（项）：指按规定用于烈士和牺牲、病故人员家属的一次性和定期抚恤金以及丧葬补助费。</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25.社会保障和就业支出（类）其他社会保障和就业支出（款）其他社会保障和就业支出（项）：指其他用于社会保障和就业方面的支出。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卫生健康支出（类）行政事业单位医疗（款）行政单位医疗（项）：指财政部门集中安排的行政单位基本医疗保险缴费经费，未参加医疗保险的行政单位的公费医疗经费，按国家规定享受离休人员、红军老战士待遇人员的医疗经费。</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卫生健康支出（类）行政事业单位医疗（款）事业单位医疗（项）：指财政部门集中安排的事业单位基本医疗保险缴费经费，未参加医疗保险的事业单位的公费医疗经费，按国家规定享受离休人员待遇的医疗经费。</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28.卫生健康支出（类）行政事业单位医疗（款）公务员医疗补助（项）：指财政部门集中安排的公务员补助经费。</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29.住房保障支付（类）住房改革支出（款）住房公积金（项）：指行政事业单位按人力资源和社会保障部、财政部规定的基本工资和津补贴以及规定比例为职工缴纳的住房公积金。</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30.住房保障支出（类）住房改革支出（款）购房补贴（项）：指按房改政策规定，行政事业单位向符合条件职工（含离退休人员）、军队（含武警）向转役复员离退休人员发放的用于购买住房的补贴。</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31.灾害防治及应急管理支出（类）应急管理事务（款）其他应急管理事务（项）：用于其他应急管理方面支出。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32.基本支出：指为保障机构正常运转、完成日常工作任务而发生的人员支出和公用支出。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33.项目支出：指在基本支出之外为完成特定行政任务和事业发展目标所发生的支出。 </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34.经营支出：指事业单位在专业业务活动及其辅助活动之外开展非独立核算经营活动发生的支出。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numPr>
          <w:ilvl w:val="0"/>
          <w:numId w:val="0"/>
        </w:numPr>
        <w:spacing w:line="600" w:lineRule="exact"/>
        <w:ind w:left="0"/>
        <w:jc w:val="center"/>
        <w:outlineLvl w:val="0"/>
        <w:rPr>
          <w:rFonts w:ascii="仿宋_GB2312" w:hAnsi="仿宋_GB2312" w:eastAsia="仿宋_GB2312" w:cs="仿宋_GB2312"/>
          <w:color w:val="000000"/>
          <w:kern w:val="0"/>
          <w:sz w:val="32"/>
          <w:szCs w:val="32"/>
          <w:lang w:val="en-US" w:eastAsia="zh-CN" w:bidi="ar-SA"/>
        </w:rPr>
      </w:pPr>
      <w:bookmarkStart w:id="50" w:name="_Toc15377226"/>
      <w:bookmarkEnd w:id="50"/>
    </w:p>
    <w:p>
      <w:pPr>
        <w:pStyle w:val="5"/>
        <w:numPr>
          <w:ilvl w:val="0"/>
          <w:numId w:val="0"/>
        </w:numPr>
        <w:spacing w:line="600" w:lineRule="exact"/>
        <w:ind w:left="0"/>
        <w:jc w:val="center"/>
        <w:outlineLvl w:val="0"/>
        <w:rPr>
          <w:rFonts w:ascii="仿宋_GB2312" w:hAnsi="仿宋_GB2312" w:eastAsia="仿宋_GB2312" w:cs="仿宋_GB2312"/>
          <w:color w:val="000000"/>
          <w:kern w:val="0"/>
          <w:sz w:val="32"/>
          <w:szCs w:val="32"/>
          <w:lang w:val="en-US" w:eastAsia="zh-CN" w:bidi="ar-SA"/>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000000"/>
          <w:sz w:val="44"/>
          <w:szCs w:val="44"/>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0"/>
        <w:rPr>
          <w:rStyle w:val="11"/>
          <w:rFonts w:hint="eastAsia" w:ascii="方正小标宋简体" w:hAnsi="方正小标宋简体" w:eastAsia="方正小标宋简体" w:cs="方正小标宋简体"/>
          <w:b w:val="0"/>
          <w:color w:val="000000"/>
          <w:sz w:val="44"/>
          <w:szCs w:val="44"/>
        </w:rPr>
      </w:pPr>
      <w:r>
        <w:rPr>
          <w:rFonts w:hint="eastAsia" w:ascii="方正小标宋简体" w:hAnsi="方正小标宋简体" w:eastAsia="方正小标宋简体" w:cs="方正小标宋简体"/>
          <w:color w:val="000000"/>
          <w:sz w:val="44"/>
          <w:szCs w:val="44"/>
        </w:rPr>
        <w:t>第</w:t>
      </w:r>
      <w:r>
        <w:rPr>
          <w:rStyle w:val="11"/>
          <w:rFonts w:hint="eastAsia" w:ascii="方正小标宋简体" w:hAnsi="方正小标宋简体" w:eastAsia="方正小标宋简体" w:cs="方正小标宋简体"/>
          <w:b w:val="0"/>
          <w:color w:val="000000"/>
          <w:sz w:val="44"/>
          <w:szCs w:val="44"/>
        </w:rPr>
        <w:t>四部分  附件</w:t>
      </w:r>
    </w:p>
    <w:p>
      <w:pPr>
        <w:pStyle w:val="5"/>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ascii="仿宋_GB2312" w:hAnsi="仿宋_GB2312" w:eastAsia="仿宋_GB2312" w:cs="仿宋_GB2312"/>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2020年部门预算项目支出绩效自评报告</w:t>
      </w:r>
    </w:p>
    <w:p>
      <w:pPr>
        <w:pStyle w:val="5"/>
        <w:keepNext w:val="0"/>
        <w:keepLines w:val="0"/>
        <w:pageBreakBefore w:val="0"/>
        <w:widowControl w:val="0"/>
        <w:tabs>
          <w:tab w:val="left" w:pos="3885"/>
        </w:tabs>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普法宣传经费项目</w:t>
      </w:r>
      <w:r>
        <w:rPr>
          <w:rFonts w:hint="eastAsia" w:ascii="仿宋_GB2312" w:hAnsi="仿宋_GB2312" w:eastAsia="仿宋_GB2312" w:cs="仿宋_GB2312"/>
          <w:color w:val="000000"/>
          <w:sz w:val="32"/>
          <w:szCs w:val="32"/>
        </w:rPr>
        <w:t>）</w:t>
      </w:r>
    </w:p>
    <w:p>
      <w:pPr>
        <w:pStyle w:val="5"/>
        <w:keepNext w:val="0"/>
        <w:keepLines w:val="0"/>
        <w:pageBreakBefore w:val="0"/>
        <w:widowControl w:val="0"/>
        <w:tabs>
          <w:tab w:val="left" w:pos="3885"/>
        </w:tabs>
        <w:kinsoku/>
        <w:wordWrap/>
        <w:overflowPunct/>
        <w:topLinePunct w:val="0"/>
        <w:autoSpaceDE/>
        <w:autoSpaceDN/>
        <w:bidi w:val="0"/>
        <w:adjustRightInd/>
        <w:snapToGrid w:val="0"/>
        <w:spacing w:line="560" w:lineRule="exact"/>
        <w:ind w:firstLine="643"/>
        <w:jc w:val="both"/>
        <w:textAlignment w:val="auto"/>
        <w:rPr>
          <w:rFonts w:ascii="仿宋_GB2312" w:hAnsi="仿宋_GB2312" w:eastAsia="仿宋_GB2312" w:cs="仿宋_GB2312"/>
          <w:b/>
          <w:color w:val="000000"/>
          <w:sz w:val="32"/>
          <w:szCs w:val="32"/>
        </w:rPr>
      </w:pPr>
    </w:p>
    <w:p>
      <w:pPr>
        <w:pStyle w:val="5"/>
        <w:keepNext w:val="0"/>
        <w:keepLines w:val="0"/>
        <w:pageBreakBefore w:val="0"/>
        <w:widowControl w:val="0"/>
        <w:numPr>
          <w:ilvl w:val="0"/>
          <w:numId w:val="0"/>
        </w:numPr>
        <w:tabs>
          <w:tab w:val="left" w:pos="0"/>
          <w:tab w:val="left" w:pos="3885"/>
        </w:tabs>
        <w:kinsoku/>
        <w:wordWrap/>
        <w:overflowPunct/>
        <w:topLinePunct w:val="0"/>
        <w:autoSpaceDE/>
        <w:autoSpaceDN/>
        <w:bidi w:val="0"/>
        <w:adjustRightInd/>
        <w:snapToGrid w:val="0"/>
        <w:spacing w:line="560" w:lineRule="exact"/>
        <w:ind w:firstLine="640" w:firstLineChars="200"/>
        <w:jc w:val="both"/>
        <w:textAlignment w:val="auto"/>
        <w:rPr>
          <w:rFonts w:ascii="黑体" w:hAnsi="黑体" w:eastAsia="黑体" w:cs="黑体"/>
          <w:color w:val="000000"/>
          <w:sz w:val="32"/>
          <w:szCs w:val="32"/>
          <w:lang w:eastAsia="zh-CN"/>
        </w:rPr>
      </w:pPr>
      <w:r>
        <w:rPr>
          <w:rFonts w:hint="eastAsia" w:ascii="黑体" w:hAnsi="黑体" w:eastAsia="黑体" w:cs="黑体"/>
          <w:color w:val="000000"/>
          <w:sz w:val="32"/>
          <w:szCs w:val="32"/>
          <w:lang w:eastAsia="zh-CN"/>
        </w:rPr>
        <w:t>一、</w:t>
      </w:r>
      <w:r>
        <w:rPr>
          <w:rFonts w:ascii="黑体" w:hAnsi="黑体" w:eastAsia="黑体" w:cs="黑体"/>
          <w:color w:val="000000"/>
          <w:sz w:val="32"/>
          <w:szCs w:val="32"/>
          <w:lang w:eastAsia="zh-CN"/>
        </w:rPr>
        <w:t>基本情况</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560" w:lineRule="exact"/>
        <w:ind w:firstLine="640" w:firstLineChars="200"/>
        <w:jc w:val="both"/>
        <w:textAlignment w:val="auto"/>
        <w:rPr>
          <w:sz w:val="32"/>
          <w:szCs w:val="32"/>
        </w:rPr>
      </w:pPr>
      <w:r>
        <w:rPr>
          <w:rFonts w:ascii="仿宋_GB2312" w:hAnsi="仿宋_GB2312" w:eastAsia="仿宋_GB2312" w:cs="仿宋_GB2312"/>
          <w:b w:val="0"/>
          <w:bCs w:val="0"/>
          <w:color w:val="000000"/>
          <w:sz w:val="32"/>
          <w:szCs w:val="32"/>
          <w:lang w:eastAsia="zh-CN"/>
        </w:rPr>
        <w:t>厅机关普法宣传经费</w:t>
      </w:r>
      <w:r>
        <w:rPr>
          <w:rFonts w:ascii="仿宋_GB2312" w:hAnsi="仿宋_GB2312" w:eastAsia="仿宋_GB2312" w:cs="仿宋_GB2312"/>
          <w:b w:val="0"/>
          <w:bCs w:val="0"/>
          <w:color w:val="000000"/>
          <w:sz w:val="32"/>
          <w:szCs w:val="32"/>
          <w:lang w:val="en-US" w:eastAsia="zh-CN"/>
        </w:rPr>
        <w:t>2020年度全年预算数400万元，</w:t>
      </w:r>
      <w:r>
        <w:rPr>
          <w:rFonts w:ascii="仿宋_GB2312" w:hAnsi="仿宋_GB2312" w:eastAsia="仿宋_GB2312" w:cs="仿宋_GB2312"/>
          <w:color w:val="000000"/>
          <w:sz w:val="32"/>
          <w:szCs w:val="32"/>
        </w:rPr>
        <w:t>执行数为</w:t>
      </w:r>
      <w:r>
        <w:rPr>
          <w:rFonts w:ascii="仿宋_GB2312" w:hAnsi="仿宋_GB2312" w:eastAsia="仿宋_GB2312" w:cs="仿宋_GB2312"/>
          <w:color w:val="000000"/>
          <w:sz w:val="32"/>
          <w:szCs w:val="32"/>
          <w:lang w:val="en-US" w:eastAsia="zh-CN"/>
        </w:rPr>
        <w:t>400</w:t>
      </w:r>
      <w:r>
        <w:rPr>
          <w:rFonts w:ascii="仿宋_GB2312" w:hAnsi="仿宋_GB2312" w:eastAsia="仿宋_GB2312" w:cs="仿宋_GB2312"/>
          <w:color w:val="000000"/>
          <w:sz w:val="32"/>
          <w:szCs w:val="32"/>
        </w:rPr>
        <w:t>万元，完成预算的</w:t>
      </w:r>
      <w:r>
        <w:rPr>
          <w:rFonts w:ascii="仿宋_GB2312" w:hAnsi="仿宋_GB2312" w:eastAsia="仿宋_GB2312" w:cs="仿宋_GB2312"/>
          <w:color w:val="000000"/>
          <w:sz w:val="32"/>
          <w:szCs w:val="32"/>
          <w:lang w:val="en-US" w:eastAsia="zh-CN"/>
        </w:rPr>
        <w:t>100</w:t>
      </w:r>
      <w:r>
        <w:rPr>
          <w:rFonts w:ascii="仿宋_GB2312" w:hAnsi="仿宋_GB2312" w:eastAsia="仿宋_GB2312" w:cs="仿宋_GB2312"/>
          <w:color w:val="000000"/>
          <w:sz w:val="32"/>
          <w:szCs w:val="32"/>
        </w:rPr>
        <w:t>%。</w:t>
      </w:r>
      <w:r>
        <w:rPr>
          <w:rFonts w:ascii="仿宋_GB2312" w:hAnsi="仿宋_GB2312" w:eastAsia="仿宋_GB2312" w:cs="仿宋_GB2312"/>
          <w:b w:val="0"/>
          <w:bCs w:val="0"/>
          <w:color w:val="000000"/>
          <w:sz w:val="32"/>
          <w:szCs w:val="32"/>
          <w:lang w:val="en-US" w:eastAsia="zh-CN"/>
        </w:rPr>
        <w:t>项目绩效总体目标包括宪法法律宣传教育等重点工作，利用全年重要时间节点，会同有关省直部门，组织开展法治宣传主题活动，推动落实“谁执法谁普法”责任制，为治蜀兴川再上新台阶营造浓厚法治氛围。具体绩效指标：宣传栏目《法治明镜》每期收视人数50万人以上；播出节目52期，重播节目104期；2020年12月31日以前完成12.4宪法宣传活动；法治教育覆盖面达到全省21个市州等。</w:t>
      </w:r>
    </w:p>
    <w:p>
      <w:pPr>
        <w:pStyle w:val="5"/>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ascii="黑体" w:hAnsi="黑体" w:eastAsia="黑体" w:cs="黑体"/>
          <w:color w:val="000000"/>
          <w:sz w:val="32"/>
          <w:szCs w:val="32"/>
          <w:lang w:eastAsia="zh-CN"/>
        </w:rPr>
      </w:pPr>
      <w:r>
        <w:rPr>
          <w:rFonts w:ascii="黑体" w:hAnsi="黑体" w:eastAsia="黑体" w:cs="黑体"/>
          <w:color w:val="000000"/>
          <w:sz w:val="32"/>
          <w:szCs w:val="32"/>
          <w:lang w:eastAsia="zh-CN"/>
        </w:rPr>
        <w:t>二、评价工作开展情况</w:t>
      </w:r>
    </w:p>
    <w:p>
      <w:pPr>
        <w:pStyle w:val="5"/>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ascii="仿宋_GB2312" w:hAnsi="仿宋_GB2312" w:eastAsia="仿宋_GB2312" w:cs="仿宋_GB2312"/>
          <w:color w:val="000000"/>
          <w:sz w:val="32"/>
          <w:szCs w:val="32"/>
          <w:lang w:eastAsia="zh-CN"/>
        </w:rPr>
      </w:pPr>
      <w:r>
        <w:rPr>
          <w:rFonts w:ascii="仿宋_GB2312" w:hAnsi="仿宋_GB2312" w:eastAsia="仿宋_GB2312" w:cs="仿宋_GB2312"/>
          <w:color w:val="000000"/>
          <w:sz w:val="32"/>
          <w:szCs w:val="32"/>
          <w:lang w:eastAsia="zh-CN"/>
        </w:rPr>
        <w:t>我厅组织专人开展项目绩效自评，通过走访项目实施部门、查验资料和报销凭证、对收集的相关数据资料进行整理、汇总等，最终形成绩效评价报告。</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640"/>
        <w:jc w:val="both"/>
        <w:textAlignment w:val="auto"/>
        <w:rPr>
          <w:sz w:val="32"/>
          <w:szCs w:val="32"/>
        </w:rPr>
      </w:pPr>
      <w:r>
        <w:rPr>
          <w:rFonts w:ascii="黑体" w:hAnsi="黑体" w:eastAsia="黑体" w:cs="黑体"/>
          <w:color w:val="000000"/>
          <w:sz w:val="32"/>
          <w:szCs w:val="32"/>
          <w:lang w:eastAsia="zh-CN"/>
        </w:rPr>
        <w:t>三、综合</w:t>
      </w:r>
      <w:r>
        <w:rPr>
          <w:rFonts w:ascii="黑体" w:hAnsi="黑体" w:eastAsia="黑体" w:cs="黑体"/>
          <w:color w:val="000000"/>
          <w:sz w:val="32"/>
          <w:szCs w:val="32"/>
        </w:rPr>
        <w:t>评价结论</w:t>
      </w:r>
      <w:r>
        <w:rPr>
          <w:rFonts w:ascii="黑体" w:hAnsi="黑体" w:eastAsia="黑体" w:cs="黑体"/>
          <w:color w:val="000000"/>
          <w:sz w:val="32"/>
          <w:szCs w:val="32"/>
          <w:lang w:eastAsia="zh-CN"/>
        </w:rPr>
        <w:t>（附评分表）</w:t>
      </w:r>
    </w:p>
    <w:p>
      <w:pPr>
        <w:pStyle w:val="5"/>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ascii="仿宋_GB2312" w:hAnsi="仿宋_GB2312" w:eastAsia="仿宋_GB2312" w:cs="仿宋_GB2312"/>
          <w:color w:val="000000"/>
          <w:sz w:val="32"/>
          <w:szCs w:val="32"/>
          <w:lang w:eastAsia="zh-CN"/>
        </w:rPr>
      </w:pPr>
      <w:r>
        <w:rPr>
          <w:rFonts w:ascii="仿宋_GB2312" w:hAnsi="仿宋_GB2312" w:eastAsia="仿宋_GB2312" w:cs="仿宋_GB2312"/>
          <w:color w:val="000000"/>
          <w:sz w:val="32"/>
          <w:szCs w:val="32"/>
          <w:lang w:eastAsia="zh-CN"/>
        </w:rPr>
        <w:t>普法宣传项目政策依据充分，目标较明确，组织实施较为有序，通过项目实施，保障全省普法工作、开展专项普法活动，包括法律七进和藏区彝区法制宣传活动等，对构建社会和谐、促进我省法治宣传教育发展起到了积极作用。</w:t>
      </w:r>
    </w:p>
    <w:tbl>
      <w:tblPr>
        <w:tblStyle w:val="7"/>
        <w:tblW w:w="10737" w:type="dxa"/>
        <w:jc w:val="center"/>
        <w:tblInd w:w="0" w:type="dxa"/>
        <w:tblLayout w:type="fixed"/>
        <w:tblCellMar>
          <w:top w:w="15" w:type="dxa"/>
          <w:left w:w="15" w:type="dxa"/>
          <w:bottom w:w="0" w:type="dxa"/>
          <w:right w:w="15" w:type="dxa"/>
        </w:tblCellMar>
      </w:tblPr>
      <w:tblGrid>
        <w:gridCol w:w="899"/>
        <w:gridCol w:w="899"/>
        <w:gridCol w:w="1576"/>
        <w:gridCol w:w="1237"/>
        <w:gridCol w:w="703"/>
        <w:gridCol w:w="703"/>
        <w:gridCol w:w="703"/>
        <w:gridCol w:w="703"/>
        <w:gridCol w:w="703"/>
        <w:gridCol w:w="1721"/>
        <w:gridCol w:w="890"/>
      </w:tblGrid>
      <w:tr>
        <w:tblPrEx>
          <w:tblLayout w:type="fixed"/>
          <w:tblCellMar>
            <w:top w:w="15" w:type="dxa"/>
            <w:left w:w="15" w:type="dxa"/>
            <w:bottom w:w="0" w:type="dxa"/>
            <w:right w:w="15" w:type="dxa"/>
          </w:tblCellMar>
        </w:tblPrEx>
        <w:trPr>
          <w:trHeight w:val="352" w:hRule="atLeast"/>
          <w:jc w:val="center"/>
        </w:trPr>
        <w:tc>
          <w:tcPr>
            <w:tcW w:w="10737" w:type="dxa"/>
            <w:gridSpan w:val="11"/>
            <w:vAlign w:val="center"/>
          </w:tcPr>
          <w:p>
            <w:pPr>
              <w:pStyle w:val="5"/>
              <w:keepNext w:val="0"/>
              <w:keepLines w:val="0"/>
              <w:pageBreakBefore w:val="0"/>
              <w:widowControl/>
              <w:kinsoku/>
              <w:wordWrap/>
              <w:overflowPunct/>
              <w:topLinePunct w:val="0"/>
              <w:autoSpaceDE/>
              <w:autoSpaceDN/>
              <w:bidi w:val="0"/>
              <w:adjustRightInd/>
              <w:snapToGrid w:val="0"/>
              <w:spacing w:line="100" w:lineRule="exact"/>
              <w:jc w:val="both"/>
              <w:textAlignment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600" w:hRule="atLeast"/>
          <w:jc w:val="center"/>
        </w:trPr>
        <w:tc>
          <w:tcPr>
            <w:tcW w:w="3374" w:type="dxa"/>
            <w:gridSpan w:val="3"/>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评价指标</w:t>
            </w:r>
          </w:p>
        </w:tc>
        <w:tc>
          <w:tcPr>
            <w:tcW w:w="4752" w:type="dxa"/>
            <w:gridSpan w:val="6"/>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评分方法</w:t>
            </w:r>
          </w:p>
        </w:tc>
        <w:tc>
          <w:tcPr>
            <w:tcW w:w="1721"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项目实际情况</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得分</w:t>
            </w:r>
          </w:p>
        </w:tc>
      </w:tr>
      <w:tr>
        <w:tblPrEx>
          <w:tblLayout w:type="fixed"/>
          <w:tblCellMar>
            <w:top w:w="15" w:type="dxa"/>
            <w:left w:w="15" w:type="dxa"/>
            <w:bottom w:w="0" w:type="dxa"/>
            <w:right w:w="15" w:type="dxa"/>
          </w:tblCellMar>
        </w:tblPrEx>
        <w:trPr>
          <w:trHeight w:val="500" w:hRule="atLeast"/>
          <w:jc w:val="center"/>
        </w:trPr>
        <w:tc>
          <w:tcPr>
            <w:tcW w:w="899"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一级指标</w:t>
            </w:r>
          </w:p>
        </w:tc>
        <w:tc>
          <w:tcPr>
            <w:tcW w:w="899"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二级指标</w:t>
            </w:r>
          </w:p>
        </w:tc>
        <w:tc>
          <w:tcPr>
            <w:tcW w:w="1576"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三级指标</w:t>
            </w:r>
          </w:p>
        </w:tc>
        <w:tc>
          <w:tcPr>
            <w:tcW w:w="1237"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方法归类</w:t>
            </w:r>
          </w:p>
        </w:tc>
        <w:tc>
          <w:tcPr>
            <w:tcW w:w="351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计算公式</w:t>
            </w:r>
          </w:p>
        </w:tc>
        <w:tc>
          <w:tcPr>
            <w:tcW w:w="1721"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465"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899"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1576"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123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0</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3</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6</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8</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10</w:t>
            </w:r>
          </w:p>
        </w:tc>
        <w:tc>
          <w:tcPr>
            <w:tcW w:w="1721"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1046" w:hRule="atLeast"/>
          <w:jc w:val="center"/>
        </w:trPr>
        <w:tc>
          <w:tcPr>
            <w:tcW w:w="899" w:type="dxa"/>
            <w:vMerge w:val="restart"/>
            <w:tcBorders>
              <w:top w:val="single" w:color="000000" w:sz="4" w:space="0"/>
              <w:left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项目决策</w:t>
            </w:r>
          </w:p>
        </w:tc>
        <w:tc>
          <w:tcPr>
            <w:tcW w:w="899"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程序严密</w:t>
            </w:r>
          </w:p>
        </w:tc>
        <w:tc>
          <w:tcPr>
            <w:tcW w:w="157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项目设立是否属于部门职责相符，是否属于公共财政支持范围。</w:t>
            </w: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不完善</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较完善</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完善</w:t>
            </w:r>
          </w:p>
        </w:tc>
        <w:tc>
          <w:tcPr>
            <w:tcW w:w="172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该项目属于本部门职责范围内</w:t>
            </w:r>
          </w:p>
        </w:tc>
        <w:tc>
          <w:tcPr>
            <w:tcW w:w="8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816" w:hRule="atLeast"/>
          <w:jc w:val="center"/>
        </w:trPr>
        <w:tc>
          <w:tcPr>
            <w:tcW w:w="899"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9"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规划合理</w:t>
            </w:r>
          </w:p>
        </w:tc>
        <w:tc>
          <w:tcPr>
            <w:tcW w:w="157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项目规划是否与项目年度目标一致</w:t>
            </w: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不合理</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较合理</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合理</w:t>
            </w:r>
          </w:p>
        </w:tc>
        <w:tc>
          <w:tcPr>
            <w:tcW w:w="172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项目规划与年度目标一致</w:t>
            </w:r>
          </w:p>
        </w:tc>
        <w:tc>
          <w:tcPr>
            <w:tcW w:w="8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683" w:hRule="atLeast"/>
          <w:jc w:val="center"/>
        </w:trPr>
        <w:tc>
          <w:tcPr>
            <w:tcW w:w="899"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9"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制度完备</w:t>
            </w:r>
          </w:p>
        </w:tc>
        <w:tc>
          <w:tcPr>
            <w:tcW w:w="157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项目申报程序、实施细则等管理制度是否完善，是否存在脱离实际、缺陷、漏洞导致执行偏离预期</w:t>
            </w: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缺（错）项扣分法</w:t>
            </w:r>
          </w:p>
        </w:tc>
        <w:tc>
          <w:tcPr>
            <w:tcW w:w="351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发现一处扣0.5分，直至扣完</w:t>
            </w:r>
          </w:p>
        </w:tc>
        <w:tc>
          <w:tcPr>
            <w:tcW w:w="172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项目申报程序严格执行厅机关项目管理办法</w:t>
            </w:r>
          </w:p>
        </w:tc>
        <w:tc>
          <w:tcPr>
            <w:tcW w:w="8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15</w:t>
            </w:r>
          </w:p>
        </w:tc>
      </w:tr>
      <w:tr>
        <w:tblPrEx>
          <w:tblLayout w:type="fixed"/>
          <w:tblCellMar>
            <w:top w:w="15" w:type="dxa"/>
            <w:left w:w="15" w:type="dxa"/>
            <w:bottom w:w="0" w:type="dxa"/>
            <w:right w:w="15" w:type="dxa"/>
          </w:tblCellMar>
        </w:tblPrEx>
        <w:trPr>
          <w:trHeight w:val="1020" w:hRule="atLeast"/>
          <w:jc w:val="center"/>
        </w:trPr>
        <w:tc>
          <w:tcPr>
            <w:tcW w:w="899"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9"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使用合规</w:t>
            </w:r>
          </w:p>
        </w:tc>
        <w:tc>
          <w:tcPr>
            <w:tcW w:w="157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项目资金使用是否符合相关的财务管理制度规定</w:t>
            </w: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缺（错）项扣分法</w:t>
            </w:r>
          </w:p>
        </w:tc>
        <w:tc>
          <w:tcPr>
            <w:tcW w:w="351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发现一处扣0.5分，直至扣完</w:t>
            </w:r>
          </w:p>
        </w:tc>
        <w:tc>
          <w:tcPr>
            <w:tcW w:w="172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资金使用严格执行厅机关经费支出管理办法</w:t>
            </w:r>
          </w:p>
        </w:tc>
        <w:tc>
          <w:tcPr>
            <w:tcW w:w="8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15</w:t>
            </w:r>
          </w:p>
        </w:tc>
      </w:tr>
      <w:tr>
        <w:tblPrEx>
          <w:tblLayout w:type="fixed"/>
          <w:tblCellMar>
            <w:top w:w="15" w:type="dxa"/>
            <w:left w:w="15" w:type="dxa"/>
            <w:bottom w:w="0" w:type="dxa"/>
            <w:right w:w="15" w:type="dxa"/>
          </w:tblCellMar>
        </w:tblPrEx>
        <w:trPr>
          <w:trHeight w:val="1020" w:hRule="atLeast"/>
          <w:jc w:val="center"/>
        </w:trPr>
        <w:tc>
          <w:tcPr>
            <w:tcW w:w="899"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9"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目标完成</w:t>
            </w:r>
          </w:p>
        </w:tc>
        <w:tc>
          <w:tcPr>
            <w:tcW w:w="157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项目实施后是否完成预期目标</w:t>
            </w: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51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72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项目执行完成率达到100%，绩效目标全部完成</w:t>
            </w:r>
          </w:p>
        </w:tc>
        <w:tc>
          <w:tcPr>
            <w:tcW w:w="8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771" w:hRule="atLeast"/>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社会效益指标</w:t>
            </w:r>
          </w:p>
        </w:tc>
        <w:tc>
          <w:tcPr>
            <w:tcW w:w="157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普法宣传项目对社会的促进作用</w:t>
            </w: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不大</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较大</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很大</w:t>
            </w:r>
          </w:p>
        </w:tc>
        <w:tc>
          <w:tcPr>
            <w:tcW w:w="172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普法宣传项目对社会的促进作用达到预期</w:t>
            </w:r>
          </w:p>
        </w:tc>
        <w:tc>
          <w:tcPr>
            <w:tcW w:w="8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20" w:hRule="atLeast"/>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生态效益指标</w:t>
            </w:r>
          </w:p>
        </w:tc>
        <w:tc>
          <w:tcPr>
            <w:tcW w:w="157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普法宣传项目宣传覆盖面</w:t>
            </w: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不广</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较广</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全覆盖</w:t>
            </w:r>
          </w:p>
        </w:tc>
        <w:tc>
          <w:tcPr>
            <w:tcW w:w="172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法治宣传覆盖全省范围内，普法宣传栏目覆盖21个市州</w:t>
            </w:r>
          </w:p>
        </w:tc>
        <w:tc>
          <w:tcPr>
            <w:tcW w:w="8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933" w:hRule="atLeast"/>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质量指标</w:t>
            </w:r>
          </w:p>
        </w:tc>
        <w:tc>
          <w:tcPr>
            <w:tcW w:w="157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普法宣传项目普法宣传工作完成时间</w:t>
            </w: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51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指标得分=1-(实际完成时间-计划完成时间/计划完成时间)×100%*指标分值</w:t>
            </w:r>
          </w:p>
        </w:tc>
        <w:tc>
          <w:tcPr>
            <w:tcW w:w="172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年度普法宣传工作在2020年度12月31日前按计划完成</w:t>
            </w:r>
          </w:p>
        </w:tc>
        <w:tc>
          <w:tcPr>
            <w:tcW w:w="8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862" w:hRule="atLeast"/>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满意度</w:t>
            </w:r>
          </w:p>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满意度</w:t>
            </w:r>
          </w:p>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w:t>
            </w:r>
          </w:p>
        </w:tc>
        <w:tc>
          <w:tcPr>
            <w:tcW w:w="157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普法宣传项目服务对象满意度</w:t>
            </w:r>
          </w:p>
        </w:tc>
        <w:tc>
          <w:tcPr>
            <w:tcW w:w="123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不满意</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较满意</w:t>
            </w: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很满意</w:t>
            </w:r>
          </w:p>
        </w:tc>
        <w:tc>
          <w:tcPr>
            <w:tcW w:w="172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普法宣传项目服务对象和受众群体满意度90%以上</w:t>
            </w:r>
          </w:p>
        </w:tc>
        <w:tc>
          <w:tcPr>
            <w:tcW w:w="89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bl>
    <w:p>
      <w:pPr>
        <w:pStyle w:val="5"/>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ascii="黑体" w:hAnsi="黑体" w:eastAsia="黑体" w:cs="黑体"/>
          <w:b w:val="0"/>
          <w:bCs/>
          <w:i w:val="0"/>
          <w:iCs w:val="0"/>
          <w:sz w:val="32"/>
          <w:szCs w:val="32"/>
          <w:u w:val="none"/>
          <w:lang w:eastAsia="zh-CN"/>
        </w:rPr>
      </w:pPr>
      <w:r>
        <w:rPr>
          <w:rFonts w:ascii="黑体" w:hAnsi="黑体" w:eastAsia="黑体" w:cs="黑体"/>
          <w:b w:val="0"/>
          <w:bCs/>
          <w:i w:val="0"/>
          <w:iCs w:val="0"/>
          <w:sz w:val="32"/>
          <w:szCs w:val="32"/>
          <w:u w:val="none"/>
          <w:lang w:eastAsia="zh-CN"/>
        </w:rPr>
        <w:t>四、绩效评价分析</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sz w:val="32"/>
          <w:szCs w:val="32"/>
        </w:rPr>
      </w:pPr>
      <w:r>
        <w:rPr>
          <w:rFonts w:ascii="楷体_GB2312" w:hAnsi="楷体_GB2312" w:eastAsia="楷体_GB2312" w:cs="楷体_GB2312"/>
          <w:i w:val="0"/>
          <w:iCs w:val="0"/>
          <w:sz w:val="32"/>
          <w:szCs w:val="32"/>
          <w:u w:val="none"/>
          <w:lang w:eastAsia="zh-CN"/>
        </w:rPr>
        <w:t>（一）项目决策情况。</w:t>
      </w:r>
      <w:r>
        <w:rPr>
          <w:rFonts w:ascii="仿宋_GB2312" w:hAnsi="仿宋_GB2312" w:eastAsia="仿宋_GB2312" w:cs="仿宋_GB2312"/>
          <w:i w:val="0"/>
          <w:iCs w:val="0"/>
          <w:sz w:val="32"/>
          <w:szCs w:val="32"/>
          <w:u w:val="none"/>
          <w:lang w:eastAsia="zh-CN"/>
        </w:rPr>
        <w:t>普法宣传经费项目设立根据厅机关</w:t>
      </w:r>
      <w:r>
        <w:rPr>
          <w:rFonts w:ascii="仿宋_GB2312" w:hAnsi="仿宋_GB2312" w:eastAsia="仿宋_GB2312" w:cs="仿宋_GB2312"/>
          <w:i w:val="0"/>
          <w:iCs w:val="0"/>
          <w:sz w:val="32"/>
          <w:szCs w:val="32"/>
          <w:u w:val="none"/>
          <w:lang w:val="en-US" w:eastAsia="zh-CN"/>
        </w:rPr>
        <w:t xml:space="preserve">2020年初重点工作安排，按程序报批进入2020-2022三年滚动项目库，并纳入2020年度部门预算。 </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楷体_GB2312" w:hAnsi="楷体_GB2312" w:eastAsia="楷体_GB2312" w:cs="楷体_GB2312"/>
          <w:i w:val="0"/>
          <w:iCs w:val="0"/>
          <w:sz w:val="32"/>
          <w:szCs w:val="32"/>
          <w:u w:val="none"/>
          <w:lang w:eastAsia="zh-CN"/>
        </w:rPr>
        <w:t>（二）项目管理情况：</w:t>
      </w:r>
      <w:r>
        <w:rPr>
          <w:rFonts w:ascii="仿宋_GB2312" w:hAnsi="仿宋_GB2312" w:eastAsia="仿宋_GB2312" w:cs="仿宋_GB2312"/>
          <w:i w:val="0"/>
          <w:iCs w:val="0"/>
          <w:sz w:val="32"/>
          <w:szCs w:val="32"/>
          <w:u w:val="none"/>
          <w:lang w:eastAsia="zh-CN"/>
        </w:rPr>
        <w:t>普法宣传经费项目严格按照《四川省司法厅机关项目管理办法》规定</w:t>
      </w:r>
      <w:r>
        <w:rPr>
          <w:rFonts w:ascii="仿宋_GB2312" w:hAnsi="仿宋_GB2312" w:eastAsia="仿宋_GB2312" w:cs="仿宋_GB2312"/>
          <w:i w:val="0"/>
          <w:iCs w:val="0"/>
          <w:sz w:val="32"/>
          <w:szCs w:val="32"/>
          <w:u w:val="none"/>
          <w:lang w:val="en-US" w:eastAsia="zh-CN"/>
        </w:rPr>
        <w:t>由业务部门归口管理。</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楷体_GB2312" w:hAnsi="楷体_GB2312" w:eastAsia="楷体_GB2312" w:cs="楷体_GB2312"/>
          <w:i w:val="0"/>
          <w:iCs w:val="0"/>
          <w:sz w:val="32"/>
          <w:szCs w:val="32"/>
          <w:u w:val="none"/>
          <w:lang w:eastAsia="zh-CN"/>
        </w:rPr>
        <w:t>（三）项目产出情况：</w:t>
      </w:r>
      <w:r>
        <w:rPr>
          <w:rFonts w:ascii="仿宋_GB2312" w:hAnsi="仿宋_GB2312" w:eastAsia="仿宋_GB2312" w:cs="仿宋_GB2312"/>
          <w:i w:val="0"/>
          <w:iCs w:val="0"/>
          <w:sz w:val="32"/>
          <w:szCs w:val="32"/>
          <w:u w:val="none"/>
          <w:lang w:val="en-US" w:eastAsia="zh-CN"/>
        </w:rPr>
        <w:t>2020年度普法宣传经费项目包括</w:t>
      </w:r>
      <w:r>
        <w:rPr>
          <w:rFonts w:ascii="仿宋_GB2312" w:hAnsi="仿宋_GB2312" w:eastAsia="仿宋_GB2312" w:cs="仿宋_GB2312"/>
          <w:i w:val="0"/>
          <w:iCs w:val="0"/>
          <w:sz w:val="32"/>
          <w:szCs w:val="32"/>
          <w:u w:val="none"/>
          <w:lang w:eastAsia="zh-CN"/>
        </w:rPr>
        <w:t>举办“民法典让生活更美好”法治微视频微电影大赛，搭建2020“法治四川行”专栏，与媒体合作推进四川普法宣传，为藏区购买宪法汉藏单行本，推出依法治省公益广告，开展全省法治文化示范阵地评选活动等。</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楷体_GB2312" w:hAnsi="楷体_GB2312" w:eastAsia="楷体_GB2312" w:cs="楷体_GB2312"/>
          <w:i w:val="0"/>
          <w:iCs w:val="0"/>
          <w:sz w:val="32"/>
          <w:szCs w:val="32"/>
          <w:u w:val="none"/>
          <w:lang w:eastAsia="zh-CN"/>
        </w:rPr>
        <w:t>（四）项目效益情况。</w:t>
      </w:r>
      <w:r>
        <w:rPr>
          <w:rFonts w:ascii="仿宋_GB2312" w:hAnsi="仿宋_GB2312" w:eastAsia="仿宋_GB2312" w:cs="仿宋_GB2312"/>
          <w:i w:val="0"/>
          <w:iCs w:val="0"/>
          <w:sz w:val="32"/>
          <w:szCs w:val="32"/>
          <w:u w:val="none"/>
          <w:lang w:val="en-US" w:eastAsia="zh-CN"/>
        </w:rPr>
        <w:t>2020年度普法宣传经费</w:t>
      </w:r>
      <w:r>
        <w:rPr>
          <w:rFonts w:ascii="仿宋_GB2312" w:hAnsi="仿宋_GB2312" w:eastAsia="仿宋_GB2312" w:cs="仿宋_GB2312"/>
          <w:i w:val="0"/>
          <w:iCs w:val="0"/>
          <w:sz w:val="32"/>
          <w:szCs w:val="32"/>
          <w:u w:val="none"/>
          <w:lang w:eastAsia="zh-CN"/>
        </w:rPr>
        <w:t>项目按计划实施完成，并实现年初绩效目标，普法宣传活动覆盖全省，尤其是藏区，</w:t>
      </w:r>
      <w:r>
        <w:rPr>
          <w:rFonts w:ascii="仿宋_GB2312" w:hAnsi="仿宋_GB2312" w:eastAsia="仿宋_GB2312" w:cs="仿宋_GB2312"/>
          <w:i w:val="0"/>
          <w:iCs w:val="0"/>
          <w:sz w:val="32"/>
          <w:szCs w:val="32"/>
          <w:u w:val="none"/>
          <w:lang w:val="en-US" w:eastAsia="zh-CN"/>
        </w:rPr>
        <w:t>12月31日以前完成年度普法宣传工作，提升基层</w:t>
      </w:r>
      <w:r>
        <w:rPr>
          <w:rFonts w:ascii="仿宋_GB2312" w:hAnsi="仿宋_GB2312" w:eastAsia="仿宋_GB2312" w:cs="仿宋_GB2312"/>
          <w:i w:val="0"/>
          <w:iCs w:val="0"/>
          <w:spacing w:val="-6"/>
          <w:sz w:val="32"/>
          <w:szCs w:val="32"/>
          <w:u w:val="none"/>
          <w:lang w:val="en-US" w:eastAsia="zh-CN"/>
        </w:rPr>
        <w:t>普法宣传能力和水平，普法宣传受众人群满意度达到90%以上。</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rFonts w:ascii="黑体" w:hAnsi="黑体" w:eastAsia="黑体" w:cs="黑体"/>
          <w:i w:val="0"/>
          <w:iCs w:val="0"/>
          <w:sz w:val="32"/>
          <w:szCs w:val="32"/>
          <w:u w:val="none"/>
        </w:rPr>
      </w:pPr>
      <w:r>
        <w:rPr>
          <w:rFonts w:ascii="黑体" w:hAnsi="黑体" w:eastAsia="黑体" w:cs="黑体"/>
          <w:i w:val="0"/>
          <w:iCs w:val="0"/>
          <w:sz w:val="32"/>
          <w:szCs w:val="32"/>
          <w:u w:val="none"/>
        </w:rPr>
        <w:t>五、存在主要问题</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仿宋_GB2312" w:hAnsi="仿宋_GB2312" w:eastAsia="仿宋_GB2312" w:cs="仿宋_GB2312"/>
          <w:i w:val="0"/>
          <w:iCs w:val="0"/>
          <w:sz w:val="32"/>
          <w:szCs w:val="32"/>
          <w:u w:val="none"/>
        </w:rPr>
        <w:t>发现的主要问题：</w:t>
      </w:r>
      <w:r>
        <w:rPr>
          <w:rFonts w:ascii="仿宋_GB2312" w:hAnsi="仿宋_GB2312" w:eastAsia="仿宋_GB2312" w:cs="仿宋_GB2312"/>
          <w:i w:val="0"/>
          <w:iCs w:val="0"/>
          <w:sz w:val="32"/>
          <w:szCs w:val="32"/>
          <w:u w:val="none"/>
          <w:lang w:eastAsia="zh-CN"/>
        </w:rPr>
        <w:t>普法宣传经费项目绩效目标数量指标还不够具体量化；项目执行时间较晚，年底支付占比较大。</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rFonts w:ascii="黑体" w:hAnsi="黑体" w:eastAsia="黑体" w:cs="黑体"/>
          <w:i w:val="0"/>
          <w:iCs w:val="0"/>
          <w:sz w:val="32"/>
          <w:szCs w:val="32"/>
          <w:u w:val="none"/>
        </w:rPr>
      </w:pPr>
      <w:r>
        <w:rPr>
          <w:rFonts w:ascii="黑体" w:hAnsi="黑体" w:eastAsia="黑体" w:cs="黑体"/>
          <w:i w:val="0"/>
          <w:iCs w:val="0"/>
          <w:sz w:val="32"/>
          <w:szCs w:val="32"/>
          <w:u w:val="none"/>
        </w:rPr>
        <w:t>六、相关措施建议</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firstLine="641"/>
        <w:jc w:val="both"/>
        <w:textAlignment w:val="auto"/>
        <w:rPr>
          <w:rFonts w:ascii="仿宋_GB2312" w:hAnsi="仿宋_GB2312" w:eastAsia="仿宋_GB2312" w:cs="仿宋_GB2312"/>
          <w:i w:val="0"/>
          <w:iCs w:val="0"/>
          <w:sz w:val="32"/>
          <w:szCs w:val="32"/>
          <w:u w:val="none"/>
          <w:lang w:val="en-US" w:eastAsia="zh-CN"/>
        </w:rPr>
      </w:pPr>
      <w:r>
        <w:rPr>
          <w:rFonts w:ascii="仿宋_GB2312" w:hAnsi="仿宋_GB2312" w:eastAsia="仿宋_GB2312" w:cs="仿宋_GB2312"/>
          <w:i w:val="0"/>
          <w:iCs w:val="0"/>
          <w:sz w:val="32"/>
          <w:szCs w:val="32"/>
          <w:u w:val="none"/>
          <w:lang w:val="en-US" w:eastAsia="zh-CN"/>
        </w:rPr>
        <w:t>建议下一年度继续安排将该项目纳入部门预算，预算编制过程中项目绩效目标更加细化和全面。切实加强项目立项审查和监督力度，督促具体实施单位加快实施进度，项目单位按计划实现绩效目标。</w:t>
      </w: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57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2020年部门预算项目支出绩效自评报告</w:t>
      </w:r>
    </w:p>
    <w:p>
      <w:pPr>
        <w:pStyle w:val="5"/>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sz w:val="32"/>
          <w:szCs w:val="32"/>
          <w:u w:val="none"/>
        </w:rPr>
        <w:t>（</w:t>
      </w:r>
      <w:r>
        <w:rPr>
          <w:rFonts w:hint="eastAsia" w:ascii="仿宋_GB2312" w:hAnsi="仿宋_GB2312" w:eastAsia="仿宋_GB2312" w:cs="仿宋_GB2312"/>
          <w:i w:val="0"/>
          <w:iCs w:val="0"/>
          <w:sz w:val="32"/>
          <w:szCs w:val="32"/>
          <w:u w:val="none"/>
          <w:lang w:eastAsia="zh-CN"/>
        </w:rPr>
        <w:t>法制建设项目</w:t>
      </w:r>
      <w:r>
        <w:rPr>
          <w:rFonts w:hint="eastAsia" w:ascii="仿宋_GB2312" w:hAnsi="仿宋_GB2312" w:eastAsia="仿宋_GB2312" w:cs="仿宋_GB2312"/>
          <w:i w:val="0"/>
          <w:iCs w:val="0"/>
          <w:sz w:val="32"/>
          <w:szCs w:val="32"/>
          <w:u w:val="none"/>
        </w:rPr>
        <w:t>）</w:t>
      </w:r>
    </w:p>
    <w:p>
      <w:pPr>
        <w:pStyle w:val="5"/>
        <w:keepNext w:val="0"/>
        <w:keepLines w:val="0"/>
        <w:pageBreakBefore w:val="0"/>
        <w:widowControl w:val="0"/>
        <w:tabs>
          <w:tab w:val="left" w:pos="3885"/>
        </w:tabs>
        <w:kinsoku/>
        <w:wordWrap/>
        <w:overflowPunct/>
        <w:topLinePunct w:val="0"/>
        <w:autoSpaceDE/>
        <w:autoSpaceDN/>
        <w:bidi w:val="0"/>
        <w:adjustRightInd/>
        <w:snapToGrid w:val="0"/>
        <w:spacing w:line="600" w:lineRule="exact"/>
        <w:ind w:firstLine="643"/>
        <w:jc w:val="both"/>
        <w:textAlignment w:val="auto"/>
        <w:rPr>
          <w:rFonts w:ascii="仿宋_GB2312" w:hAnsi="仿宋_GB2312" w:eastAsia="仿宋_GB2312" w:cs="仿宋_GB2312"/>
          <w:b/>
          <w:i w:val="0"/>
          <w:iCs w:val="0"/>
          <w:sz w:val="32"/>
          <w:szCs w:val="32"/>
          <w:u w:val="none"/>
        </w:rPr>
      </w:pP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left="0" w:firstLine="640"/>
        <w:jc w:val="both"/>
        <w:textAlignment w:val="auto"/>
        <w:rPr>
          <w:rFonts w:ascii="黑体" w:hAnsi="黑体" w:eastAsia="黑体" w:cs="黑体"/>
          <w:i w:val="0"/>
          <w:iCs w:val="0"/>
          <w:sz w:val="32"/>
          <w:szCs w:val="32"/>
          <w:u w:val="none"/>
          <w:lang w:eastAsia="zh-CN"/>
        </w:rPr>
      </w:pPr>
      <w:r>
        <w:rPr>
          <w:rFonts w:ascii="黑体" w:hAnsi="黑体" w:eastAsia="黑体" w:cs="黑体"/>
          <w:i w:val="0"/>
          <w:iCs w:val="0"/>
          <w:sz w:val="32"/>
          <w:szCs w:val="32"/>
          <w:u w:val="none"/>
          <w:lang w:eastAsia="zh-CN"/>
        </w:rPr>
        <w:t>一、基本情况</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left="0" w:firstLine="640"/>
        <w:jc w:val="both"/>
        <w:textAlignment w:val="auto"/>
        <w:rPr>
          <w:sz w:val="32"/>
          <w:szCs w:val="32"/>
        </w:rPr>
      </w:pPr>
      <w:r>
        <w:rPr>
          <w:rFonts w:ascii="仿宋_GB2312" w:hAnsi="仿宋_GB2312" w:eastAsia="仿宋_GB2312" w:cs="仿宋_GB2312"/>
          <w:b w:val="0"/>
          <w:bCs w:val="0"/>
          <w:i w:val="0"/>
          <w:iCs w:val="0"/>
          <w:sz w:val="32"/>
          <w:szCs w:val="32"/>
          <w:u w:val="none"/>
          <w:lang w:eastAsia="zh-CN"/>
        </w:rPr>
        <w:t>司法厅法制建设项目</w:t>
      </w:r>
      <w:r>
        <w:rPr>
          <w:rFonts w:ascii="仿宋_GB2312" w:hAnsi="仿宋_GB2312" w:eastAsia="仿宋_GB2312" w:cs="仿宋_GB2312"/>
          <w:b w:val="0"/>
          <w:bCs w:val="0"/>
          <w:i w:val="0"/>
          <w:iCs w:val="0"/>
          <w:sz w:val="32"/>
          <w:szCs w:val="32"/>
          <w:u w:val="none"/>
          <w:lang w:val="en-US" w:eastAsia="zh-CN"/>
        </w:rPr>
        <w:t>2020年度全年预算数440万元，</w:t>
      </w:r>
      <w:r>
        <w:rPr>
          <w:rFonts w:ascii="仿宋_GB2312" w:hAnsi="仿宋_GB2312" w:eastAsia="仿宋_GB2312" w:cs="仿宋_GB2312"/>
          <w:i w:val="0"/>
          <w:iCs w:val="0"/>
          <w:sz w:val="32"/>
          <w:szCs w:val="32"/>
          <w:u w:val="none"/>
        </w:rPr>
        <w:t>执行数为</w:t>
      </w:r>
      <w:r>
        <w:rPr>
          <w:rFonts w:ascii="仿宋_GB2312" w:hAnsi="仿宋_GB2312" w:eastAsia="仿宋_GB2312" w:cs="仿宋_GB2312"/>
          <w:i w:val="0"/>
          <w:iCs w:val="0"/>
          <w:sz w:val="32"/>
          <w:szCs w:val="32"/>
          <w:u w:val="none"/>
          <w:lang w:val="en-US" w:eastAsia="zh-CN"/>
        </w:rPr>
        <w:t>439</w:t>
      </w:r>
      <w:r>
        <w:rPr>
          <w:rFonts w:ascii="仿宋_GB2312" w:hAnsi="仿宋_GB2312" w:eastAsia="仿宋_GB2312" w:cs="仿宋_GB2312"/>
          <w:i w:val="0"/>
          <w:iCs w:val="0"/>
          <w:sz w:val="32"/>
          <w:szCs w:val="32"/>
          <w:u w:val="none"/>
        </w:rPr>
        <w:t>万元，完成预算的</w:t>
      </w:r>
      <w:r>
        <w:rPr>
          <w:rFonts w:ascii="仿宋_GB2312" w:hAnsi="仿宋_GB2312" w:eastAsia="仿宋_GB2312" w:cs="仿宋_GB2312"/>
          <w:i w:val="0"/>
          <w:iCs w:val="0"/>
          <w:sz w:val="32"/>
          <w:szCs w:val="32"/>
          <w:u w:val="none"/>
          <w:lang w:val="en-US" w:eastAsia="zh-CN"/>
        </w:rPr>
        <w:t>99.99</w:t>
      </w:r>
      <w:r>
        <w:rPr>
          <w:rFonts w:ascii="仿宋_GB2312" w:hAnsi="仿宋_GB2312" w:eastAsia="仿宋_GB2312" w:cs="仿宋_GB2312"/>
          <w:i w:val="0"/>
          <w:iCs w:val="0"/>
          <w:sz w:val="32"/>
          <w:szCs w:val="32"/>
          <w:u w:val="none"/>
        </w:rPr>
        <w:t>%。</w:t>
      </w:r>
      <w:r>
        <w:rPr>
          <w:rFonts w:ascii="仿宋_GB2312" w:hAnsi="仿宋_GB2312" w:eastAsia="仿宋_GB2312" w:cs="仿宋_GB2312"/>
          <w:b w:val="0"/>
          <w:bCs w:val="0"/>
          <w:i w:val="0"/>
          <w:iCs w:val="0"/>
          <w:sz w:val="32"/>
          <w:szCs w:val="32"/>
          <w:u w:val="none"/>
          <w:lang w:val="en-US" w:eastAsia="zh-CN"/>
        </w:rPr>
        <w:t>项目绩效总体目标包括，认真落实习近平总书记“要在全社会深入开展尊崇宪法、学习宪法、遵守宪法、维护宪法、运用宪法宣传教育活动”的重要指示。全面加强规章规范性文件备案审查工作。具体绩效指标：完成“公共法律服务体系运行规范”、“公共法律服务体系服务规范”、“公共法律服务体系管理规范”、“公共法律服务体系评估考核规范”等建设；全面加强规章规范性文件备案审查工作等。</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left="0" w:firstLine="640"/>
        <w:jc w:val="both"/>
        <w:textAlignment w:val="auto"/>
        <w:rPr>
          <w:rFonts w:ascii="黑体" w:hAnsi="黑体" w:eastAsia="黑体" w:cs="黑体"/>
          <w:i w:val="0"/>
          <w:iCs w:val="0"/>
          <w:sz w:val="32"/>
          <w:szCs w:val="32"/>
          <w:u w:val="none"/>
          <w:lang w:eastAsia="zh-CN"/>
        </w:rPr>
      </w:pPr>
      <w:r>
        <w:rPr>
          <w:rFonts w:ascii="黑体" w:hAnsi="黑体" w:eastAsia="黑体" w:cs="黑体"/>
          <w:i w:val="0"/>
          <w:iCs w:val="0"/>
          <w:sz w:val="32"/>
          <w:szCs w:val="32"/>
          <w:u w:val="none"/>
          <w:lang w:eastAsia="zh-CN"/>
        </w:rPr>
        <w:t>二、评价工作开展情况</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ascii="仿宋_GB2312" w:hAnsi="仿宋_GB2312" w:eastAsia="仿宋_GB2312" w:cs="仿宋_GB2312"/>
          <w:i w:val="0"/>
          <w:iCs w:val="0"/>
          <w:sz w:val="32"/>
          <w:szCs w:val="32"/>
          <w:u w:val="none"/>
          <w:lang w:eastAsia="zh-CN"/>
        </w:rPr>
      </w:pPr>
      <w:r>
        <w:rPr>
          <w:rFonts w:ascii="仿宋_GB2312" w:hAnsi="仿宋_GB2312" w:eastAsia="仿宋_GB2312" w:cs="仿宋_GB2312"/>
          <w:i w:val="0"/>
          <w:iCs w:val="0"/>
          <w:sz w:val="32"/>
          <w:szCs w:val="32"/>
          <w:u w:val="none"/>
          <w:lang w:eastAsia="zh-CN"/>
        </w:rPr>
        <w:t>我厅组织专人开展项目绩效自评，通过走访项目管理部门、查验资料和报销凭证、对收集的相关数据资料进行整理、汇总等，最终形成绩效评价报告。</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left="0" w:firstLine="640"/>
        <w:jc w:val="both"/>
        <w:textAlignment w:val="auto"/>
        <w:rPr>
          <w:rFonts w:ascii="黑体" w:hAnsi="黑体" w:eastAsia="黑体" w:cs="黑体"/>
          <w:i w:val="0"/>
          <w:iCs w:val="0"/>
          <w:sz w:val="32"/>
          <w:szCs w:val="32"/>
          <w:u w:val="none"/>
          <w:lang w:eastAsia="zh-CN"/>
        </w:rPr>
      </w:pPr>
      <w:r>
        <w:rPr>
          <w:rFonts w:ascii="黑体" w:hAnsi="黑体" w:eastAsia="黑体" w:cs="黑体"/>
          <w:i w:val="0"/>
          <w:iCs w:val="0"/>
          <w:sz w:val="32"/>
          <w:szCs w:val="32"/>
          <w:u w:val="none"/>
          <w:lang w:eastAsia="zh-CN"/>
        </w:rPr>
        <w:t>三、综合评价结论（附评分表）</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ascii="仿宋_GB2312" w:hAnsi="仿宋_GB2312" w:eastAsia="仿宋_GB2312" w:cs="仿宋_GB2312"/>
          <w:i w:val="0"/>
          <w:iCs w:val="0"/>
          <w:sz w:val="32"/>
          <w:szCs w:val="32"/>
          <w:u w:val="none"/>
          <w:lang w:eastAsia="zh-CN"/>
        </w:rPr>
      </w:pPr>
      <w:r>
        <w:rPr>
          <w:rFonts w:ascii="仿宋_GB2312" w:hAnsi="仿宋_GB2312" w:eastAsia="仿宋_GB2312" w:cs="仿宋_GB2312"/>
          <w:i w:val="0"/>
          <w:iCs w:val="0"/>
          <w:sz w:val="32"/>
          <w:szCs w:val="32"/>
          <w:u w:val="none"/>
          <w:lang w:eastAsia="zh-CN"/>
        </w:rPr>
        <w:t>法制建设项目政策依据充分，目标较明确，组织实施较为有序，通过开展法治领域课题研究，与中国社会科学院合作编辑发布年度《四川法治蓝皮书》，行政应诉购买服务，行政复议案件办理工作；通过依法治省法律顾问团，不断完善法律顾</w:t>
      </w:r>
      <w:r>
        <w:rPr>
          <w:rFonts w:ascii="仿宋_GB2312" w:hAnsi="仿宋_GB2312" w:eastAsia="仿宋_GB2312" w:cs="仿宋_GB2312"/>
          <w:i w:val="0"/>
          <w:iCs w:val="0"/>
          <w:spacing w:val="-6"/>
          <w:w w:val="99"/>
          <w:sz w:val="32"/>
          <w:szCs w:val="32"/>
          <w:u w:val="none"/>
          <w:lang w:eastAsia="zh-CN"/>
        </w:rPr>
        <w:t>问制度，提升公共服务法治水平，借智借力做好依法治省工作。</w:t>
      </w:r>
    </w:p>
    <w:tbl>
      <w:tblPr>
        <w:tblStyle w:val="7"/>
        <w:tblW w:w="10737" w:type="dxa"/>
        <w:jc w:val="center"/>
        <w:tblInd w:w="0" w:type="dxa"/>
        <w:tblLayout w:type="fixed"/>
        <w:tblCellMar>
          <w:top w:w="15" w:type="dxa"/>
          <w:left w:w="15" w:type="dxa"/>
          <w:bottom w:w="0" w:type="dxa"/>
          <w:right w:w="15" w:type="dxa"/>
        </w:tblCellMar>
      </w:tblPr>
      <w:tblGrid>
        <w:gridCol w:w="897"/>
        <w:gridCol w:w="897"/>
        <w:gridCol w:w="1573"/>
        <w:gridCol w:w="1234"/>
        <w:gridCol w:w="701"/>
        <w:gridCol w:w="702"/>
        <w:gridCol w:w="702"/>
        <w:gridCol w:w="702"/>
        <w:gridCol w:w="702"/>
        <w:gridCol w:w="1716"/>
        <w:gridCol w:w="911"/>
      </w:tblGrid>
      <w:tr>
        <w:tblPrEx>
          <w:tblLayout w:type="fixed"/>
          <w:tblCellMar>
            <w:top w:w="15" w:type="dxa"/>
            <w:left w:w="15" w:type="dxa"/>
            <w:bottom w:w="0" w:type="dxa"/>
            <w:right w:w="15" w:type="dxa"/>
          </w:tblCellMar>
        </w:tblPrEx>
        <w:trPr>
          <w:trHeight w:val="329" w:hRule="atLeast"/>
          <w:jc w:val="center"/>
        </w:trPr>
        <w:tc>
          <w:tcPr>
            <w:tcW w:w="10737" w:type="dxa"/>
            <w:gridSpan w:val="11"/>
            <w:vAlign w:val="center"/>
          </w:tcPr>
          <w:p>
            <w:pPr>
              <w:pStyle w:val="5"/>
              <w:keepNext w:val="0"/>
              <w:keepLines w:val="0"/>
              <w:widowControl/>
              <w:snapToGrid w:val="0"/>
              <w:jc w:val="both"/>
              <w:textAlignment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600" w:hRule="atLeast"/>
          <w:jc w:val="center"/>
        </w:trPr>
        <w:tc>
          <w:tcPr>
            <w:tcW w:w="3367" w:type="dxa"/>
            <w:gridSpan w:val="3"/>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评价指标</w:t>
            </w:r>
          </w:p>
        </w:tc>
        <w:tc>
          <w:tcPr>
            <w:tcW w:w="4743" w:type="dxa"/>
            <w:gridSpan w:val="6"/>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评分方法</w:t>
            </w:r>
          </w:p>
        </w:tc>
        <w:tc>
          <w:tcPr>
            <w:tcW w:w="1716"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项目实际情况</w:t>
            </w:r>
          </w:p>
        </w:tc>
        <w:tc>
          <w:tcPr>
            <w:tcW w:w="911"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得分</w:t>
            </w:r>
          </w:p>
        </w:tc>
      </w:tr>
      <w:tr>
        <w:tblPrEx>
          <w:tblLayout w:type="fixed"/>
          <w:tblCellMar>
            <w:top w:w="15" w:type="dxa"/>
            <w:left w:w="15" w:type="dxa"/>
            <w:bottom w:w="0" w:type="dxa"/>
            <w:right w:w="15" w:type="dxa"/>
          </w:tblCellMar>
        </w:tblPrEx>
        <w:trPr>
          <w:trHeight w:val="494" w:hRule="atLeast"/>
          <w:jc w:val="center"/>
        </w:trPr>
        <w:tc>
          <w:tcPr>
            <w:tcW w:w="897"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二级指标</w:t>
            </w:r>
          </w:p>
        </w:tc>
        <w:tc>
          <w:tcPr>
            <w:tcW w:w="1573"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三级指标</w:t>
            </w:r>
          </w:p>
        </w:tc>
        <w:tc>
          <w:tcPr>
            <w:tcW w:w="1234"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方法归类</w:t>
            </w:r>
          </w:p>
        </w:tc>
        <w:tc>
          <w:tcPr>
            <w:tcW w:w="3509"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计算公式</w:t>
            </w:r>
          </w:p>
        </w:tc>
        <w:tc>
          <w:tcPr>
            <w:tcW w:w="1716"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500" w:hRule="atLeast"/>
          <w:jc w:val="center"/>
        </w:trPr>
        <w:tc>
          <w:tcPr>
            <w:tcW w:w="89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89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0</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3</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6</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8</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10</w:t>
            </w:r>
          </w:p>
        </w:tc>
        <w:tc>
          <w:tcPr>
            <w:tcW w:w="1716"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1020" w:hRule="atLeast"/>
          <w:jc w:val="center"/>
        </w:trPr>
        <w:tc>
          <w:tcPr>
            <w:tcW w:w="897" w:type="dxa"/>
            <w:vMerge w:val="restart"/>
            <w:tcBorders>
              <w:top w:val="single" w:color="000000" w:sz="4" w:space="0"/>
              <w:left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项目决策</w:t>
            </w:r>
          </w:p>
        </w:tc>
        <w:tc>
          <w:tcPr>
            <w:tcW w:w="897"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程序严密</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项目设立是否属于部门职责相符，是否属于公共财政支持范围。</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不完善</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较完善</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完善</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该项目属于本部门职责范围内</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703" w:hRule="atLeast"/>
          <w:jc w:val="center"/>
        </w:trPr>
        <w:tc>
          <w:tcPr>
            <w:tcW w:w="897"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7"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规划合理</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项目规划是否与项目年度目标一致</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不合理</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较合理</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合理</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项目规划与年度目标一致</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545" w:hRule="atLeast"/>
          <w:jc w:val="center"/>
        </w:trPr>
        <w:tc>
          <w:tcPr>
            <w:tcW w:w="897"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7"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制度完备</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项目申报程序、实施细则等管理制度是否完善，是否存在脱离实际、缺陷、漏洞导致执行偏离预期</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缺（错）项扣分法</w:t>
            </w:r>
          </w:p>
        </w:tc>
        <w:tc>
          <w:tcPr>
            <w:tcW w:w="3509"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发现一处扣0.5分，直至扣完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项目申报程序严格执行厅机关项目管理办法</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808" w:hRule="atLeast"/>
          <w:jc w:val="center"/>
        </w:trPr>
        <w:tc>
          <w:tcPr>
            <w:tcW w:w="897"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7"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使用合规</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项目资金使用是否符合相关的财务管理制度规定</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缺（错）项扣分法</w:t>
            </w:r>
          </w:p>
        </w:tc>
        <w:tc>
          <w:tcPr>
            <w:tcW w:w="3509"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发现一处扣0.5分，直至扣完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资金使用严格执行厅机关经费支出管理办法</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954" w:hRule="atLeast"/>
          <w:jc w:val="center"/>
        </w:trPr>
        <w:tc>
          <w:tcPr>
            <w:tcW w:w="897"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7"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目标完成</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项目实施后是否完成预期目标</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509"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项目执行完成率达到100%，绩效目标全部完成</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736" w:hRule="atLeast"/>
          <w:jc w:val="center"/>
        </w:trPr>
        <w:tc>
          <w:tcPr>
            <w:tcW w:w="89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时效指标</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法制建设项目完成调研课题数量</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509"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法制建设项目调研课题按计划完成</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945" w:hRule="atLeast"/>
          <w:jc w:val="center"/>
        </w:trPr>
        <w:tc>
          <w:tcPr>
            <w:tcW w:w="89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时效指标</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法制建设项目法治蓝皮书发布完成情况</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509"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指标得分=1-(实际完成时间-计划完成时间/计划完成时间)×100%*指标分值</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法治蓝皮书发布按计划完成</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547" w:hRule="atLeast"/>
          <w:jc w:val="center"/>
        </w:trPr>
        <w:tc>
          <w:tcPr>
            <w:tcW w:w="89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数量指标</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法制建设项目负责行政执法人员、监督人员的资格和证件更换、新增覆盖面</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不广</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较广</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sz w:val="18"/>
                <w:szCs w:val="18"/>
              </w:rPr>
            </w:pP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全覆盖</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负责全省行政执法人员、监督人员的资格和证件更换、新增</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934" w:hRule="atLeast"/>
          <w:jc w:val="center"/>
        </w:trPr>
        <w:tc>
          <w:tcPr>
            <w:tcW w:w="89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满意度</w:t>
            </w:r>
          </w:p>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w:t>
            </w:r>
          </w:p>
        </w:tc>
        <w:tc>
          <w:tcPr>
            <w:tcW w:w="89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满意度</w:t>
            </w:r>
          </w:p>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w:t>
            </w:r>
          </w:p>
        </w:tc>
        <w:tc>
          <w:tcPr>
            <w:tcW w:w="15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法制建设项目群众满意度</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不满意</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较满意</w:t>
            </w: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70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很满意</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法制建设项目服务对象和受众群体满意度90%以上</w:t>
            </w:r>
          </w:p>
        </w:tc>
        <w:tc>
          <w:tcPr>
            <w:tcW w:w="91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bl>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rFonts w:ascii="黑体" w:hAnsi="黑体" w:eastAsia="黑体" w:cs="黑体"/>
          <w:b w:val="0"/>
          <w:bCs/>
          <w:i w:val="0"/>
          <w:iCs w:val="0"/>
          <w:sz w:val="32"/>
          <w:szCs w:val="32"/>
          <w:u w:val="none"/>
          <w:lang w:eastAsia="zh-CN"/>
        </w:rPr>
      </w:pPr>
      <w:r>
        <w:rPr>
          <w:rFonts w:ascii="黑体" w:hAnsi="黑体" w:eastAsia="黑体" w:cs="黑体"/>
          <w:b w:val="0"/>
          <w:bCs/>
          <w:i w:val="0"/>
          <w:iCs w:val="0"/>
          <w:sz w:val="32"/>
          <w:szCs w:val="32"/>
          <w:u w:val="none"/>
          <w:lang w:eastAsia="zh-CN"/>
        </w:rPr>
        <w:t>四、绩效评价分析</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楷体_GB2312" w:hAnsi="楷体_GB2312" w:eastAsia="楷体_GB2312" w:cs="楷体_GB2312"/>
          <w:i w:val="0"/>
          <w:iCs w:val="0"/>
          <w:sz w:val="32"/>
          <w:szCs w:val="32"/>
          <w:u w:val="none"/>
          <w:lang w:eastAsia="zh-CN"/>
        </w:rPr>
        <w:t>（一）项目决策情况。</w:t>
      </w:r>
      <w:r>
        <w:rPr>
          <w:rFonts w:ascii="仿宋_GB2312" w:hAnsi="仿宋_GB2312" w:eastAsia="仿宋_GB2312" w:cs="仿宋_GB2312"/>
          <w:i w:val="0"/>
          <w:iCs w:val="0"/>
          <w:sz w:val="32"/>
          <w:szCs w:val="32"/>
          <w:u w:val="none"/>
          <w:lang w:eastAsia="zh-CN"/>
        </w:rPr>
        <w:t>法制建设经费项目设立根据厅机关</w:t>
      </w:r>
      <w:r>
        <w:rPr>
          <w:rFonts w:ascii="仿宋_GB2312" w:hAnsi="仿宋_GB2312" w:eastAsia="仿宋_GB2312" w:cs="仿宋_GB2312"/>
          <w:i w:val="0"/>
          <w:iCs w:val="0"/>
          <w:sz w:val="32"/>
          <w:szCs w:val="32"/>
          <w:u w:val="none"/>
          <w:lang w:val="en-US" w:eastAsia="zh-CN"/>
        </w:rPr>
        <w:t xml:space="preserve">2020年初重点工作安排，按程序报批进入2020-2022三年滚动项目库，并纳入2020年度部门预算。 </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楷体_GB2312" w:hAnsi="楷体_GB2312" w:eastAsia="楷体_GB2312" w:cs="楷体_GB2312"/>
          <w:i w:val="0"/>
          <w:iCs w:val="0"/>
          <w:sz w:val="32"/>
          <w:szCs w:val="32"/>
          <w:u w:val="none"/>
          <w:lang w:eastAsia="zh-CN"/>
        </w:rPr>
        <w:t>（二）项目管理情况：</w:t>
      </w:r>
      <w:r>
        <w:rPr>
          <w:rFonts w:ascii="仿宋_GB2312" w:hAnsi="仿宋_GB2312" w:eastAsia="仿宋_GB2312" w:cs="仿宋_GB2312"/>
          <w:i w:val="0"/>
          <w:iCs w:val="0"/>
          <w:sz w:val="32"/>
          <w:szCs w:val="32"/>
          <w:u w:val="none"/>
          <w:lang w:eastAsia="zh-CN"/>
        </w:rPr>
        <w:t>法制建设经费项目严格按照《四川省司法厅机关项目管理办法》规定</w:t>
      </w:r>
      <w:r>
        <w:rPr>
          <w:rFonts w:ascii="仿宋_GB2312" w:hAnsi="仿宋_GB2312" w:eastAsia="仿宋_GB2312" w:cs="仿宋_GB2312"/>
          <w:i w:val="0"/>
          <w:iCs w:val="0"/>
          <w:sz w:val="32"/>
          <w:szCs w:val="32"/>
          <w:u w:val="none"/>
          <w:lang w:val="en-US" w:eastAsia="zh-CN"/>
        </w:rPr>
        <w:t>由业务部门归口管理。</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楷体_GB2312" w:hAnsi="楷体_GB2312" w:eastAsia="楷体_GB2312" w:cs="楷体_GB2312"/>
          <w:i w:val="0"/>
          <w:iCs w:val="0"/>
          <w:sz w:val="32"/>
          <w:szCs w:val="32"/>
          <w:u w:val="none"/>
          <w:lang w:eastAsia="zh-CN"/>
        </w:rPr>
        <w:t>（三）项目产出情况：</w:t>
      </w:r>
      <w:r>
        <w:rPr>
          <w:rFonts w:ascii="仿宋_GB2312" w:hAnsi="仿宋_GB2312" w:eastAsia="仿宋_GB2312" w:cs="仿宋_GB2312"/>
          <w:i w:val="0"/>
          <w:iCs w:val="0"/>
          <w:sz w:val="32"/>
          <w:szCs w:val="32"/>
          <w:u w:val="none"/>
          <w:lang w:val="en-US" w:eastAsia="zh-CN"/>
        </w:rPr>
        <w:t>2020年度法制建设项目编印2020年度法治蓝皮书；开展中共四川省委党校依法治省和依法行政考核第三方评估；开展法治政府建设第三方评估；负责全省行政执法证件制作；组织全省行政执法人员考试；政府购买行政应诉法律服务等。</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楷体_GB2312" w:hAnsi="楷体_GB2312" w:eastAsia="楷体_GB2312" w:cs="楷体_GB2312"/>
          <w:i w:val="0"/>
          <w:iCs w:val="0"/>
          <w:sz w:val="32"/>
          <w:szCs w:val="32"/>
          <w:u w:val="none"/>
          <w:lang w:eastAsia="zh-CN"/>
        </w:rPr>
        <w:t>（四）项目效益情况。</w:t>
      </w:r>
      <w:r>
        <w:rPr>
          <w:rFonts w:ascii="仿宋_GB2312" w:hAnsi="仿宋_GB2312" w:eastAsia="仿宋_GB2312" w:cs="仿宋_GB2312"/>
          <w:i w:val="0"/>
          <w:iCs w:val="0"/>
          <w:sz w:val="32"/>
          <w:szCs w:val="32"/>
          <w:u w:val="none"/>
          <w:lang w:val="en-US" w:eastAsia="zh-CN"/>
        </w:rPr>
        <w:t>2020年度法制建设</w:t>
      </w:r>
      <w:r>
        <w:rPr>
          <w:rFonts w:ascii="仿宋_GB2312" w:hAnsi="仿宋_GB2312" w:eastAsia="仿宋_GB2312" w:cs="仿宋_GB2312"/>
          <w:i w:val="0"/>
          <w:iCs w:val="0"/>
          <w:sz w:val="32"/>
          <w:szCs w:val="32"/>
          <w:u w:val="none"/>
          <w:lang w:eastAsia="zh-CN"/>
        </w:rPr>
        <w:t>项目按计划实施完成，并实现年初绩效目标，行政执法主体规范行权，</w:t>
      </w:r>
      <w:r>
        <w:rPr>
          <w:rFonts w:ascii="仿宋_GB2312" w:hAnsi="仿宋_GB2312" w:eastAsia="仿宋_GB2312" w:cs="仿宋_GB2312"/>
          <w:i w:val="0"/>
          <w:iCs w:val="0"/>
          <w:sz w:val="32"/>
          <w:szCs w:val="32"/>
          <w:u w:val="none"/>
          <w:lang w:val="en-US" w:eastAsia="zh-CN"/>
        </w:rPr>
        <w:t>12月31日以前完成年度法制建设工作，1.5万余执法主体规范行使裁决工作，法制建设受众人群满意度达到90%以上。</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rFonts w:ascii="黑体" w:hAnsi="黑体" w:eastAsia="黑体" w:cs="黑体"/>
          <w:b w:val="0"/>
          <w:bCs/>
          <w:i w:val="0"/>
          <w:iCs w:val="0"/>
          <w:sz w:val="32"/>
          <w:szCs w:val="32"/>
          <w:u w:val="none"/>
          <w:lang w:eastAsia="zh-CN"/>
        </w:rPr>
      </w:pPr>
      <w:r>
        <w:rPr>
          <w:rFonts w:ascii="黑体" w:hAnsi="黑体" w:eastAsia="黑体" w:cs="黑体"/>
          <w:b w:val="0"/>
          <w:bCs/>
          <w:i w:val="0"/>
          <w:iCs w:val="0"/>
          <w:sz w:val="32"/>
          <w:szCs w:val="32"/>
          <w:u w:val="none"/>
          <w:lang w:eastAsia="zh-CN"/>
        </w:rPr>
        <w:t>五、存在主要问题</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仿宋_GB2312" w:hAnsi="仿宋_GB2312" w:eastAsia="仿宋_GB2312" w:cs="仿宋_GB2312"/>
          <w:i w:val="0"/>
          <w:iCs w:val="0"/>
          <w:sz w:val="32"/>
          <w:szCs w:val="32"/>
          <w:u w:val="none"/>
        </w:rPr>
        <w:t>发现的主要问题：</w:t>
      </w:r>
      <w:r>
        <w:rPr>
          <w:rFonts w:ascii="仿宋_GB2312" w:hAnsi="仿宋_GB2312" w:eastAsia="仿宋_GB2312" w:cs="仿宋_GB2312"/>
          <w:i w:val="0"/>
          <w:iCs w:val="0"/>
          <w:sz w:val="32"/>
          <w:szCs w:val="32"/>
          <w:u w:val="none"/>
          <w:lang w:eastAsia="zh-CN"/>
        </w:rPr>
        <w:t>法制建设项目绩效目标数量指标设立不够科学，量化指标不够。</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rFonts w:ascii="黑体" w:hAnsi="黑体" w:eastAsia="黑体" w:cs="黑体"/>
          <w:b w:val="0"/>
          <w:bCs/>
          <w:i w:val="0"/>
          <w:iCs w:val="0"/>
          <w:sz w:val="32"/>
          <w:szCs w:val="32"/>
          <w:u w:val="none"/>
          <w:lang w:eastAsia="zh-CN"/>
        </w:rPr>
      </w:pPr>
      <w:r>
        <w:rPr>
          <w:rFonts w:ascii="黑体" w:hAnsi="黑体" w:eastAsia="黑体" w:cs="黑体"/>
          <w:b w:val="0"/>
          <w:bCs/>
          <w:i w:val="0"/>
          <w:iCs w:val="0"/>
          <w:sz w:val="32"/>
          <w:szCs w:val="32"/>
          <w:u w:val="none"/>
          <w:lang w:eastAsia="zh-CN"/>
        </w:rPr>
        <w:t>六、相关措施建议</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firstLine="641"/>
        <w:jc w:val="both"/>
        <w:textAlignment w:val="auto"/>
        <w:rPr>
          <w:rFonts w:ascii="仿宋_GB2312" w:hAnsi="仿宋_GB2312" w:eastAsia="仿宋_GB2312" w:cs="仿宋_GB2312"/>
          <w:i w:val="0"/>
          <w:iCs w:val="0"/>
          <w:sz w:val="32"/>
          <w:szCs w:val="32"/>
          <w:u w:val="none"/>
          <w:lang w:val="en-US" w:eastAsia="zh-CN"/>
        </w:rPr>
      </w:pPr>
      <w:r>
        <w:rPr>
          <w:rFonts w:ascii="仿宋_GB2312" w:hAnsi="仿宋_GB2312" w:eastAsia="仿宋_GB2312" w:cs="仿宋_GB2312"/>
          <w:i w:val="0"/>
          <w:iCs w:val="0"/>
          <w:sz w:val="32"/>
          <w:szCs w:val="32"/>
          <w:u w:val="none"/>
          <w:lang w:val="en-US" w:eastAsia="zh-CN"/>
        </w:rPr>
        <w:t>建议下一年度继续安排将该项目纳入部门预算，预算编制过程中项目绩效目标更加细化和全面。切实加强项目立项审查和监督力度，督促具体实施单位加快实施进度，项目单位按计划实现绩效目标。</w:t>
      </w: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6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wordWrap/>
        <w:overflowPunct/>
        <w:topLinePunct w:val="0"/>
        <w:autoSpaceDE/>
        <w:autoSpaceDN/>
        <w:bidi w:val="0"/>
        <w:adjustRightInd/>
        <w:snapToGrid w:val="0"/>
        <w:spacing w:line="62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2020年部门预算项目支出绩效自评报告</w:t>
      </w:r>
    </w:p>
    <w:p>
      <w:pPr>
        <w:pStyle w:val="5"/>
        <w:keepNext w:val="0"/>
        <w:keepLines w:val="0"/>
        <w:pageBreakBefore w:val="0"/>
        <w:widowControl w:val="0"/>
        <w:tabs>
          <w:tab w:val="left" w:pos="3885"/>
        </w:tabs>
        <w:kinsoku/>
        <w:wordWrap/>
        <w:overflowPunct/>
        <w:topLinePunct w:val="0"/>
        <w:autoSpaceDE/>
        <w:autoSpaceDN/>
        <w:bidi w:val="0"/>
        <w:adjustRightInd/>
        <w:snapToGrid w:val="0"/>
        <w:spacing w:line="6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sz w:val="32"/>
          <w:szCs w:val="32"/>
          <w:u w:val="none"/>
        </w:rPr>
        <w:t>（</w:t>
      </w:r>
      <w:r>
        <w:rPr>
          <w:rFonts w:hint="eastAsia" w:ascii="仿宋_GB2312" w:hAnsi="仿宋_GB2312" w:eastAsia="仿宋_GB2312" w:cs="仿宋_GB2312"/>
          <w:i w:val="0"/>
          <w:iCs w:val="0"/>
          <w:sz w:val="32"/>
          <w:szCs w:val="32"/>
          <w:u w:val="none"/>
          <w:lang w:eastAsia="zh-CN"/>
        </w:rPr>
        <w:t>基层司法业务经费项目</w:t>
      </w:r>
      <w:r>
        <w:rPr>
          <w:rFonts w:hint="eastAsia" w:ascii="仿宋_GB2312" w:hAnsi="仿宋_GB2312" w:eastAsia="仿宋_GB2312" w:cs="仿宋_GB2312"/>
          <w:i w:val="0"/>
          <w:iCs w:val="0"/>
          <w:sz w:val="32"/>
          <w:szCs w:val="32"/>
          <w:u w:val="none"/>
        </w:rPr>
        <w:t>）</w:t>
      </w:r>
    </w:p>
    <w:p>
      <w:pPr>
        <w:pStyle w:val="5"/>
        <w:keepNext w:val="0"/>
        <w:keepLines w:val="0"/>
        <w:pageBreakBefore w:val="0"/>
        <w:widowControl w:val="0"/>
        <w:tabs>
          <w:tab w:val="left" w:pos="3885"/>
        </w:tabs>
        <w:kinsoku/>
        <w:wordWrap/>
        <w:overflowPunct/>
        <w:topLinePunct w:val="0"/>
        <w:autoSpaceDE/>
        <w:autoSpaceDN/>
        <w:bidi w:val="0"/>
        <w:adjustRightInd/>
        <w:snapToGrid w:val="0"/>
        <w:spacing w:line="620" w:lineRule="exact"/>
        <w:ind w:firstLine="643"/>
        <w:jc w:val="both"/>
        <w:textAlignment w:val="auto"/>
        <w:rPr>
          <w:rFonts w:ascii="仿宋_GB2312" w:hAnsi="仿宋_GB2312" w:eastAsia="仿宋_GB2312" w:cs="仿宋_GB2312"/>
          <w:b/>
          <w:i w:val="0"/>
          <w:iCs w:val="0"/>
          <w:sz w:val="32"/>
          <w:szCs w:val="32"/>
          <w:u w:val="none"/>
        </w:rPr>
      </w:pP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20" w:lineRule="exact"/>
        <w:ind w:left="0" w:firstLine="640"/>
        <w:jc w:val="both"/>
        <w:textAlignment w:val="auto"/>
        <w:rPr>
          <w:rFonts w:ascii="黑体" w:hAnsi="黑体" w:eastAsia="黑体" w:cs="黑体"/>
          <w:i w:val="0"/>
          <w:iCs w:val="0"/>
          <w:sz w:val="32"/>
          <w:szCs w:val="32"/>
          <w:u w:val="none"/>
          <w:lang w:eastAsia="zh-CN"/>
        </w:rPr>
      </w:pPr>
      <w:r>
        <w:rPr>
          <w:rFonts w:ascii="黑体" w:hAnsi="黑体" w:eastAsia="黑体" w:cs="黑体"/>
          <w:i w:val="0"/>
          <w:iCs w:val="0"/>
          <w:sz w:val="32"/>
          <w:szCs w:val="32"/>
          <w:u w:val="none"/>
          <w:lang w:eastAsia="zh-CN"/>
        </w:rPr>
        <w:t>一、基本情况</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20" w:lineRule="exact"/>
        <w:ind w:left="0" w:firstLine="640"/>
        <w:jc w:val="both"/>
        <w:textAlignment w:val="auto"/>
        <w:rPr>
          <w:sz w:val="32"/>
          <w:szCs w:val="32"/>
        </w:rPr>
      </w:pPr>
      <w:r>
        <w:rPr>
          <w:rFonts w:ascii="仿宋_GB2312" w:hAnsi="仿宋_GB2312" w:eastAsia="仿宋_GB2312" w:cs="仿宋_GB2312"/>
          <w:b w:val="0"/>
          <w:bCs w:val="0"/>
          <w:i w:val="0"/>
          <w:iCs w:val="0"/>
          <w:sz w:val="32"/>
          <w:szCs w:val="32"/>
          <w:u w:val="none"/>
          <w:lang w:eastAsia="zh-CN"/>
        </w:rPr>
        <w:t>厅机关基层司法业务经费</w:t>
      </w:r>
      <w:r>
        <w:rPr>
          <w:rFonts w:ascii="仿宋_GB2312" w:hAnsi="仿宋_GB2312" w:eastAsia="仿宋_GB2312" w:cs="仿宋_GB2312"/>
          <w:b w:val="0"/>
          <w:bCs w:val="0"/>
          <w:i w:val="0"/>
          <w:iCs w:val="0"/>
          <w:sz w:val="32"/>
          <w:szCs w:val="32"/>
          <w:u w:val="none"/>
          <w:lang w:val="en-US" w:eastAsia="zh-CN"/>
        </w:rPr>
        <w:t>2020年度全年预算数435万元，</w:t>
      </w:r>
      <w:r>
        <w:rPr>
          <w:rFonts w:ascii="仿宋_GB2312" w:hAnsi="仿宋_GB2312" w:eastAsia="仿宋_GB2312" w:cs="仿宋_GB2312"/>
          <w:i w:val="0"/>
          <w:iCs w:val="0"/>
          <w:sz w:val="32"/>
          <w:szCs w:val="32"/>
          <w:u w:val="none"/>
        </w:rPr>
        <w:t>执行数为</w:t>
      </w:r>
      <w:r>
        <w:rPr>
          <w:rFonts w:ascii="仿宋_GB2312" w:hAnsi="仿宋_GB2312" w:eastAsia="仿宋_GB2312" w:cs="仿宋_GB2312"/>
          <w:i w:val="0"/>
          <w:iCs w:val="0"/>
          <w:sz w:val="32"/>
          <w:szCs w:val="32"/>
          <w:u w:val="none"/>
          <w:lang w:val="en-US" w:eastAsia="zh-CN"/>
        </w:rPr>
        <w:t>398.33</w:t>
      </w:r>
      <w:r>
        <w:rPr>
          <w:rFonts w:ascii="仿宋_GB2312" w:hAnsi="仿宋_GB2312" w:eastAsia="仿宋_GB2312" w:cs="仿宋_GB2312"/>
          <w:i w:val="0"/>
          <w:iCs w:val="0"/>
          <w:sz w:val="32"/>
          <w:szCs w:val="32"/>
          <w:u w:val="none"/>
        </w:rPr>
        <w:t>万元，完成预算的</w:t>
      </w:r>
      <w:r>
        <w:rPr>
          <w:rFonts w:ascii="仿宋_GB2312" w:hAnsi="仿宋_GB2312" w:eastAsia="仿宋_GB2312" w:cs="仿宋_GB2312"/>
          <w:i w:val="0"/>
          <w:iCs w:val="0"/>
          <w:sz w:val="32"/>
          <w:szCs w:val="32"/>
          <w:u w:val="none"/>
          <w:lang w:val="en-US" w:eastAsia="zh-CN"/>
        </w:rPr>
        <w:t>91.95</w:t>
      </w:r>
      <w:r>
        <w:rPr>
          <w:rFonts w:ascii="仿宋_GB2312" w:hAnsi="仿宋_GB2312" w:eastAsia="仿宋_GB2312" w:cs="仿宋_GB2312"/>
          <w:i w:val="0"/>
          <w:iCs w:val="0"/>
          <w:sz w:val="32"/>
          <w:szCs w:val="32"/>
          <w:u w:val="none"/>
        </w:rPr>
        <w:t>%。</w:t>
      </w:r>
      <w:r>
        <w:rPr>
          <w:rFonts w:ascii="仿宋_GB2312" w:hAnsi="仿宋_GB2312" w:eastAsia="仿宋_GB2312" w:cs="仿宋_GB2312"/>
          <w:b w:val="0"/>
          <w:bCs w:val="0"/>
          <w:i w:val="0"/>
          <w:iCs w:val="0"/>
          <w:sz w:val="32"/>
          <w:szCs w:val="32"/>
          <w:u w:val="none"/>
          <w:lang w:val="en-US" w:eastAsia="zh-CN"/>
        </w:rPr>
        <w:t>项目绩效总体目标包括制作全省“最美人民调解员”评选活动工作专题片，组织最美人民调解员投票评选、全省司法所服务乡村振兴现场推进等活动，组织2020年四川省律师和公证员高级职称评审工作，组织厅机关公开遴选公务员，完成年度社区矫正执法证、工作证制作，组织四川省社区矫正法网络知识竞赛等。</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20" w:lineRule="exact"/>
        <w:ind w:left="0" w:firstLine="640"/>
        <w:jc w:val="both"/>
        <w:textAlignment w:val="auto"/>
        <w:rPr>
          <w:rFonts w:ascii="黑体" w:hAnsi="黑体" w:eastAsia="黑体" w:cs="黑体"/>
          <w:i w:val="0"/>
          <w:iCs w:val="0"/>
          <w:sz w:val="32"/>
          <w:szCs w:val="32"/>
          <w:u w:val="none"/>
          <w:lang w:eastAsia="zh-CN"/>
        </w:rPr>
      </w:pPr>
      <w:r>
        <w:rPr>
          <w:rFonts w:ascii="黑体" w:hAnsi="黑体" w:eastAsia="黑体" w:cs="黑体"/>
          <w:i w:val="0"/>
          <w:iCs w:val="0"/>
          <w:sz w:val="32"/>
          <w:szCs w:val="32"/>
          <w:u w:val="none"/>
          <w:lang w:eastAsia="zh-CN"/>
        </w:rPr>
        <w:t>二、评价工作开展情况</w:t>
      </w:r>
    </w:p>
    <w:p>
      <w:pPr>
        <w:pStyle w:val="5"/>
        <w:keepNext w:val="0"/>
        <w:keepLines w:val="0"/>
        <w:pageBreakBefore w:val="0"/>
        <w:widowControl w:val="0"/>
        <w:kinsoku/>
        <w:wordWrap/>
        <w:overflowPunct/>
        <w:topLinePunct w:val="0"/>
        <w:autoSpaceDE/>
        <w:autoSpaceDN/>
        <w:bidi w:val="0"/>
        <w:adjustRightInd/>
        <w:snapToGrid w:val="0"/>
        <w:spacing w:line="620" w:lineRule="exact"/>
        <w:ind w:firstLine="640"/>
        <w:jc w:val="both"/>
        <w:textAlignment w:val="auto"/>
        <w:rPr>
          <w:rFonts w:ascii="仿宋_GB2312" w:hAnsi="仿宋_GB2312" w:eastAsia="仿宋_GB2312" w:cs="仿宋_GB2312"/>
          <w:i w:val="0"/>
          <w:iCs w:val="0"/>
          <w:sz w:val="32"/>
          <w:szCs w:val="32"/>
          <w:u w:val="none"/>
          <w:lang w:eastAsia="zh-CN"/>
        </w:rPr>
      </w:pPr>
      <w:r>
        <w:rPr>
          <w:rFonts w:ascii="仿宋_GB2312" w:hAnsi="仿宋_GB2312" w:eastAsia="仿宋_GB2312" w:cs="仿宋_GB2312"/>
          <w:i w:val="0"/>
          <w:iCs w:val="0"/>
          <w:sz w:val="32"/>
          <w:szCs w:val="32"/>
          <w:u w:val="none"/>
          <w:lang w:eastAsia="zh-CN"/>
        </w:rPr>
        <w:t>我厅组织专人开展项目绩效自评，通过走访项目实施部门、查验资料和报销凭证、对收集的相关数据资料进行整理、汇总等，最终形成绩效评价报告。</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20" w:lineRule="exact"/>
        <w:ind w:left="0" w:firstLine="640"/>
        <w:jc w:val="both"/>
        <w:textAlignment w:val="auto"/>
        <w:rPr>
          <w:rFonts w:ascii="黑体" w:hAnsi="黑体" w:eastAsia="黑体" w:cs="黑体"/>
          <w:i w:val="0"/>
          <w:iCs w:val="0"/>
          <w:sz w:val="32"/>
          <w:szCs w:val="32"/>
          <w:u w:val="none"/>
          <w:lang w:eastAsia="zh-CN"/>
        </w:rPr>
      </w:pPr>
      <w:r>
        <w:rPr>
          <w:rFonts w:ascii="黑体" w:hAnsi="黑体" w:eastAsia="黑体" w:cs="黑体"/>
          <w:i w:val="0"/>
          <w:iCs w:val="0"/>
          <w:sz w:val="32"/>
          <w:szCs w:val="32"/>
          <w:u w:val="none"/>
          <w:lang w:eastAsia="zh-CN"/>
        </w:rPr>
        <w:t>三、综合评价结论（附评分表）</w:t>
      </w:r>
    </w:p>
    <w:p>
      <w:pPr>
        <w:pStyle w:val="5"/>
        <w:keepNext w:val="0"/>
        <w:keepLines w:val="0"/>
        <w:pageBreakBefore w:val="0"/>
        <w:widowControl w:val="0"/>
        <w:kinsoku/>
        <w:wordWrap/>
        <w:overflowPunct/>
        <w:topLinePunct w:val="0"/>
        <w:autoSpaceDE/>
        <w:autoSpaceDN/>
        <w:bidi w:val="0"/>
        <w:adjustRightInd/>
        <w:snapToGrid w:val="0"/>
        <w:spacing w:line="620" w:lineRule="exact"/>
        <w:ind w:firstLine="640"/>
        <w:jc w:val="both"/>
        <w:textAlignment w:val="auto"/>
        <w:rPr>
          <w:rFonts w:ascii="仿宋_GB2312" w:hAnsi="仿宋_GB2312" w:eastAsia="仿宋_GB2312" w:cs="仿宋_GB2312"/>
          <w:i w:val="0"/>
          <w:iCs w:val="0"/>
          <w:sz w:val="32"/>
          <w:szCs w:val="32"/>
          <w:u w:val="none"/>
        </w:rPr>
      </w:pPr>
      <w:r>
        <w:rPr>
          <w:rFonts w:ascii="仿宋_GB2312" w:hAnsi="仿宋_GB2312" w:eastAsia="仿宋_GB2312" w:cs="仿宋_GB2312"/>
          <w:i w:val="0"/>
          <w:iCs w:val="0"/>
          <w:sz w:val="32"/>
          <w:szCs w:val="32"/>
          <w:u w:val="none"/>
          <w:lang w:eastAsia="zh-CN"/>
        </w:rPr>
        <w:t>基层司法业务</w:t>
      </w:r>
      <w:r>
        <w:rPr>
          <w:rFonts w:ascii="仿宋_GB2312" w:hAnsi="仿宋_GB2312" w:eastAsia="仿宋_GB2312" w:cs="仿宋_GB2312"/>
          <w:i w:val="0"/>
          <w:iCs w:val="0"/>
          <w:sz w:val="32"/>
          <w:szCs w:val="32"/>
          <w:u w:val="none"/>
        </w:rPr>
        <w:t>项目</w:t>
      </w:r>
      <w:r>
        <w:rPr>
          <w:rFonts w:ascii="仿宋_GB2312" w:hAnsi="仿宋_GB2312" w:eastAsia="仿宋_GB2312" w:cs="仿宋_GB2312"/>
          <w:i w:val="0"/>
          <w:iCs w:val="0"/>
          <w:sz w:val="32"/>
          <w:szCs w:val="32"/>
          <w:u w:val="none"/>
          <w:lang w:eastAsia="zh-CN"/>
        </w:rPr>
        <w:t>政策依据充分，目标较明确，组织实施较为有序，</w:t>
      </w:r>
      <w:r>
        <w:rPr>
          <w:rFonts w:ascii="仿宋_GB2312" w:hAnsi="仿宋_GB2312" w:eastAsia="仿宋_GB2312" w:cs="仿宋_GB2312"/>
          <w:i w:val="0"/>
          <w:iCs w:val="0"/>
          <w:sz w:val="32"/>
          <w:szCs w:val="32"/>
          <w:u w:val="none"/>
        </w:rPr>
        <w:t>通过项目实施，保障</w:t>
      </w:r>
      <w:r>
        <w:rPr>
          <w:rFonts w:ascii="仿宋_GB2312" w:hAnsi="仿宋_GB2312" w:eastAsia="仿宋_GB2312" w:cs="仿宋_GB2312"/>
          <w:i w:val="0"/>
          <w:iCs w:val="0"/>
          <w:sz w:val="32"/>
          <w:szCs w:val="32"/>
          <w:u w:val="none"/>
          <w:lang w:eastAsia="zh-CN"/>
        </w:rPr>
        <w:t>基层司法业务、</w:t>
      </w:r>
      <w:r>
        <w:rPr>
          <w:rFonts w:ascii="仿宋_GB2312" w:hAnsi="仿宋_GB2312" w:eastAsia="仿宋_GB2312" w:cs="仿宋_GB2312"/>
          <w:i w:val="0"/>
          <w:iCs w:val="0"/>
          <w:sz w:val="32"/>
          <w:szCs w:val="32"/>
          <w:u w:val="none"/>
        </w:rPr>
        <w:t>社区矫正、司法鉴定、外来企业投诉等</w:t>
      </w:r>
      <w:r>
        <w:rPr>
          <w:rFonts w:ascii="仿宋_GB2312" w:hAnsi="仿宋_GB2312" w:eastAsia="仿宋_GB2312" w:cs="仿宋_GB2312"/>
          <w:i w:val="0"/>
          <w:iCs w:val="0"/>
          <w:sz w:val="32"/>
          <w:szCs w:val="32"/>
          <w:u w:val="none"/>
          <w:lang w:eastAsia="zh-CN"/>
        </w:rPr>
        <w:t>重点</w:t>
      </w:r>
      <w:r>
        <w:rPr>
          <w:rFonts w:ascii="仿宋_GB2312" w:hAnsi="仿宋_GB2312" w:eastAsia="仿宋_GB2312" w:cs="仿宋_GB2312"/>
          <w:i w:val="0"/>
          <w:iCs w:val="0"/>
          <w:sz w:val="32"/>
          <w:szCs w:val="32"/>
          <w:u w:val="none"/>
        </w:rPr>
        <w:t>业务</w:t>
      </w:r>
      <w:r>
        <w:rPr>
          <w:rFonts w:ascii="仿宋_GB2312" w:hAnsi="仿宋_GB2312" w:eastAsia="仿宋_GB2312" w:cs="仿宋_GB2312"/>
          <w:i w:val="0"/>
          <w:iCs w:val="0"/>
          <w:sz w:val="32"/>
          <w:szCs w:val="32"/>
          <w:u w:val="none"/>
          <w:lang w:eastAsia="zh-CN"/>
        </w:rPr>
        <w:t>开展</w:t>
      </w:r>
      <w:r>
        <w:rPr>
          <w:rFonts w:ascii="仿宋_GB2312" w:hAnsi="仿宋_GB2312" w:eastAsia="仿宋_GB2312" w:cs="仿宋_GB2312"/>
          <w:i w:val="0"/>
          <w:iCs w:val="0"/>
          <w:sz w:val="32"/>
          <w:szCs w:val="32"/>
          <w:u w:val="none"/>
        </w:rPr>
        <w:t>，对构建社会和谐工作起到良好效果。</w:t>
      </w:r>
    </w:p>
    <w:tbl>
      <w:tblPr>
        <w:tblStyle w:val="7"/>
        <w:tblW w:w="10165" w:type="dxa"/>
        <w:jc w:val="center"/>
        <w:tblInd w:w="0" w:type="dxa"/>
        <w:tblLayout w:type="fixed"/>
        <w:tblCellMar>
          <w:top w:w="15" w:type="dxa"/>
          <w:left w:w="15" w:type="dxa"/>
          <w:bottom w:w="0" w:type="dxa"/>
          <w:right w:w="15" w:type="dxa"/>
        </w:tblCellMar>
      </w:tblPr>
      <w:tblGrid>
        <w:gridCol w:w="900"/>
        <w:gridCol w:w="900"/>
        <w:gridCol w:w="1578"/>
        <w:gridCol w:w="1238"/>
        <w:gridCol w:w="615"/>
        <w:gridCol w:w="615"/>
        <w:gridCol w:w="615"/>
        <w:gridCol w:w="615"/>
        <w:gridCol w:w="615"/>
        <w:gridCol w:w="1551"/>
        <w:gridCol w:w="923"/>
      </w:tblGrid>
      <w:tr>
        <w:tblPrEx>
          <w:tblLayout w:type="fixed"/>
          <w:tblCellMar>
            <w:top w:w="15" w:type="dxa"/>
            <w:left w:w="15" w:type="dxa"/>
            <w:bottom w:w="0" w:type="dxa"/>
            <w:right w:w="15" w:type="dxa"/>
          </w:tblCellMar>
        </w:tblPrEx>
        <w:trPr>
          <w:trHeight w:val="600" w:hRule="atLeast"/>
          <w:jc w:val="center"/>
        </w:trPr>
        <w:tc>
          <w:tcPr>
            <w:tcW w:w="3378" w:type="dxa"/>
            <w:gridSpan w:val="3"/>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评价指标</w:t>
            </w:r>
          </w:p>
        </w:tc>
        <w:tc>
          <w:tcPr>
            <w:tcW w:w="4313" w:type="dxa"/>
            <w:gridSpan w:val="6"/>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评分方法</w:t>
            </w:r>
          </w:p>
        </w:tc>
        <w:tc>
          <w:tcPr>
            <w:tcW w:w="1551"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项目实际情况</w:t>
            </w:r>
          </w:p>
        </w:tc>
        <w:tc>
          <w:tcPr>
            <w:tcW w:w="923"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得分</w:t>
            </w:r>
          </w:p>
        </w:tc>
      </w:tr>
      <w:tr>
        <w:tblPrEx>
          <w:tblLayout w:type="fixed"/>
          <w:tblCellMar>
            <w:top w:w="15" w:type="dxa"/>
            <w:left w:w="15" w:type="dxa"/>
            <w:bottom w:w="0" w:type="dxa"/>
            <w:right w:w="15" w:type="dxa"/>
          </w:tblCellMar>
        </w:tblPrEx>
        <w:trPr>
          <w:trHeight w:val="500" w:hRule="atLeast"/>
          <w:jc w:val="center"/>
        </w:trPr>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一级指标</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二级指标</w:t>
            </w:r>
          </w:p>
        </w:tc>
        <w:tc>
          <w:tcPr>
            <w:tcW w:w="1578"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三级指标</w:t>
            </w:r>
          </w:p>
        </w:tc>
        <w:tc>
          <w:tcPr>
            <w:tcW w:w="1238"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方法归类</w:t>
            </w:r>
          </w:p>
        </w:tc>
        <w:tc>
          <w:tcPr>
            <w:tcW w:w="307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计算公式</w:t>
            </w:r>
          </w:p>
        </w:tc>
        <w:tc>
          <w:tcPr>
            <w:tcW w:w="1551"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bCs/>
                <w:i w:val="0"/>
                <w:color w:val="000000"/>
                <w:sz w:val="18"/>
                <w:szCs w:val="18"/>
                <w:u w:val="none"/>
              </w:rPr>
            </w:pPr>
          </w:p>
        </w:tc>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50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1578"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1238"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黑体" w:hAnsi="黑体" w:eastAsia="黑体" w:cs="黑体"/>
                <w:b w:val="0"/>
                <w:bCs/>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6</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8</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10</w:t>
            </w:r>
          </w:p>
        </w:tc>
        <w:tc>
          <w:tcPr>
            <w:tcW w:w="1551"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bCs/>
                <w:i w:val="0"/>
                <w:color w:val="000000"/>
                <w:sz w:val="18"/>
                <w:szCs w:val="18"/>
                <w:u w:val="none"/>
              </w:rPr>
            </w:pPr>
          </w:p>
        </w:tc>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1335" w:hRule="atLeast"/>
          <w:jc w:val="center"/>
        </w:trPr>
        <w:tc>
          <w:tcPr>
            <w:tcW w:w="900" w:type="dxa"/>
            <w:vMerge w:val="restart"/>
            <w:tcBorders>
              <w:top w:val="single" w:color="000000" w:sz="4" w:space="0"/>
              <w:left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项目决策</w:t>
            </w:r>
          </w:p>
        </w:tc>
        <w:tc>
          <w:tcPr>
            <w:tcW w:w="900"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程序严密</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项目设立是否属于部门职责相符，是否属于公共财政支持范围。</w:t>
            </w:r>
          </w:p>
        </w:tc>
        <w:tc>
          <w:tcPr>
            <w:tcW w:w="123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不完善</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较完善</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完善</w:t>
            </w:r>
          </w:p>
        </w:tc>
        <w:tc>
          <w:tcPr>
            <w:tcW w:w="155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该项目属于本部门职责范围内</w:t>
            </w:r>
          </w:p>
        </w:tc>
        <w:tc>
          <w:tcPr>
            <w:tcW w:w="92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20" w:hRule="atLeast"/>
          <w:jc w:val="center"/>
        </w:trPr>
        <w:tc>
          <w:tcPr>
            <w:tcW w:w="900"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900"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规划合理</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项目规划是否与项目年度目标一致</w:t>
            </w:r>
          </w:p>
        </w:tc>
        <w:tc>
          <w:tcPr>
            <w:tcW w:w="123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不合理</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较合理</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合理</w:t>
            </w:r>
          </w:p>
        </w:tc>
        <w:tc>
          <w:tcPr>
            <w:tcW w:w="155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项目规划与年度目标一致</w:t>
            </w:r>
          </w:p>
        </w:tc>
        <w:tc>
          <w:tcPr>
            <w:tcW w:w="92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820" w:hRule="atLeast"/>
          <w:jc w:val="center"/>
        </w:trPr>
        <w:tc>
          <w:tcPr>
            <w:tcW w:w="900"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900"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制度完备</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项目申报程序、实施细则等管理制度是否完善，是否存在脱离实际、缺陷、漏洞导致执行偏离预期</w:t>
            </w:r>
          </w:p>
        </w:tc>
        <w:tc>
          <w:tcPr>
            <w:tcW w:w="123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缺（错）项扣分法</w:t>
            </w:r>
          </w:p>
        </w:tc>
        <w:tc>
          <w:tcPr>
            <w:tcW w:w="307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发现一处扣0.5分，直至扣完</w:t>
            </w:r>
          </w:p>
        </w:tc>
        <w:tc>
          <w:tcPr>
            <w:tcW w:w="155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项目申报程序严格执行厅机关项目管理办法</w:t>
            </w:r>
          </w:p>
        </w:tc>
        <w:tc>
          <w:tcPr>
            <w:tcW w:w="92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285" w:hRule="atLeast"/>
          <w:jc w:val="center"/>
        </w:trPr>
        <w:tc>
          <w:tcPr>
            <w:tcW w:w="900"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900"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使用合规</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项目资金使用是否符合相关的财务管理制度规定</w:t>
            </w:r>
          </w:p>
        </w:tc>
        <w:tc>
          <w:tcPr>
            <w:tcW w:w="123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缺（错）项扣分法</w:t>
            </w:r>
          </w:p>
        </w:tc>
        <w:tc>
          <w:tcPr>
            <w:tcW w:w="307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发现一处扣0.5分，直至扣完</w:t>
            </w:r>
          </w:p>
        </w:tc>
        <w:tc>
          <w:tcPr>
            <w:tcW w:w="155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资金使用严格执行厅机关经费支出管理办法</w:t>
            </w:r>
          </w:p>
        </w:tc>
        <w:tc>
          <w:tcPr>
            <w:tcW w:w="92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20" w:hRule="atLeast"/>
          <w:jc w:val="center"/>
        </w:trPr>
        <w:tc>
          <w:tcPr>
            <w:tcW w:w="900"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900"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目标完成</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项目实施后是否完成预期目标</w:t>
            </w:r>
          </w:p>
        </w:tc>
        <w:tc>
          <w:tcPr>
            <w:tcW w:w="123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07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55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项目执行完成率达到100%，绩效目标全部完成</w:t>
            </w:r>
          </w:p>
        </w:tc>
        <w:tc>
          <w:tcPr>
            <w:tcW w:w="92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20"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社会效益指标</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基层司法业务项目对社会的促进作用</w:t>
            </w:r>
          </w:p>
        </w:tc>
        <w:tc>
          <w:tcPr>
            <w:tcW w:w="123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不大</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较大</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很大</w:t>
            </w:r>
          </w:p>
        </w:tc>
        <w:tc>
          <w:tcPr>
            <w:tcW w:w="155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基层司法业务项目对社会的促进作用达到预期</w:t>
            </w:r>
          </w:p>
        </w:tc>
        <w:tc>
          <w:tcPr>
            <w:tcW w:w="92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20"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质量指标</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基层司法业务项目外来企业投诉案件处理率</w:t>
            </w:r>
          </w:p>
        </w:tc>
        <w:tc>
          <w:tcPr>
            <w:tcW w:w="123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07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55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处理外来企业投诉案件率达到100%</w:t>
            </w:r>
          </w:p>
        </w:tc>
        <w:tc>
          <w:tcPr>
            <w:tcW w:w="92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15</w:t>
            </w:r>
          </w:p>
        </w:tc>
      </w:tr>
      <w:tr>
        <w:tblPrEx>
          <w:tblLayout w:type="fixed"/>
          <w:tblCellMar>
            <w:top w:w="15" w:type="dxa"/>
            <w:left w:w="15" w:type="dxa"/>
            <w:bottom w:w="0" w:type="dxa"/>
            <w:right w:w="15" w:type="dxa"/>
          </w:tblCellMar>
        </w:tblPrEx>
        <w:trPr>
          <w:trHeight w:val="1020"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满意度</w:t>
            </w:r>
          </w:p>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w:t>
            </w: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满意度</w:t>
            </w:r>
          </w:p>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基层司法业务项目专项活动对象满意度</w:t>
            </w:r>
          </w:p>
        </w:tc>
        <w:tc>
          <w:tcPr>
            <w:tcW w:w="123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不满意</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较满意</w:t>
            </w: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很满意</w:t>
            </w:r>
          </w:p>
        </w:tc>
        <w:tc>
          <w:tcPr>
            <w:tcW w:w="155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基层司法业务项目专项活动对象满意度达到90%以上</w:t>
            </w:r>
          </w:p>
        </w:tc>
        <w:tc>
          <w:tcPr>
            <w:tcW w:w="92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185" w:hRule="atLeast"/>
          <w:jc w:val="center"/>
        </w:trPr>
        <w:tc>
          <w:tcPr>
            <w:tcW w:w="90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效益指标</w:t>
            </w: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可持续影响指标</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基层司法业务项目省级相关单位律师指派全覆盖完成时间</w:t>
            </w:r>
          </w:p>
        </w:tc>
        <w:tc>
          <w:tcPr>
            <w:tcW w:w="123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07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指标得分=1-(实际完成时间-计划完成时间/计划完成时间)×100%*指标分值</w:t>
            </w:r>
          </w:p>
        </w:tc>
        <w:tc>
          <w:tcPr>
            <w:tcW w:w="1551"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2020年12月31日以前省级相关单位律师指派全覆盖按计划完成</w:t>
            </w:r>
          </w:p>
        </w:tc>
        <w:tc>
          <w:tcPr>
            <w:tcW w:w="92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15</w:t>
            </w:r>
          </w:p>
        </w:tc>
      </w:tr>
    </w:tbl>
    <w:p>
      <w:pPr>
        <w:pStyle w:val="5"/>
        <w:keepNext w:val="0"/>
        <w:keepLines w:val="0"/>
        <w:pageBreakBefore w:val="0"/>
        <w:widowControl w:val="0"/>
        <w:tabs>
          <w:tab w:val="left" w:pos="3885"/>
        </w:tabs>
        <w:kinsoku/>
        <w:wordWrap/>
        <w:overflowPunct/>
        <w:topLinePunct w:val="0"/>
        <w:autoSpaceDE/>
        <w:autoSpaceDN/>
        <w:bidi w:val="0"/>
        <w:adjustRightInd/>
        <w:snapToGrid w:val="0"/>
        <w:spacing w:line="600" w:lineRule="exact"/>
        <w:jc w:val="right"/>
        <w:textAlignment w:val="auto"/>
        <w:rPr>
          <w:rFonts w:ascii="方正小标宋_GBK" w:hAnsi="方正小标宋_GBK" w:eastAsia="方正小标宋_GBK" w:cs="方正小标宋_GBK"/>
          <w:color w:val="000000"/>
          <w:sz w:val="44"/>
          <w:szCs w:val="44"/>
          <w:lang w:val="en-US" w:eastAsia="zh-CN"/>
        </w:rPr>
      </w:pPr>
      <w:r>
        <w:rPr>
          <w:rFonts w:ascii="方正小标宋_GBK" w:hAnsi="方正小标宋_GBK" w:eastAsia="方正小标宋_GBK" w:cs="方正小标宋_GBK"/>
          <w:color w:val="000000"/>
          <w:sz w:val="44"/>
          <w:szCs w:val="44"/>
          <w:lang w:val="en-US" w:eastAsia="zh-CN"/>
        </w:rPr>
        <w:t>2020年部门预算项目支出绩效自评报告</w:t>
      </w:r>
    </w:p>
    <w:p>
      <w:pPr>
        <w:pStyle w:val="5"/>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法律援助经费项目</w:t>
      </w:r>
      <w:r>
        <w:rPr>
          <w:rFonts w:hint="eastAsia" w:ascii="仿宋_GB2312" w:hAnsi="仿宋_GB2312" w:eastAsia="仿宋_GB2312" w:cs="仿宋_GB2312"/>
          <w:sz w:val="32"/>
          <w:szCs w:val="32"/>
        </w:rPr>
        <w:t>）</w:t>
      </w:r>
    </w:p>
    <w:p>
      <w:pPr>
        <w:pStyle w:val="5"/>
        <w:keepNext w:val="0"/>
        <w:keepLines w:val="0"/>
        <w:pageBreakBefore w:val="0"/>
        <w:widowControl w:val="0"/>
        <w:tabs>
          <w:tab w:val="left" w:pos="3885"/>
        </w:tabs>
        <w:kinsoku/>
        <w:wordWrap/>
        <w:overflowPunct/>
        <w:topLinePunct w:val="0"/>
        <w:autoSpaceDE/>
        <w:autoSpaceDN/>
        <w:bidi w:val="0"/>
        <w:adjustRightInd/>
        <w:snapToGrid w:val="0"/>
        <w:spacing w:line="600" w:lineRule="exact"/>
        <w:jc w:val="both"/>
        <w:textAlignment w:val="auto"/>
        <w:rPr>
          <w:rFonts w:ascii="仿宋_GB2312" w:hAnsi="仿宋_GB2312" w:eastAsia="仿宋_GB2312" w:cs="仿宋_GB2312"/>
          <w:b/>
          <w:sz w:val="32"/>
          <w:szCs w:val="32"/>
        </w:rPr>
      </w:pP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left="0" w:firstLine="640"/>
        <w:jc w:val="both"/>
        <w:textAlignment w:val="auto"/>
        <w:rPr>
          <w:rFonts w:ascii="黑体" w:hAnsi="黑体" w:eastAsia="黑体" w:cs="黑体"/>
          <w:sz w:val="32"/>
          <w:szCs w:val="32"/>
          <w:lang w:eastAsia="zh-CN"/>
        </w:rPr>
      </w:pPr>
      <w:r>
        <w:rPr>
          <w:rFonts w:ascii="黑体" w:hAnsi="黑体" w:eastAsia="黑体" w:cs="黑体"/>
          <w:sz w:val="32"/>
          <w:szCs w:val="32"/>
          <w:lang w:eastAsia="zh-CN"/>
        </w:rPr>
        <w:t>一、基本情况</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left="0" w:firstLine="640"/>
        <w:jc w:val="both"/>
        <w:textAlignment w:val="auto"/>
      </w:pPr>
      <w:r>
        <w:rPr>
          <w:rFonts w:ascii="仿宋_GB2312" w:hAnsi="仿宋_GB2312" w:eastAsia="仿宋_GB2312" w:cs="仿宋_GB2312"/>
          <w:b w:val="0"/>
          <w:bCs w:val="0"/>
          <w:sz w:val="32"/>
          <w:szCs w:val="32"/>
          <w:lang w:eastAsia="zh-CN"/>
        </w:rPr>
        <w:t>厅机关法律援助经费</w:t>
      </w:r>
      <w:r>
        <w:rPr>
          <w:rFonts w:ascii="仿宋_GB2312" w:hAnsi="仿宋_GB2312" w:eastAsia="仿宋_GB2312" w:cs="仿宋_GB2312"/>
          <w:b w:val="0"/>
          <w:bCs w:val="0"/>
          <w:sz w:val="32"/>
          <w:szCs w:val="32"/>
          <w:lang w:val="en-US" w:eastAsia="zh-CN"/>
        </w:rPr>
        <w:t>2020年度全年预算数800万元，</w:t>
      </w:r>
      <w:r>
        <w:rPr>
          <w:rFonts w:ascii="仿宋_GB2312" w:hAnsi="仿宋_GB2312" w:eastAsia="仿宋_GB2312" w:cs="仿宋_GB2312"/>
          <w:sz w:val="32"/>
          <w:szCs w:val="32"/>
        </w:rPr>
        <w:t>执行数为</w:t>
      </w:r>
      <w:r>
        <w:rPr>
          <w:rFonts w:ascii="仿宋_GB2312" w:hAnsi="仿宋_GB2312" w:eastAsia="仿宋_GB2312" w:cs="仿宋_GB2312"/>
          <w:sz w:val="32"/>
          <w:szCs w:val="32"/>
          <w:lang w:val="en-US" w:eastAsia="zh-CN"/>
        </w:rPr>
        <w:t>799.97</w:t>
      </w:r>
      <w:r>
        <w:rPr>
          <w:rFonts w:ascii="仿宋_GB2312" w:hAnsi="仿宋_GB2312" w:eastAsia="仿宋_GB2312" w:cs="仿宋_GB2312"/>
          <w:sz w:val="32"/>
          <w:szCs w:val="32"/>
        </w:rPr>
        <w:t>万元，完成预算的</w:t>
      </w:r>
      <w:r>
        <w:rPr>
          <w:rFonts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ascii="仿宋_GB2312" w:hAnsi="仿宋_GB2312" w:eastAsia="仿宋_GB2312" w:cs="仿宋_GB2312"/>
          <w:b w:val="0"/>
          <w:bCs w:val="0"/>
          <w:sz w:val="32"/>
          <w:szCs w:val="32"/>
          <w:lang w:val="en-US" w:eastAsia="zh-CN"/>
        </w:rPr>
        <w:t>项目绩效总体目标包括完成法</w:t>
      </w:r>
      <w:r>
        <w:rPr>
          <w:rFonts w:ascii="仿宋_GB2312" w:hAnsi="仿宋_GB2312" w:eastAsia="仿宋_GB2312" w:cs="仿宋_GB2312"/>
          <w:b w:val="0"/>
          <w:bCs w:val="0"/>
          <w:spacing w:val="-11"/>
          <w:sz w:val="32"/>
          <w:szCs w:val="32"/>
          <w:lang w:val="en-US" w:eastAsia="zh-CN"/>
        </w:rPr>
        <w:t>律援助案件办理、咨询、代书等服务15000人次。省法院、</w:t>
      </w:r>
      <w:r>
        <w:rPr>
          <w:rFonts w:ascii="仿宋_GB2312" w:hAnsi="仿宋_GB2312" w:eastAsia="仿宋_GB2312" w:cs="仿宋_GB2312"/>
          <w:b w:val="0"/>
          <w:bCs w:val="0"/>
          <w:spacing w:val="0"/>
          <w:sz w:val="32"/>
          <w:szCs w:val="32"/>
          <w:lang w:val="en-US" w:eastAsia="zh-CN"/>
        </w:rPr>
        <w:t>成都铁路法院；省检察院、成都铁路检察院</w:t>
      </w:r>
      <w:r>
        <w:rPr>
          <w:rFonts w:ascii="仿宋_GB2312" w:hAnsi="仿宋_GB2312" w:eastAsia="仿宋_GB2312" w:cs="仿宋_GB2312"/>
          <w:b w:val="0"/>
          <w:bCs w:val="0"/>
          <w:spacing w:val="-11"/>
          <w:sz w:val="32"/>
          <w:szCs w:val="32"/>
          <w:lang w:val="en-US" w:eastAsia="zh-CN"/>
        </w:rPr>
        <w:t>通知辩护、值班律师指派全覆盖。</w:t>
      </w:r>
      <w:r>
        <w:rPr>
          <w:rFonts w:ascii="仿宋_GB2312" w:hAnsi="仿宋_GB2312" w:eastAsia="仿宋_GB2312" w:cs="仿宋_GB2312"/>
          <w:b w:val="0"/>
          <w:bCs w:val="0"/>
          <w:spacing w:val="0"/>
          <w:sz w:val="32"/>
          <w:szCs w:val="32"/>
          <w:lang w:val="en-US" w:eastAsia="zh-CN"/>
        </w:rPr>
        <w:t>具体绩效指标：案件受理和咨询服务时</w:t>
      </w:r>
      <w:r>
        <w:rPr>
          <w:rFonts w:ascii="仿宋_GB2312" w:hAnsi="仿宋_GB2312" w:eastAsia="仿宋_GB2312" w:cs="仿宋_GB2312"/>
          <w:b w:val="0"/>
          <w:bCs w:val="0"/>
          <w:spacing w:val="-11"/>
          <w:sz w:val="32"/>
          <w:szCs w:val="32"/>
          <w:lang w:val="en-US" w:eastAsia="zh-CN"/>
        </w:rPr>
        <w:t>限3天以内</w:t>
      </w:r>
      <w:r>
        <w:rPr>
          <w:rFonts w:ascii="仿宋_GB2312" w:hAnsi="仿宋_GB2312" w:eastAsia="仿宋_GB2312" w:cs="仿宋_GB2312"/>
          <w:b w:val="0"/>
          <w:bCs w:val="0"/>
          <w:spacing w:val="0"/>
          <w:sz w:val="32"/>
          <w:szCs w:val="32"/>
          <w:lang w:val="en-US" w:eastAsia="zh-CN"/>
        </w:rPr>
        <w:t>；完成法律援助案件办理1300-1500件；公众通过各类窗口、网络需求法律咨询引导服务100%接待受理；完成法律援助案件办理1300-1500件；咨询、代书等服务15000人次等。</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left="0" w:firstLine="640"/>
        <w:jc w:val="both"/>
        <w:textAlignment w:val="auto"/>
        <w:rPr>
          <w:rFonts w:ascii="黑体" w:hAnsi="黑体" w:eastAsia="黑体" w:cs="黑体"/>
          <w:sz w:val="32"/>
          <w:szCs w:val="32"/>
          <w:lang w:eastAsia="zh-CN"/>
        </w:rPr>
      </w:pPr>
      <w:r>
        <w:rPr>
          <w:rFonts w:ascii="黑体" w:hAnsi="黑体" w:eastAsia="黑体" w:cs="黑体"/>
          <w:sz w:val="32"/>
          <w:szCs w:val="32"/>
          <w:lang w:eastAsia="zh-CN"/>
        </w:rPr>
        <w:t>二、评价工作开展情况</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我厅组织专人开展项目绩效自评，通过走访项目实施部门、查验资料和报销凭证、对收集的相关数据资料进行整理、汇总等，最终形成绩效评价报告。</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left="0" w:firstLine="640"/>
        <w:jc w:val="both"/>
        <w:textAlignment w:val="auto"/>
        <w:rPr>
          <w:rFonts w:ascii="黑体" w:hAnsi="黑体" w:eastAsia="黑体" w:cs="黑体"/>
          <w:sz w:val="32"/>
          <w:szCs w:val="32"/>
          <w:lang w:eastAsia="zh-CN"/>
        </w:rPr>
      </w:pPr>
      <w:r>
        <w:rPr>
          <w:rFonts w:ascii="黑体" w:hAnsi="黑体" w:eastAsia="黑体" w:cs="黑体"/>
          <w:sz w:val="32"/>
          <w:szCs w:val="32"/>
          <w:lang w:eastAsia="zh-CN"/>
        </w:rPr>
        <w:t>三、综合评价结论（附评分表）</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法律援助项目政策依据充分，目标较明确，组织实施较为有序，通过项目实施，实现全年法律援助服务受援人群</w:t>
      </w:r>
      <w:r>
        <w:rPr>
          <w:rFonts w:ascii="仿宋_GB2312" w:hAnsi="仿宋_GB2312" w:eastAsia="仿宋_GB2312" w:cs="仿宋_GB2312"/>
          <w:sz w:val="32"/>
          <w:szCs w:val="32"/>
          <w:lang w:val="en-US" w:eastAsia="zh-CN"/>
        </w:rPr>
        <w:t>30万人次，完成法律援助数量5万件以上，</w:t>
      </w:r>
      <w:r>
        <w:rPr>
          <w:rFonts w:ascii="仿宋_GB2312" w:hAnsi="仿宋_GB2312" w:eastAsia="仿宋_GB2312" w:cs="仿宋_GB2312"/>
          <w:sz w:val="32"/>
          <w:szCs w:val="32"/>
          <w:lang w:eastAsia="zh-CN"/>
        </w:rPr>
        <w:t>保障</w:t>
      </w:r>
      <w:r>
        <w:rPr>
          <w:rFonts w:ascii="仿宋_GB2312" w:hAnsi="仿宋_GB2312" w:eastAsia="仿宋_GB2312" w:cs="仿宋_GB2312"/>
          <w:sz w:val="32"/>
          <w:szCs w:val="32"/>
          <w:lang w:val="en-US" w:eastAsia="zh-CN"/>
        </w:rPr>
        <w:t>2020年度法援工作顺利进行</w:t>
      </w:r>
      <w:r>
        <w:rPr>
          <w:rFonts w:ascii="仿宋_GB2312" w:hAnsi="仿宋_GB2312" w:eastAsia="仿宋_GB2312" w:cs="仿宋_GB2312"/>
          <w:sz w:val="32"/>
          <w:szCs w:val="32"/>
          <w:lang w:eastAsia="zh-CN"/>
        </w:rPr>
        <w:t>。</w:t>
      </w:r>
    </w:p>
    <w:tbl>
      <w:tblPr>
        <w:tblStyle w:val="7"/>
        <w:tblW w:w="9955" w:type="dxa"/>
        <w:jc w:val="center"/>
        <w:tblInd w:w="0" w:type="dxa"/>
        <w:tblLayout w:type="fixed"/>
        <w:tblCellMar>
          <w:top w:w="15" w:type="dxa"/>
          <w:left w:w="15" w:type="dxa"/>
          <w:bottom w:w="0" w:type="dxa"/>
          <w:right w:w="15" w:type="dxa"/>
        </w:tblCellMar>
      </w:tblPr>
      <w:tblGrid>
        <w:gridCol w:w="795"/>
        <w:gridCol w:w="898"/>
        <w:gridCol w:w="1473"/>
        <w:gridCol w:w="952"/>
        <w:gridCol w:w="678"/>
        <w:gridCol w:w="678"/>
        <w:gridCol w:w="678"/>
        <w:gridCol w:w="678"/>
        <w:gridCol w:w="678"/>
        <w:gridCol w:w="1655"/>
        <w:gridCol w:w="792"/>
      </w:tblGrid>
      <w:tr>
        <w:tblPrEx>
          <w:tblLayout w:type="fixed"/>
          <w:tblCellMar>
            <w:top w:w="15" w:type="dxa"/>
            <w:left w:w="15" w:type="dxa"/>
            <w:bottom w:w="0" w:type="dxa"/>
            <w:right w:w="15" w:type="dxa"/>
          </w:tblCellMar>
        </w:tblPrEx>
        <w:trPr>
          <w:trHeight w:val="600" w:hRule="atLeast"/>
          <w:jc w:val="center"/>
        </w:trPr>
        <w:tc>
          <w:tcPr>
            <w:tcW w:w="3166" w:type="dxa"/>
            <w:gridSpan w:val="3"/>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评价指标</w:t>
            </w:r>
          </w:p>
        </w:tc>
        <w:tc>
          <w:tcPr>
            <w:tcW w:w="4342" w:type="dxa"/>
            <w:gridSpan w:val="6"/>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评分方法</w:t>
            </w:r>
          </w:p>
        </w:tc>
        <w:tc>
          <w:tcPr>
            <w:tcW w:w="1655"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项目实际情况</w:t>
            </w:r>
          </w:p>
        </w:tc>
        <w:tc>
          <w:tcPr>
            <w:tcW w:w="792"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得分</w:t>
            </w:r>
          </w:p>
        </w:tc>
      </w:tr>
      <w:tr>
        <w:tblPrEx>
          <w:tblLayout w:type="fixed"/>
          <w:tblCellMar>
            <w:top w:w="15" w:type="dxa"/>
            <w:left w:w="15" w:type="dxa"/>
            <w:bottom w:w="0" w:type="dxa"/>
            <w:right w:w="15" w:type="dxa"/>
          </w:tblCellMar>
        </w:tblPrEx>
        <w:trPr>
          <w:trHeight w:val="500" w:hRule="atLeast"/>
          <w:jc w:val="center"/>
        </w:trPr>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一级指标</w:t>
            </w:r>
          </w:p>
        </w:tc>
        <w:tc>
          <w:tcPr>
            <w:tcW w:w="898"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二级指标</w:t>
            </w:r>
          </w:p>
        </w:tc>
        <w:tc>
          <w:tcPr>
            <w:tcW w:w="1473"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三级指标</w:t>
            </w:r>
          </w:p>
        </w:tc>
        <w:tc>
          <w:tcPr>
            <w:tcW w:w="952"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方法归类</w:t>
            </w:r>
          </w:p>
        </w:tc>
        <w:tc>
          <w:tcPr>
            <w:tcW w:w="3390"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计算公式</w:t>
            </w: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500" w:hRule="atLeast"/>
          <w:jc w:val="center"/>
        </w:trPr>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p>
        </w:tc>
        <w:tc>
          <w:tcPr>
            <w:tcW w:w="952" w:type="dxa"/>
            <w:vMerge w:val="continue"/>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0</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3</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6</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8</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10</w:t>
            </w:r>
          </w:p>
        </w:tc>
        <w:tc>
          <w:tcPr>
            <w:tcW w:w="1655"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c>
          <w:tcPr>
            <w:tcW w:w="792"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1020" w:hRule="atLeast"/>
          <w:jc w:val="center"/>
        </w:trPr>
        <w:tc>
          <w:tcPr>
            <w:tcW w:w="795" w:type="dxa"/>
            <w:vMerge w:val="restart"/>
            <w:tcBorders>
              <w:top w:val="single" w:color="000000" w:sz="4" w:space="0"/>
              <w:left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项目决策</w:t>
            </w:r>
          </w:p>
        </w:tc>
        <w:tc>
          <w:tcPr>
            <w:tcW w:w="898"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程序严密</w:t>
            </w:r>
          </w:p>
        </w:tc>
        <w:tc>
          <w:tcPr>
            <w:tcW w:w="14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项目设立是否属于部门职责相符，是否属于公共财政支持范围。</w:t>
            </w:r>
          </w:p>
        </w:tc>
        <w:tc>
          <w:tcPr>
            <w:tcW w:w="95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不完善</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较完善</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完善</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该项目属于本部门职责范围内</w:t>
            </w:r>
          </w:p>
        </w:tc>
        <w:tc>
          <w:tcPr>
            <w:tcW w:w="79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816" w:hRule="atLeast"/>
          <w:jc w:val="center"/>
        </w:trPr>
        <w:tc>
          <w:tcPr>
            <w:tcW w:w="795"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8"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规划合理</w:t>
            </w:r>
          </w:p>
        </w:tc>
        <w:tc>
          <w:tcPr>
            <w:tcW w:w="14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项目规划是否与项目年度目标一致</w:t>
            </w:r>
          </w:p>
        </w:tc>
        <w:tc>
          <w:tcPr>
            <w:tcW w:w="95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不合理</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较合理</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合理</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项目规划与年度目标一致</w:t>
            </w:r>
          </w:p>
        </w:tc>
        <w:tc>
          <w:tcPr>
            <w:tcW w:w="79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584" w:hRule="atLeast"/>
          <w:jc w:val="center"/>
        </w:trPr>
        <w:tc>
          <w:tcPr>
            <w:tcW w:w="795"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8"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制度完备</w:t>
            </w:r>
          </w:p>
        </w:tc>
        <w:tc>
          <w:tcPr>
            <w:tcW w:w="14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项目申报程序、实施细则等管理制度是否完善，是否存在脱离实际、缺陷、漏洞导致执行偏离预期</w:t>
            </w:r>
          </w:p>
        </w:tc>
        <w:tc>
          <w:tcPr>
            <w:tcW w:w="95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缺（错）项扣分法</w:t>
            </w:r>
          </w:p>
        </w:tc>
        <w:tc>
          <w:tcPr>
            <w:tcW w:w="3390"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发现一处扣0.5分，直至扣完</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项目申报程序严格执行厅机关项目管理办法</w:t>
            </w:r>
          </w:p>
        </w:tc>
        <w:tc>
          <w:tcPr>
            <w:tcW w:w="79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993" w:hRule="atLeast"/>
          <w:jc w:val="center"/>
        </w:trPr>
        <w:tc>
          <w:tcPr>
            <w:tcW w:w="795"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8"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使用合规</w:t>
            </w:r>
          </w:p>
        </w:tc>
        <w:tc>
          <w:tcPr>
            <w:tcW w:w="14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项目资金使用是否符合相关的财务管理制度规定</w:t>
            </w:r>
          </w:p>
        </w:tc>
        <w:tc>
          <w:tcPr>
            <w:tcW w:w="95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缺（错）项扣分法</w:t>
            </w:r>
          </w:p>
        </w:tc>
        <w:tc>
          <w:tcPr>
            <w:tcW w:w="3390"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发现一处扣0.5分，直至扣完</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资金使用严格执行厅机关经费支出管理办法</w:t>
            </w:r>
          </w:p>
        </w:tc>
        <w:tc>
          <w:tcPr>
            <w:tcW w:w="79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20" w:hRule="atLeast"/>
          <w:jc w:val="center"/>
        </w:trPr>
        <w:tc>
          <w:tcPr>
            <w:tcW w:w="795"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8"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目标完成</w:t>
            </w:r>
          </w:p>
        </w:tc>
        <w:tc>
          <w:tcPr>
            <w:tcW w:w="14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项目实施后是否完成预期目标</w:t>
            </w:r>
          </w:p>
        </w:tc>
        <w:tc>
          <w:tcPr>
            <w:tcW w:w="95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390"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项目执行完成率达到100%，绩效目标全部完成</w:t>
            </w:r>
          </w:p>
        </w:tc>
        <w:tc>
          <w:tcPr>
            <w:tcW w:w="79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850"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数量指标</w:t>
            </w:r>
          </w:p>
        </w:tc>
        <w:tc>
          <w:tcPr>
            <w:tcW w:w="14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法律援助项目受理完成法律援助案件数量</w:t>
            </w:r>
          </w:p>
        </w:tc>
        <w:tc>
          <w:tcPr>
            <w:tcW w:w="95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390"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按计划完成法律援助案件数量50000件</w:t>
            </w:r>
          </w:p>
        </w:tc>
        <w:tc>
          <w:tcPr>
            <w:tcW w:w="79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863"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数量指标</w:t>
            </w:r>
          </w:p>
        </w:tc>
        <w:tc>
          <w:tcPr>
            <w:tcW w:w="14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法律援助项目办理法律援助事项数量</w:t>
            </w:r>
          </w:p>
        </w:tc>
        <w:tc>
          <w:tcPr>
            <w:tcW w:w="95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390"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实现年初绩效目标，达到法律援助事项数量15000件</w:t>
            </w:r>
          </w:p>
        </w:tc>
        <w:tc>
          <w:tcPr>
            <w:tcW w:w="79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887"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质量指标</w:t>
            </w:r>
          </w:p>
        </w:tc>
        <w:tc>
          <w:tcPr>
            <w:tcW w:w="14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法律援助项目法律援助案件受理后完成率</w:t>
            </w:r>
          </w:p>
        </w:tc>
        <w:tc>
          <w:tcPr>
            <w:tcW w:w="95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390"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指标得分=1-(实际完成时间-计划完成时间/计划完成时间)×100%*指标分值</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按时受理完成援助案件</w:t>
            </w:r>
          </w:p>
        </w:tc>
        <w:tc>
          <w:tcPr>
            <w:tcW w:w="79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747"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数量指标</w:t>
            </w:r>
          </w:p>
        </w:tc>
        <w:tc>
          <w:tcPr>
            <w:tcW w:w="14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法律援助项目法律援助服务受援人次</w:t>
            </w:r>
          </w:p>
        </w:tc>
        <w:tc>
          <w:tcPr>
            <w:tcW w:w="95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390"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法律援助服务受援人次300000人次以上</w:t>
            </w:r>
          </w:p>
        </w:tc>
        <w:tc>
          <w:tcPr>
            <w:tcW w:w="79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129"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效益指标</w:t>
            </w:r>
          </w:p>
        </w:tc>
        <w:tc>
          <w:tcPr>
            <w:tcW w:w="89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社会效益指标</w:t>
            </w:r>
          </w:p>
        </w:tc>
        <w:tc>
          <w:tcPr>
            <w:tcW w:w="14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法律援助项目化解社会矛盾、服务群众、对社会的促进作用</w:t>
            </w:r>
          </w:p>
        </w:tc>
        <w:tc>
          <w:tcPr>
            <w:tcW w:w="95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不大</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较大</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很大</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法律援助项目化解社会矛盾、服务群众、对社会促进作用很大</w:t>
            </w:r>
          </w:p>
        </w:tc>
        <w:tc>
          <w:tcPr>
            <w:tcW w:w="79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862" w:hRule="atLeas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满意度</w:t>
            </w:r>
          </w:p>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w:t>
            </w:r>
          </w:p>
        </w:tc>
        <w:tc>
          <w:tcPr>
            <w:tcW w:w="89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满意度</w:t>
            </w:r>
          </w:p>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w:t>
            </w:r>
          </w:p>
        </w:tc>
        <w:tc>
          <w:tcPr>
            <w:tcW w:w="1473"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法律援助项目服务对象满意度</w:t>
            </w:r>
          </w:p>
        </w:tc>
        <w:tc>
          <w:tcPr>
            <w:tcW w:w="95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不满意</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较满意</w:t>
            </w: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很满意</w:t>
            </w:r>
          </w:p>
        </w:tc>
        <w:tc>
          <w:tcPr>
            <w:tcW w:w="165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法律援助受援人员满意度达到90%以上</w:t>
            </w:r>
          </w:p>
        </w:tc>
        <w:tc>
          <w:tcPr>
            <w:tcW w:w="792"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bl>
    <w:p>
      <w:pPr>
        <w:pStyle w:val="5"/>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ascii="黑体" w:hAnsi="黑体" w:eastAsia="黑体" w:cs="黑体"/>
          <w:b w:val="0"/>
          <w:bCs/>
          <w:i w:val="0"/>
          <w:iCs w:val="0"/>
          <w:sz w:val="32"/>
          <w:szCs w:val="32"/>
          <w:u w:val="none"/>
          <w:lang w:eastAsia="zh-CN"/>
        </w:rPr>
      </w:pPr>
      <w:r>
        <w:rPr>
          <w:rFonts w:ascii="黑体" w:hAnsi="黑体" w:eastAsia="黑体" w:cs="黑体"/>
          <w:b w:val="0"/>
          <w:bCs/>
          <w:i w:val="0"/>
          <w:iCs w:val="0"/>
          <w:sz w:val="32"/>
          <w:szCs w:val="32"/>
          <w:u w:val="none"/>
          <w:lang w:eastAsia="zh-CN"/>
        </w:rPr>
        <w:t>四、绩效评价分析</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楷体_GB2312" w:hAnsi="楷体_GB2312" w:eastAsia="楷体_GB2312" w:cs="楷体_GB2312"/>
          <w:i w:val="0"/>
          <w:iCs w:val="0"/>
          <w:sz w:val="32"/>
          <w:szCs w:val="32"/>
          <w:u w:val="none"/>
          <w:lang w:eastAsia="zh-CN"/>
        </w:rPr>
        <w:t>（一）项目决策情况。</w:t>
      </w:r>
      <w:r>
        <w:rPr>
          <w:rFonts w:ascii="仿宋_GB2312" w:hAnsi="仿宋_GB2312" w:eastAsia="仿宋_GB2312" w:cs="仿宋_GB2312"/>
          <w:i w:val="0"/>
          <w:iCs w:val="0"/>
          <w:sz w:val="32"/>
          <w:szCs w:val="32"/>
          <w:u w:val="none"/>
          <w:lang w:eastAsia="zh-CN"/>
        </w:rPr>
        <w:t>法律援助经费项目设立根据厅机关</w:t>
      </w:r>
      <w:r>
        <w:rPr>
          <w:rFonts w:ascii="仿宋_GB2312" w:hAnsi="仿宋_GB2312" w:eastAsia="仿宋_GB2312" w:cs="仿宋_GB2312"/>
          <w:i w:val="0"/>
          <w:iCs w:val="0"/>
          <w:sz w:val="32"/>
          <w:szCs w:val="32"/>
          <w:u w:val="none"/>
          <w:lang w:val="en-US" w:eastAsia="zh-CN"/>
        </w:rPr>
        <w:t xml:space="preserve">2020年初重点工作安排，按程序报批进入2020-2022三年滚动项目库，并纳入2020年度部门预算。 </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楷体_GB2312" w:hAnsi="楷体_GB2312" w:eastAsia="楷体_GB2312" w:cs="楷体_GB2312"/>
          <w:i w:val="0"/>
          <w:iCs w:val="0"/>
          <w:sz w:val="32"/>
          <w:szCs w:val="32"/>
          <w:u w:val="none"/>
          <w:lang w:eastAsia="zh-CN"/>
        </w:rPr>
        <w:t>（二）项目管理情况：</w:t>
      </w:r>
      <w:r>
        <w:rPr>
          <w:rFonts w:ascii="仿宋_GB2312" w:hAnsi="仿宋_GB2312" w:eastAsia="仿宋_GB2312" w:cs="仿宋_GB2312"/>
          <w:i w:val="0"/>
          <w:iCs w:val="0"/>
          <w:sz w:val="32"/>
          <w:szCs w:val="32"/>
          <w:u w:val="none"/>
          <w:lang w:eastAsia="zh-CN"/>
        </w:rPr>
        <w:t>法律援助经费项目严格按照《四川省司法厅机关项目管理办法》规定</w:t>
      </w:r>
      <w:r>
        <w:rPr>
          <w:rFonts w:ascii="仿宋_GB2312" w:hAnsi="仿宋_GB2312" w:eastAsia="仿宋_GB2312" w:cs="仿宋_GB2312"/>
          <w:i w:val="0"/>
          <w:iCs w:val="0"/>
          <w:sz w:val="32"/>
          <w:szCs w:val="32"/>
          <w:u w:val="none"/>
          <w:lang w:val="en-US" w:eastAsia="zh-CN"/>
        </w:rPr>
        <w:t>由业务部门归口管理。</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楷体_GB2312" w:hAnsi="楷体_GB2312" w:eastAsia="楷体_GB2312" w:cs="楷体_GB2312"/>
          <w:i w:val="0"/>
          <w:iCs w:val="0"/>
          <w:sz w:val="32"/>
          <w:szCs w:val="32"/>
          <w:u w:val="none"/>
          <w:lang w:eastAsia="zh-CN"/>
        </w:rPr>
        <w:t>（三）项目产出情况：</w:t>
      </w:r>
      <w:r>
        <w:rPr>
          <w:rFonts w:ascii="仿宋_GB2312" w:hAnsi="仿宋_GB2312" w:eastAsia="仿宋_GB2312" w:cs="仿宋_GB2312"/>
          <w:i w:val="0"/>
          <w:iCs w:val="0"/>
          <w:sz w:val="32"/>
          <w:szCs w:val="32"/>
          <w:u w:val="none"/>
          <w:lang w:val="en-US" w:eastAsia="zh-CN"/>
        </w:rPr>
        <w:t>2020年度法律援助经费项目包括</w:t>
      </w:r>
      <w:r>
        <w:rPr>
          <w:rFonts w:ascii="仿宋_GB2312" w:hAnsi="仿宋_GB2312" w:eastAsia="仿宋_GB2312" w:cs="仿宋_GB2312"/>
          <w:i w:val="0"/>
          <w:iCs w:val="0"/>
          <w:sz w:val="32"/>
          <w:szCs w:val="32"/>
          <w:u w:val="none"/>
          <w:lang w:eastAsia="zh-CN"/>
        </w:rPr>
        <w:t>完成法律援助案件办理、咨询、代书等服务15000人次。省法院、成都铁路法院；省检察院、成都铁路检察院通知辩护、值班律师指派全覆盖。</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楷体_GB2312" w:hAnsi="楷体_GB2312" w:eastAsia="楷体_GB2312" w:cs="楷体_GB2312"/>
          <w:i w:val="0"/>
          <w:iCs w:val="0"/>
          <w:sz w:val="32"/>
          <w:szCs w:val="32"/>
          <w:u w:val="none"/>
          <w:lang w:eastAsia="zh-CN"/>
        </w:rPr>
        <w:t>（四）项目效益情况。</w:t>
      </w:r>
      <w:r>
        <w:rPr>
          <w:rFonts w:ascii="仿宋_GB2312" w:hAnsi="仿宋_GB2312" w:eastAsia="仿宋_GB2312" w:cs="仿宋_GB2312"/>
          <w:i w:val="0"/>
          <w:iCs w:val="0"/>
          <w:sz w:val="32"/>
          <w:szCs w:val="32"/>
          <w:u w:val="none"/>
          <w:lang w:val="en-US" w:eastAsia="zh-CN"/>
        </w:rPr>
        <w:t>2020年度法律援助经费</w:t>
      </w:r>
      <w:r>
        <w:rPr>
          <w:rFonts w:ascii="仿宋_GB2312" w:hAnsi="仿宋_GB2312" w:eastAsia="仿宋_GB2312" w:cs="仿宋_GB2312"/>
          <w:i w:val="0"/>
          <w:iCs w:val="0"/>
          <w:sz w:val="32"/>
          <w:szCs w:val="32"/>
          <w:u w:val="none"/>
          <w:lang w:eastAsia="zh-CN"/>
        </w:rPr>
        <w:t>项目按计划实施完成，并实现年初绩效目标，案件受理和咨询服务时限3天以内；完成法律援助案件办理1300-1500件；公众通过各类窗口、网络需求法律咨询引导服务100%接待受理；完成法律援助案件办理、咨询、代书等服务15000人次；受援群众满意度达到95%以上等</w:t>
      </w:r>
      <w:r>
        <w:rPr>
          <w:rFonts w:ascii="仿宋_GB2312" w:hAnsi="仿宋_GB2312" w:eastAsia="仿宋_GB2312" w:cs="仿宋_GB2312"/>
          <w:i w:val="0"/>
          <w:iCs w:val="0"/>
          <w:sz w:val="32"/>
          <w:szCs w:val="32"/>
          <w:u w:val="none"/>
          <w:lang w:val="en-US" w:eastAsia="zh-CN"/>
        </w:rPr>
        <w:t>。</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rFonts w:ascii="黑体" w:hAnsi="黑体" w:eastAsia="黑体" w:cs="黑体"/>
          <w:i w:val="0"/>
          <w:iCs w:val="0"/>
          <w:sz w:val="32"/>
          <w:szCs w:val="32"/>
          <w:u w:val="none"/>
        </w:rPr>
      </w:pPr>
      <w:r>
        <w:rPr>
          <w:rFonts w:ascii="黑体" w:hAnsi="黑体" w:eastAsia="黑体" w:cs="黑体"/>
          <w:i w:val="0"/>
          <w:iCs w:val="0"/>
          <w:sz w:val="32"/>
          <w:szCs w:val="32"/>
          <w:u w:val="none"/>
        </w:rPr>
        <w:t>五、存在主要问题</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sz w:val="32"/>
          <w:szCs w:val="32"/>
        </w:rPr>
      </w:pPr>
      <w:r>
        <w:rPr>
          <w:rFonts w:ascii="仿宋_GB2312" w:hAnsi="仿宋_GB2312" w:eastAsia="仿宋_GB2312" w:cs="仿宋_GB2312"/>
          <w:i w:val="0"/>
          <w:iCs w:val="0"/>
          <w:sz w:val="32"/>
          <w:szCs w:val="32"/>
          <w:u w:val="none"/>
        </w:rPr>
        <w:t>发现的主要问题：</w:t>
      </w:r>
      <w:r>
        <w:rPr>
          <w:rFonts w:ascii="仿宋_GB2312" w:hAnsi="仿宋_GB2312" w:eastAsia="仿宋_GB2312" w:cs="仿宋_GB2312"/>
          <w:i w:val="0"/>
          <w:iCs w:val="0"/>
          <w:sz w:val="32"/>
          <w:szCs w:val="32"/>
          <w:u w:val="none"/>
          <w:lang w:eastAsia="zh-CN"/>
        </w:rPr>
        <w:t>法律援助经费项目绩效总体目标设置不够详细，数量指标三级指标描述不够具体。</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jc w:val="both"/>
        <w:textAlignment w:val="auto"/>
        <w:rPr>
          <w:rFonts w:ascii="黑体" w:hAnsi="黑体" w:eastAsia="黑体" w:cs="黑体"/>
          <w:i w:val="0"/>
          <w:iCs w:val="0"/>
          <w:sz w:val="32"/>
          <w:szCs w:val="32"/>
          <w:u w:val="none"/>
        </w:rPr>
      </w:pPr>
      <w:r>
        <w:rPr>
          <w:rFonts w:ascii="黑体" w:hAnsi="黑体" w:eastAsia="黑体" w:cs="黑体"/>
          <w:i w:val="0"/>
          <w:iCs w:val="0"/>
          <w:sz w:val="32"/>
          <w:szCs w:val="32"/>
          <w:u w:val="none"/>
        </w:rPr>
        <w:t>六、相关措施建议</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firstLine="641"/>
        <w:jc w:val="both"/>
        <w:textAlignment w:val="auto"/>
        <w:rPr>
          <w:rFonts w:ascii="仿宋_GB2312" w:hAnsi="仿宋_GB2312" w:eastAsia="仿宋_GB2312" w:cs="仿宋_GB2312"/>
          <w:i w:val="0"/>
          <w:iCs w:val="0"/>
          <w:sz w:val="32"/>
          <w:szCs w:val="32"/>
          <w:u w:val="none"/>
          <w:lang w:val="en-US" w:eastAsia="zh-CN"/>
        </w:rPr>
      </w:pPr>
      <w:r>
        <w:rPr>
          <w:rFonts w:ascii="仿宋_GB2312" w:hAnsi="仿宋_GB2312" w:eastAsia="仿宋_GB2312" w:cs="仿宋_GB2312"/>
          <w:i w:val="0"/>
          <w:iCs w:val="0"/>
          <w:sz w:val="32"/>
          <w:szCs w:val="32"/>
          <w:u w:val="none"/>
          <w:lang w:val="en-US" w:eastAsia="zh-CN"/>
        </w:rPr>
        <w:t>建议下一年度继续安排将该项目纳入部门预算，预算编制过程中项目绩效目标更加细化和全面。切实加强项目立项审查和监督力度，督促具体实施单位加快实施进度，项目单位按计划实现绩效目标。</w:t>
      </w: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overflowPunct/>
        <w:bidi w:val="0"/>
        <w:snapToGrid w:val="0"/>
        <w:spacing w:line="600" w:lineRule="exact"/>
        <w:jc w:val="center"/>
        <w:textAlignment w:val="auto"/>
        <w:rPr>
          <w:rFonts w:ascii="方正小标宋_GBK" w:hAnsi="方正小标宋_GBK" w:eastAsia="方正小标宋_GBK" w:cs="方正小标宋_GBK"/>
          <w:color w:val="000000"/>
          <w:sz w:val="44"/>
          <w:szCs w:val="44"/>
          <w:lang w:val="en-US" w:eastAsia="zh-CN"/>
        </w:rPr>
      </w:pPr>
    </w:p>
    <w:p>
      <w:pPr>
        <w:pStyle w:val="5"/>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2020年部门预算项目支出绩效自评报告</w:t>
      </w:r>
    </w:p>
    <w:p>
      <w:pPr>
        <w:pStyle w:val="5"/>
        <w:keepNext w:val="0"/>
        <w:keepLines w:val="0"/>
        <w:pageBreakBefore w:val="0"/>
        <w:widowControl w:val="0"/>
        <w:tabs>
          <w:tab w:val="left" w:pos="3885"/>
        </w:tabs>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sz w:val="32"/>
          <w:szCs w:val="32"/>
          <w:u w:val="none"/>
        </w:rPr>
        <w:t>（</w:t>
      </w:r>
      <w:r>
        <w:rPr>
          <w:rFonts w:hint="eastAsia" w:ascii="仿宋_GB2312" w:hAnsi="仿宋_GB2312" w:eastAsia="仿宋_GB2312" w:cs="仿宋_GB2312"/>
          <w:i w:val="0"/>
          <w:iCs w:val="0"/>
          <w:sz w:val="32"/>
          <w:szCs w:val="32"/>
          <w:u w:val="none"/>
          <w:lang w:eastAsia="zh-CN"/>
        </w:rPr>
        <w:t>纪检办案经费经费项目</w:t>
      </w:r>
      <w:r>
        <w:rPr>
          <w:rFonts w:hint="eastAsia" w:ascii="仿宋_GB2312" w:hAnsi="仿宋_GB2312" w:eastAsia="仿宋_GB2312" w:cs="仿宋_GB2312"/>
          <w:i w:val="0"/>
          <w:iCs w:val="0"/>
          <w:sz w:val="32"/>
          <w:szCs w:val="32"/>
          <w:u w:val="none"/>
        </w:rPr>
        <w:t>）</w:t>
      </w:r>
    </w:p>
    <w:p>
      <w:pPr>
        <w:pStyle w:val="5"/>
        <w:keepNext w:val="0"/>
        <w:keepLines w:val="0"/>
        <w:pageBreakBefore w:val="0"/>
        <w:widowControl w:val="0"/>
        <w:tabs>
          <w:tab w:val="left" w:pos="3885"/>
        </w:tabs>
        <w:kinsoku/>
        <w:wordWrap/>
        <w:overflowPunct/>
        <w:topLinePunct w:val="0"/>
        <w:autoSpaceDE/>
        <w:autoSpaceDN/>
        <w:bidi w:val="0"/>
        <w:adjustRightInd/>
        <w:snapToGrid w:val="0"/>
        <w:spacing w:line="600" w:lineRule="exact"/>
        <w:ind w:firstLine="402"/>
        <w:jc w:val="both"/>
        <w:textAlignment w:val="auto"/>
        <w:rPr>
          <w:rFonts w:ascii="宋体" w:hAnsi="宋体" w:eastAsia="楷体_GB2312" w:cs="宋体"/>
          <w:b/>
          <w:i w:val="0"/>
          <w:iCs w:val="0"/>
          <w:sz w:val="32"/>
          <w:szCs w:val="21"/>
          <w:u w:val="none"/>
        </w:rPr>
      </w:pP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left="0" w:firstLine="640"/>
        <w:jc w:val="both"/>
        <w:textAlignment w:val="auto"/>
        <w:rPr>
          <w:rFonts w:ascii="黑体" w:hAnsi="黑体" w:eastAsia="黑体" w:cs="黑体"/>
          <w:i w:val="0"/>
          <w:iCs w:val="0"/>
          <w:sz w:val="32"/>
          <w:szCs w:val="32"/>
          <w:u w:val="none"/>
          <w:lang w:eastAsia="zh-CN"/>
        </w:rPr>
      </w:pPr>
      <w:r>
        <w:rPr>
          <w:rFonts w:ascii="黑体" w:hAnsi="黑体" w:eastAsia="黑体" w:cs="黑体"/>
          <w:i w:val="0"/>
          <w:iCs w:val="0"/>
          <w:sz w:val="32"/>
          <w:szCs w:val="32"/>
          <w:u w:val="none"/>
          <w:lang w:eastAsia="zh-CN"/>
        </w:rPr>
        <w:t>一、基本情况</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570" w:lineRule="exact"/>
        <w:ind w:left="0" w:firstLine="641"/>
        <w:jc w:val="both"/>
        <w:textAlignment w:val="auto"/>
        <w:rPr>
          <w:sz w:val="32"/>
          <w:szCs w:val="32"/>
        </w:rPr>
      </w:pPr>
      <w:r>
        <w:rPr>
          <w:rFonts w:ascii="仿宋_GB2312" w:hAnsi="仿宋_GB2312" w:eastAsia="仿宋_GB2312" w:cs="仿宋_GB2312"/>
          <w:b w:val="0"/>
          <w:bCs w:val="0"/>
          <w:i w:val="0"/>
          <w:iCs w:val="0"/>
          <w:sz w:val="32"/>
          <w:szCs w:val="32"/>
          <w:u w:val="none"/>
          <w:lang w:eastAsia="zh-CN"/>
        </w:rPr>
        <w:t>厅机关纪检办案经费</w:t>
      </w:r>
      <w:r>
        <w:rPr>
          <w:rFonts w:ascii="仿宋_GB2312" w:hAnsi="仿宋_GB2312" w:eastAsia="仿宋_GB2312" w:cs="仿宋_GB2312"/>
          <w:b w:val="0"/>
          <w:bCs w:val="0"/>
          <w:i w:val="0"/>
          <w:iCs w:val="0"/>
          <w:sz w:val="32"/>
          <w:szCs w:val="32"/>
          <w:u w:val="none"/>
          <w:lang w:val="en-US" w:eastAsia="zh-CN"/>
        </w:rPr>
        <w:t>2020年度全年预算数140万元，</w:t>
      </w:r>
      <w:r>
        <w:rPr>
          <w:rFonts w:ascii="仿宋_GB2312" w:hAnsi="仿宋_GB2312" w:eastAsia="仿宋_GB2312" w:cs="仿宋_GB2312"/>
          <w:i w:val="0"/>
          <w:iCs w:val="0"/>
          <w:sz w:val="32"/>
          <w:szCs w:val="32"/>
          <w:u w:val="none"/>
        </w:rPr>
        <w:t>执行数为</w:t>
      </w:r>
      <w:r>
        <w:rPr>
          <w:rFonts w:ascii="仿宋_GB2312" w:hAnsi="仿宋_GB2312" w:eastAsia="仿宋_GB2312" w:cs="仿宋_GB2312"/>
          <w:i w:val="0"/>
          <w:iCs w:val="0"/>
          <w:sz w:val="32"/>
          <w:szCs w:val="32"/>
          <w:u w:val="none"/>
          <w:lang w:val="en-US" w:eastAsia="zh-CN"/>
        </w:rPr>
        <w:t>140</w:t>
      </w:r>
      <w:r>
        <w:rPr>
          <w:rFonts w:ascii="仿宋_GB2312" w:hAnsi="仿宋_GB2312" w:eastAsia="仿宋_GB2312" w:cs="仿宋_GB2312"/>
          <w:i w:val="0"/>
          <w:iCs w:val="0"/>
          <w:sz w:val="32"/>
          <w:szCs w:val="32"/>
          <w:u w:val="none"/>
        </w:rPr>
        <w:t>万元，完成预算的</w:t>
      </w:r>
      <w:r>
        <w:rPr>
          <w:rFonts w:ascii="仿宋_GB2312" w:hAnsi="仿宋_GB2312" w:eastAsia="仿宋_GB2312" w:cs="仿宋_GB2312"/>
          <w:i w:val="0"/>
          <w:iCs w:val="0"/>
          <w:sz w:val="32"/>
          <w:szCs w:val="32"/>
          <w:u w:val="none"/>
          <w:lang w:val="en-US" w:eastAsia="zh-CN"/>
        </w:rPr>
        <w:t>100</w:t>
      </w:r>
      <w:r>
        <w:rPr>
          <w:rFonts w:ascii="仿宋_GB2312" w:hAnsi="仿宋_GB2312" w:eastAsia="仿宋_GB2312" w:cs="仿宋_GB2312"/>
          <w:i w:val="0"/>
          <w:iCs w:val="0"/>
          <w:sz w:val="32"/>
          <w:szCs w:val="32"/>
          <w:u w:val="none"/>
        </w:rPr>
        <w:t>%。</w:t>
      </w:r>
      <w:r>
        <w:rPr>
          <w:rFonts w:ascii="仿宋_GB2312" w:hAnsi="仿宋_GB2312" w:eastAsia="仿宋_GB2312" w:cs="仿宋_GB2312"/>
          <w:b w:val="0"/>
          <w:bCs w:val="0"/>
          <w:i w:val="0"/>
          <w:iCs w:val="0"/>
          <w:sz w:val="32"/>
          <w:szCs w:val="32"/>
          <w:u w:val="none"/>
          <w:lang w:val="en-US" w:eastAsia="zh-CN"/>
        </w:rPr>
        <w:t>项目绩效总体目标是以监督、执纪、问责为主线，查处系统内违规、违纪、违法行为，教育广大民警职工，巩固已经形成的“反腐败压倒性态势”，夺取反腐败斗争压倒性生理。贯彻一届任期全覆盖的要求，以问题为导向，发问题，形成震慑，提升被巡察党委凝聚力、战斗力，促使党员领导干部遵守财经纪律、依法行政、廉洁从政。具体绩效指标：办理信访案件不少于100件；不出现冤假错案；按时上报省纪委统计数据；办理信访案件，信访对象满意度达到80%以上等。</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570" w:lineRule="exact"/>
        <w:ind w:left="0" w:firstLine="641"/>
        <w:jc w:val="both"/>
        <w:textAlignment w:val="auto"/>
        <w:rPr>
          <w:rFonts w:ascii="黑体" w:hAnsi="黑体" w:eastAsia="黑体" w:cs="黑体"/>
          <w:i w:val="0"/>
          <w:iCs w:val="0"/>
          <w:sz w:val="32"/>
          <w:szCs w:val="32"/>
          <w:u w:val="none"/>
          <w:lang w:eastAsia="zh-CN"/>
        </w:rPr>
      </w:pPr>
      <w:r>
        <w:rPr>
          <w:rFonts w:ascii="黑体" w:hAnsi="黑体" w:eastAsia="黑体" w:cs="黑体"/>
          <w:i w:val="0"/>
          <w:iCs w:val="0"/>
          <w:sz w:val="32"/>
          <w:szCs w:val="32"/>
          <w:u w:val="none"/>
          <w:lang w:eastAsia="zh-CN"/>
        </w:rPr>
        <w:t>二、评价工作开展情况</w:t>
      </w:r>
    </w:p>
    <w:p>
      <w:pPr>
        <w:pStyle w:val="5"/>
        <w:keepNext w:val="0"/>
        <w:keepLines w:val="0"/>
        <w:pageBreakBefore w:val="0"/>
        <w:widowControl w:val="0"/>
        <w:kinsoku/>
        <w:wordWrap/>
        <w:overflowPunct/>
        <w:topLinePunct w:val="0"/>
        <w:autoSpaceDE/>
        <w:autoSpaceDN/>
        <w:bidi w:val="0"/>
        <w:adjustRightInd/>
        <w:snapToGrid w:val="0"/>
        <w:spacing w:line="570" w:lineRule="exact"/>
        <w:ind w:firstLine="641"/>
        <w:jc w:val="both"/>
        <w:textAlignment w:val="auto"/>
        <w:rPr>
          <w:rFonts w:ascii="仿宋_GB2312" w:hAnsi="仿宋_GB2312" w:eastAsia="仿宋_GB2312" w:cs="仿宋_GB2312"/>
          <w:i w:val="0"/>
          <w:iCs w:val="0"/>
          <w:sz w:val="32"/>
          <w:szCs w:val="32"/>
          <w:u w:val="none"/>
          <w:lang w:eastAsia="zh-CN"/>
        </w:rPr>
      </w:pPr>
      <w:r>
        <w:rPr>
          <w:rFonts w:ascii="仿宋_GB2312" w:hAnsi="仿宋_GB2312" w:eastAsia="仿宋_GB2312" w:cs="仿宋_GB2312"/>
          <w:i w:val="0"/>
          <w:iCs w:val="0"/>
          <w:sz w:val="32"/>
          <w:szCs w:val="32"/>
          <w:u w:val="none"/>
          <w:lang w:eastAsia="zh-CN"/>
        </w:rPr>
        <w:t>我厅组织专人开展项目绩效自评，通过走访项目实施部门、查验资料和报销凭证、对收集的相关数据资料进行整理、汇总等，最终形成绩效评价报告。</w:t>
      </w:r>
    </w:p>
    <w:p>
      <w:pPr>
        <w:pStyle w:val="5"/>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570" w:lineRule="exact"/>
        <w:ind w:left="0" w:firstLine="641"/>
        <w:jc w:val="both"/>
        <w:textAlignment w:val="auto"/>
        <w:rPr>
          <w:rFonts w:ascii="黑体" w:hAnsi="黑体" w:eastAsia="黑体" w:cs="黑体"/>
          <w:i w:val="0"/>
          <w:iCs w:val="0"/>
          <w:sz w:val="32"/>
          <w:szCs w:val="32"/>
          <w:u w:val="none"/>
          <w:lang w:eastAsia="zh-CN"/>
        </w:rPr>
      </w:pPr>
      <w:r>
        <w:rPr>
          <w:rFonts w:ascii="黑体" w:hAnsi="黑体" w:eastAsia="黑体" w:cs="黑体"/>
          <w:i w:val="0"/>
          <w:iCs w:val="0"/>
          <w:sz w:val="32"/>
          <w:szCs w:val="32"/>
          <w:u w:val="none"/>
          <w:lang w:eastAsia="zh-CN"/>
        </w:rPr>
        <w:t>三、综合评价结论（附评分表）</w:t>
      </w:r>
    </w:p>
    <w:p>
      <w:pPr>
        <w:pStyle w:val="5"/>
        <w:keepNext w:val="0"/>
        <w:keepLines w:val="0"/>
        <w:pageBreakBefore w:val="0"/>
        <w:widowControl w:val="0"/>
        <w:kinsoku/>
        <w:wordWrap/>
        <w:overflowPunct/>
        <w:topLinePunct w:val="0"/>
        <w:autoSpaceDE/>
        <w:autoSpaceDN/>
        <w:bidi w:val="0"/>
        <w:adjustRightInd/>
        <w:snapToGrid w:val="0"/>
        <w:spacing w:line="570" w:lineRule="exact"/>
        <w:ind w:firstLine="641"/>
        <w:jc w:val="both"/>
        <w:textAlignment w:val="auto"/>
        <w:rPr>
          <w:rFonts w:ascii="仿宋_GB2312" w:hAnsi="仿宋_GB2312" w:eastAsia="仿宋_GB2312" w:cs="仿宋_GB2312"/>
          <w:i w:val="0"/>
          <w:iCs w:val="0"/>
          <w:sz w:val="32"/>
          <w:szCs w:val="32"/>
          <w:u w:val="none"/>
          <w:lang w:eastAsia="zh-CN"/>
        </w:rPr>
      </w:pPr>
      <w:r>
        <w:rPr>
          <w:rFonts w:ascii="仿宋_GB2312" w:hAnsi="仿宋_GB2312" w:eastAsia="仿宋_GB2312" w:cs="仿宋_GB2312"/>
          <w:i w:val="0"/>
          <w:iCs w:val="0"/>
          <w:sz w:val="32"/>
          <w:szCs w:val="32"/>
          <w:u w:val="none"/>
          <w:lang w:eastAsia="zh-CN"/>
        </w:rPr>
        <w:t>纪检办案经费项目政策依据充分，目标较明确，组织实施较为有序，通过项目实施，通过项目实施，促进党风廉政建设进一步好转。</w:t>
      </w:r>
    </w:p>
    <w:tbl>
      <w:tblPr>
        <w:tblStyle w:val="7"/>
        <w:tblW w:w="9730" w:type="dxa"/>
        <w:jc w:val="center"/>
        <w:tblInd w:w="0" w:type="dxa"/>
        <w:tblLayout w:type="fixed"/>
        <w:tblCellMar>
          <w:top w:w="15" w:type="dxa"/>
          <w:left w:w="15" w:type="dxa"/>
          <w:bottom w:w="0" w:type="dxa"/>
          <w:right w:w="15" w:type="dxa"/>
        </w:tblCellMar>
      </w:tblPr>
      <w:tblGrid>
        <w:gridCol w:w="808"/>
        <w:gridCol w:w="899"/>
        <w:gridCol w:w="1434"/>
        <w:gridCol w:w="977"/>
        <w:gridCol w:w="625"/>
        <w:gridCol w:w="625"/>
        <w:gridCol w:w="625"/>
        <w:gridCol w:w="625"/>
        <w:gridCol w:w="625"/>
        <w:gridCol w:w="1617"/>
        <w:gridCol w:w="870"/>
      </w:tblGrid>
      <w:tr>
        <w:tblPrEx>
          <w:tblLayout w:type="fixed"/>
          <w:tblCellMar>
            <w:top w:w="15" w:type="dxa"/>
            <w:left w:w="15" w:type="dxa"/>
            <w:bottom w:w="0" w:type="dxa"/>
            <w:right w:w="15" w:type="dxa"/>
          </w:tblCellMar>
        </w:tblPrEx>
        <w:trPr>
          <w:trHeight w:val="600" w:hRule="atLeast"/>
          <w:jc w:val="center"/>
        </w:trPr>
        <w:tc>
          <w:tcPr>
            <w:tcW w:w="3141" w:type="dxa"/>
            <w:gridSpan w:val="3"/>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评价指标</w:t>
            </w:r>
          </w:p>
        </w:tc>
        <w:tc>
          <w:tcPr>
            <w:tcW w:w="4102" w:type="dxa"/>
            <w:gridSpan w:val="6"/>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评分方法</w:t>
            </w:r>
          </w:p>
        </w:tc>
        <w:tc>
          <w:tcPr>
            <w:tcW w:w="1617"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项目实际情况</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得分</w:t>
            </w:r>
          </w:p>
        </w:tc>
      </w:tr>
      <w:tr>
        <w:tblPrEx>
          <w:tblLayout w:type="fixed"/>
          <w:tblCellMar>
            <w:top w:w="15" w:type="dxa"/>
            <w:left w:w="15" w:type="dxa"/>
            <w:bottom w:w="0" w:type="dxa"/>
            <w:right w:w="15" w:type="dxa"/>
          </w:tblCellMar>
        </w:tblPrEx>
        <w:trPr>
          <w:trHeight w:val="500" w:hRule="atLeast"/>
          <w:jc w:val="center"/>
        </w:trPr>
        <w:tc>
          <w:tcPr>
            <w:tcW w:w="808"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一级指标</w:t>
            </w:r>
          </w:p>
        </w:tc>
        <w:tc>
          <w:tcPr>
            <w:tcW w:w="899"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二级指标</w:t>
            </w:r>
          </w:p>
        </w:tc>
        <w:tc>
          <w:tcPr>
            <w:tcW w:w="1434"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三级指标</w:t>
            </w:r>
          </w:p>
        </w:tc>
        <w:tc>
          <w:tcPr>
            <w:tcW w:w="977" w:type="dxa"/>
            <w:vMerge w:val="restart"/>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方法归类</w:t>
            </w:r>
          </w:p>
        </w:tc>
        <w:tc>
          <w:tcPr>
            <w:tcW w:w="312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计算公式</w:t>
            </w:r>
          </w:p>
        </w:tc>
        <w:tc>
          <w:tcPr>
            <w:tcW w:w="161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500"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p>
        </w:tc>
        <w:tc>
          <w:tcPr>
            <w:tcW w:w="899" w:type="dxa"/>
            <w:vMerge w:val="continue"/>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p>
        </w:tc>
        <w:tc>
          <w:tcPr>
            <w:tcW w:w="1434" w:type="dxa"/>
            <w:vMerge w:val="continue"/>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p>
        </w:tc>
        <w:tc>
          <w:tcPr>
            <w:tcW w:w="977" w:type="dxa"/>
            <w:vMerge w:val="continue"/>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0</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3</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6</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8</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黑体" w:hAnsi="黑体" w:eastAsia="黑体" w:cs="黑体"/>
                <w:b w:val="0"/>
                <w:bCs/>
                <w:i w:val="0"/>
                <w:color w:val="000000"/>
                <w:kern w:val="0"/>
                <w:sz w:val="18"/>
                <w:szCs w:val="18"/>
                <w:u w:val="none"/>
                <w:lang w:val="en-US" w:eastAsia="zh-CN" w:bidi="ar"/>
              </w:rPr>
            </w:pPr>
            <w:r>
              <w:rPr>
                <w:rFonts w:ascii="黑体" w:hAnsi="黑体" w:eastAsia="黑体" w:cs="黑体"/>
                <w:b w:val="0"/>
                <w:bCs/>
                <w:i w:val="0"/>
                <w:color w:val="000000"/>
                <w:kern w:val="0"/>
                <w:sz w:val="18"/>
                <w:szCs w:val="18"/>
                <w:u w:val="none"/>
                <w:lang w:val="en-US" w:eastAsia="zh-CN" w:bidi="ar"/>
              </w:rPr>
              <w:t>10</w:t>
            </w:r>
          </w:p>
        </w:tc>
        <w:tc>
          <w:tcPr>
            <w:tcW w:w="1617"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b/>
                <w:i w:val="0"/>
                <w:color w:val="000000"/>
                <w:sz w:val="18"/>
                <w:szCs w:val="18"/>
                <w:u w:val="none"/>
              </w:rPr>
            </w:pPr>
          </w:p>
        </w:tc>
      </w:tr>
      <w:tr>
        <w:tblPrEx>
          <w:tblLayout w:type="fixed"/>
          <w:tblCellMar>
            <w:top w:w="15" w:type="dxa"/>
            <w:left w:w="15" w:type="dxa"/>
            <w:bottom w:w="0" w:type="dxa"/>
            <w:right w:w="15" w:type="dxa"/>
          </w:tblCellMar>
        </w:tblPrEx>
        <w:trPr>
          <w:trHeight w:val="1020" w:hRule="atLeast"/>
          <w:jc w:val="center"/>
        </w:trPr>
        <w:tc>
          <w:tcPr>
            <w:tcW w:w="808" w:type="dxa"/>
            <w:vMerge w:val="restart"/>
            <w:tcBorders>
              <w:top w:val="single" w:color="000000" w:sz="4" w:space="0"/>
              <w:left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项目决策</w:t>
            </w:r>
          </w:p>
        </w:tc>
        <w:tc>
          <w:tcPr>
            <w:tcW w:w="899"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程序严密</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项目设立是否属于部门职责相符，是否属于公共财政支持范围。</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不完善</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较完善</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完善</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该项目属于本部门职责范围内</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862" w:hRule="atLeast"/>
          <w:jc w:val="center"/>
        </w:trPr>
        <w:tc>
          <w:tcPr>
            <w:tcW w:w="808"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9"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规划合理</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项目规划是否与项目年度目标一致</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不合理</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较合理</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合理</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项目规划与年度目标一致</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480" w:hRule="atLeast"/>
          <w:jc w:val="center"/>
        </w:trPr>
        <w:tc>
          <w:tcPr>
            <w:tcW w:w="808"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9"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制度完备</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项目申报程序、实施细则等管理制度是否完善，是否存在脱离实际、缺陷、漏洞导致执行偏离预期</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缺（错）项扣分法</w:t>
            </w:r>
          </w:p>
        </w:tc>
        <w:tc>
          <w:tcPr>
            <w:tcW w:w="312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发现一处扣0.5分，直至扣完</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项目申报程序严格执行厅机关项目管理办法</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20" w:hRule="atLeast"/>
          <w:jc w:val="center"/>
        </w:trPr>
        <w:tc>
          <w:tcPr>
            <w:tcW w:w="808"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9"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使用合规</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项目资金使用是否符合相关的财务管理制度规定</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缺（错）项扣分法</w:t>
            </w:r>
          </w:p>
        </w:tc>
        <w:tc>
          <w:tcPr>
            <w:tcW w:w="312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发现一处扣0.5分，直至扣完</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资金使用严格执行厅机关经费支出管理办法</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850" w:hRule="atLeast"/>
          <w:jc w:val="center"/>
        </w:trPr>
        <w:tc>
          <w:tcPr>
            <w:tcW w:w="808" w:type="dxa"/>
            <w:vMerge w:val="continue"/>
            <w:tcBorders>
              <w:top w:val="single" w:color="000000" w:sz="4" w:space="0"/>
              <w:left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899" w:type="dxa"/>
            <w:tcBorders>
              <w:top w:val="single" w:color="000000" w:sz="4" w:space="0"/>
              <w:left w:val="single" w:color="000000" w:sz="4" w:space="0"/>
              <w:bottom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目标完成</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项目实施后是否完成预期目标</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12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项目执行完成率达到100%，绩效目标全部完成</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20"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效益指标</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社会效益指标</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纪检办案项目促进党风廉政、对社会的促进作用</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不大</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较大</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很大</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纪检办案项目促进党风廉政、对社会的促进作用很大</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20"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数量指标</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纪检办案项目巡察单位个数</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12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纪检办案项目巡察单位数量实现绩效目标</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39"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质量指标</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纪检办案项目案件办理质量情况</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12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纪检办案项目案件办理未出现冤假错案</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20"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完成指标</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数量指标</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纪检办案项目办理信访案件数量</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比率分值法</w:t>
            </w:r>
          </w:p>
        </w:tc>
        <w:tc>
          <w:tcPr>
            <w:tcW w:w="3125" w:type="dxa"/>
            <w:gridSpan w:val="5"/>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指标得分=实际完成任务量/绩效目标设定任务量×100%*指标分值</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纪检办案项目办理信访案件100%受理</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r>
        <w:tblPrEx>
          <w:tblLayout w:type="fixed"/>
          <w:tblCellMar>
            <w:top w:w="15" w:type="dxa"/>
            <w:left w:w="15" w:type="dxa"/>
            <w:bottom w:w="0" w:type="dxa"/>
            <w:right w:w="15" w:type="dxa"/>
          </w:tblCellMar>
        </w:tblPrEx>
        <w:trPr>
          <w:trHeight w:val="1020" w:hRule="atLeast"/>
          <w:jc w:val="center"/>
        </w:trPr>
        <w:tc>
          <w:tcPr>
            <w:tcW w:w="808"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满意度</w:t>
            </w:r>
          </w:p>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w:t>
            </w:r>
          </w:p>
        </w:tc>
        <w:tc>
          <w:tcPr>
            <w:tcW w:w="899"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满意度</w:t>
            </w:r>
          </w:p>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指标</w:t>
            </w:r>
          </w:p>
        </w:tc>
        <w:tc>
          <w:tcPr>
            <w:tcW w:w="1434"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服务对象满意度</w:t>
            </w:r>
          </w:p>
        </w:tc>
        <w:tc>
          <w:tcPr>
            <w:tcW w:w="97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分级评分法</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不满意</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较满意</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snapToGrid w:val="0"/>
              <w:jc w:val="center"/>
              <w:rPr>
                <w:rFonts w:ascii="仿宋_GB2312" w:hAnsi="仿宋_GB2312" w:eastAsia="仿宋_GB2312" w:cs="仿宋_GB2312"/>
                <w:i w:val="0"/>
                <w:color w:val="000000"/>
                <w:sz w:val="18"/>
                <w:szCs w:val="18"/>
                <w:u w:val="none"/>
              </w:rPr>
            </w:pP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很满意</w:t>
            </w:r>
          </w:p>
        </w:tc>
        <w:tc>
          <w:tcPr>
            <w:tcW w:w="1617"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both"/>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服务对象满意度达到90%以上</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5"/>
              <w:keepNext w:val="0"/>
              <w:keepLines w:val="0"/>
              <w:widowControl/>
              <w:jc w:val="center"/>
              <w:textAlignment w:val="center"/>
              <w:rPr>
                <w:rFonts w:ascii="仿宋_GB2312" w:hAnsi="仿宋_GB2312" w:eastAsia="仿宋_GB2312" w:cs="仿宋_GB2312"/>
                <w:i w:val="0"/>
                <w:color w:val="000000"/>
                <w:kern w:val="0"/>
                <w:sz w:val="18"/>
                <w:szCs w:val="18"/>
                <w:u w:val="none"/>
                <w:lang w:val="en-US" w:eastAsia="zh-CN" w:bidi="ar"/>
              </w:rPr>
            </w:pPr>
            <w:r>
              <w:rPr>
                <w:rFonts w:ascii="仿宋_GB2312" w:hAnsi="仿宋_GB2312" w:eastAsia="仿宋_GB2312" w:cs="仿宋_GB2312"/>
                <w:i w:val="0"/>
                <w:color w:val="000000"/>
                <w:kern w:val="0"/>
                <w:sz w:val="18"/>
                <w:szCs w:val="18"/>
                <w:u w:val="none"/>
                <w:lang w:val="en-US" w:eastAsia="zh-CN" w:bidi="ar"/>
              </w:rPr>
              <w:t>10</w:t>
            </w:r>
          </w:p>
        </w:tc>
      </w:tr>
    </w:tbl>
    <w:p>
      <w:pPr>
        <w:pStyle w:val="5"/>
        <w:keepNext w:val="0"/>
        <w:keepLines w:val="0"/>
        <w:pageBreakBefore w:val="0"/>
        <w:widowControl w:val="0"/>
        <w:kinsoku/>
        <w:wordWrap/>
        <w:overflowPunct/>
        <w:topLinePunct w:val="0"/>
        <w:autoSpaceDE/>
        <w:autoSpaceDN/>
        <w:bidi w:val="0"/>
        <w:adjustRightInd/>
        <w:snapToGrid w:val="0"/>
        <w:spacing w:line="600" w:lineRule="exact"/>
        <w:ind w:firstLine="641"/>
        <w:textAlignment w:val="auto"/>
        <w:rPr>
          <w:sz w:val="32"/>
          <w:szCs w:val="32"/>
        </w:rPr>
      </w:pPr>
      <w:r>
        <w:rPr>
          <w:rFonts w:ascii="黑体" w:hAnsi="黑体" w:eastAsia="黑体" w:cs="黑体"/>
          <w:sz w:val="32"/>
          <w:szCs w:val="32"/>
          <w:lang w:eastAsia="zh-CN"/>
        </w:rPr>
        <w:t>四、</w:t>
      </w:r>
      <w:r>
        <w:rPr>
          <w:rFonts w:ascii="黑体" w:hAnsi="黑体" w:eastAsia="黑体" w:cs="黑体"/>
          <w:b w:val="0"/>
          <w:bCs/>
          <w:sz w:val="32"/>
          <w:szCs w:val="32"/>
          <w:lang w:eastAsia="zh-CN"/>
        </w:rPr>
        <w:t>绩效评价分析</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textAlignment w:val="auto"/>
        <w:rPr>
          <w:sz w:val="32"/>
          <w:szCs w:val="32"/>
        </w:rPr>
      </w:pPr>
      <w:r>
        <w:rPr>
          <w:rFonts w:ascii="楷体_GB2312" w:hAnsi="楷体_GB2312" w:eastAsia="楷体_GB2312" w:cs="楷体_GB2312"/>
          <w:sz w:val="32"/>
          <w:szCs w:val="32"/>
          <w:lang w:eastAsia="zh-CN"/>
        </w:rPr>
        <w:t>（一）项目决策情况。</w:t>
      </w:r>
      <w:r>
        <w:rPr>
          <w:rFonts w:ascii="仿宋_GB2312" w:hAnsi="仿宋_GB2312" w:eastAsia="仿宋_GB2312" w:cs="仿宋_GB2312"/>
          <w:sz w:val="32"/>
          <w:szCs w:val="32"/>
          <w:lang w:eastAsia="zh-CN"/>
        </w:rPr>
        <w:t>纪检办案经费项目设立根据厅机关</w:t>
      </w:r>
      <w:r>
        <w:rPr>
          <w:rFonts w:ascii="仿宋_GB2312" w:hAnsi="仿宋_GB2312" w:eastAsia="仿宋_GB2312" w:cs="仿宋_GB2312"/>
          <w:sz w:val="32"/>
          <w:szCs w:val="32"/>
          <w:lang w:val="en-US" w:eastAsia="zh-CN"/>
        </w:rPr>
        <w:t xml:space="preserve">2020年初重点工作安排，按程序报批进入2020-2022三年滚动项目库，并纳入2020年度部门预算。 </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textAlignment w:val="auto"/>
        <w:rPr>
          <w:sz w:val="32"/>
          <w:szCs w:val="32"/>
        </w:rPr>
      </w:pPr>
      <w:r>
        <w:rPr>
          <w:rFonts w:ascii="楷体_GB2312" w:hAnsi="楷体_GB2312" w:eastAsia="楷体_GB2312" w:cs="楷体_GB2312"/>
          <w:sz w:val="32"/>
          <w:szCs w:val="32"/>
          <w:lang w:eastAsia="zh-CN"/>
        </w:rPr>
        <w:t>（二）项目管理情况：</w:t>
      </w:r>
      <w:r>
        <w:rPr>
          <w:rFonts w:ascii="仿宋_GB2312" w:hAnsi="仿宋_GB2312" w:eastAsia="仿宋_GB2312" w:cs="仿宋_GB2312"/>
          <w:sz w:val="32"/>
          <w:szCs w:val="32"/>
          <w:lang w:eastAsia="zh-CN"/>
        </w:rPr>
        <w:t>纪检办案经费项目严格按照《四川省司法厅机关项目管理办法》规定</w:t>
      </w:r>
      <w:r>
        <w:rPr>
          <w:rFonts w:ascii="仿宋_GB2312" w:hAnsi="仿宋_GB2312" w:eastAsia="仿宋_GB2312" w:cs="仿宋_GB2312"/>
          <w:sz w:val="32"/>
          <w:szCs w:val="32"/>
          <w:lang w:val="en-US" w:eastAsia="zh-CN"/>
        </w:rPr>
        <w:t>由业务部门归口管理。</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textAlignment w:val="auto"/>
        <w:rPr>
          <w:sz w:val="32"/>
          <w:szCs w:val="32"/>
        </w:rPr>
      </w:pPr>
      <w:r>
        <w:rPr>
          <w:rFonts w:ascii="楷体_GB2312" w:hAnsi="楷体_GB2312" w:eastAsia="楷体_GB2312" w:cs="楷体_GB2312"/>
          <w:sz w:val="32"/>
          <w:szCs w:val="32"/>
          <w:lang w:eastAsia="zh-CN"/>
        </w:rPr>
        <w:t>（三）项目产出情况：</w:t>
      </w:r>
      <w:r>
        <w:rPr>
          <w:rFonts w:ascii="仿宋_GB2312" w:hAnsi="仿宋_GB2312" w:eastAsia="仿宋_GB2312" w:cs="仿宋_GB2312"/>
          <w:sz w:val="32"/>
          <w:szCs w:val="32"/>
          <w:lang w:val="en-US" w:eastAsia="zh-CN"/>
        </w:rPr>
        <w:t>2020年度纪检办案经费项目包括</w:t>
      </w:r>
      <w:r>
        <w:rPr>
          <w:rFonts w:ascii="仿宋_GB2312" w:hAnsi="仿宋_GB2312" w:eastAsia="仿宋_GB2312" w:cs="仿宋_GB2312"/>
          <w:sz w:val="32"/>
          <w:szCs w:val="32"/>
          <w:lang w:eastAsia="zh-CN"/>
        </w:rPr>
        <w:t>查处系统内违规、违纪、违法行为，巩固已经形成的“反腐败压倒性态势”，夺取反腐败斗争压倒性胜利。提升被巡察党委凝聚力、战斗力，促使党员领导干部遵守财经纪律、依法行政、廉洁从政。</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textAlignment w:val="auto"/>
        <w:rPr>
          <w:sz w:val="32"/>
          <w:szCs w:val="32"/>
        </w:rPr>
      </w:pPr>
      <w:r>
        <w:rPr>
          <w:rFonts w:ascii="楷体_GB2312" w:hAnsi="楷体_GB2312" w:eastAsia="楷体_GB2312" w:cs="楷体_GB2312"/>
          <w:sz w:val="32"/>
          <w:szCs w:val="32"/>
          <w:lang w:eastAsia="zh-CN"/>
        </w:rPr>
        <w:t>（四）项目效益情况。</w:t>
      </w:r>
      <w:r>
        <w:rPr>
          <w:rFonts w:ascii="仿宋_GB2312" w:hAnsi="仿宋_GB2312" w:eastAsia="仿宋_GB2312" w:cs="仿宋_GB2312"/>
          <w:sz w:val="32"/>
          <w:szCs w:val="32"/>
          <w:lang w:val="en-US" w:eastAsia="zh-CN"/>
        </w:rPr>
        <w:t>2020年度普法宣传经费</w:t>
      </w:r>
      <w:r>
        <w:rPr>
          <w:rFonts w:ascii="仿宋_GB2312" w:hAnsi="仿宋_GB2312" w:eastAsia="仿宋_GB2312" w:cs="仿宋_GB2312"/>
          <w:sz w:val="32"/>
          <w:szCs w:val="32"/>
          <w:lang w:eastAsia="zh-CN"/>
        </w:rPr>
        <w:t>项目按计划实施完成，并实现年初绩效目标，办理信访案件不少于100件；未出现冤假错案；2020年12月31日以前按时上报省纪委统计数据；纪检监察工作促进党风廉政建设进一步好转；2020年度纪检办理信访案件，信访对象满意度达到80%以上</w:t>
      </w:r>
      <w:r>
        <w:rPr>
          <w:rFonts w:ascii="仿宋_GB2312" w:hAnsi="仿宋_GB2312" w:eastAsia="仿宋_GB2312" w:cs="仿宋_GB2312"/>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textAlignment w:val="auto"/>
        <w:rPr>
          <w:rFonts w:ascii="黑体" w:hAnsi="黑体" w:eastAsia="黑体" w:cs="黑体"/>
          <w:sz w:val="32"/>
          <w:szCs w:val="32"/>
          <w:lang w:eastAsia="zh-CN"/>
        </w:rPr>
      </w:pPr>
      <w:r>
        <w:rPr>
          <w:rFonts w:ascii="黑体" w:hAnsi="黑体" w:eastAsia="黑体" w:cs="黑体"/>
          <w:sz w:val="32"/>
          <w:szCs w:val="32"/>
          <w:lang w:eastAsia="zh-CN"/>
        </w:rPr>
        <w:t>五、存在主要问题</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textAlignment w:val="auto"/>
        <w:rPr>
          <w:sz w:val="32"/>
          <w:szCs w:val="32"/>
        </w:rPr>
      </w:pPr>
      <w:r>
        <w:rPr>
          <w:rFonts w:ascii="仿宋_GB2312" w:hAnsi="仿宋_GB2312" w:eastAsia="仿宋_GB2312" w:cs="仿宋_GB2312"/>
          <w:sz w:val="32"/>
          <w:szCs w:val="32"/>
        </w:rPr>
        <w:t>发现的主要问题：</w:t>
      </w:r>
      <w:r>
        <w:rPr>
          <w:rFonts w:ascii="仿宋_GB2312" w:hAnsi="仿宋_GB2312" w:eastAsia="仿宋_GB2312" w:cs="仿宋_GB2312"/>
          <w:sz w:val="32"/>
          <w:szCs w:val="32"/>
          <w:lang w:eastAsia="zh-CN"/>
        </w:rPr>
        <w:t>纪检办案经费项目绩效目标较单一，没有全面反映项目具体内容。</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1"/>
        <w:textAlignment w:val="auto"/>
        <w:rPr>
          <w:rFonts w:ascii="黑体" w:hAnsi="黑体" w:eastAsia="黑体" w:cs="黑体"/>
          <w:sz w:val="32"/>
          <w:szCs w:val="32"/>
          <w:lang w:eastAsia="zh-CN"/>
        </w:rPr>
      </w:pPr>
      <w:r>
        <w:rPr>
          <w:rFonts w:ascii="黑体" w:hAnsi="黑体" w:eastAsia="黑体" w:cs="黑体"/>
          <w:sz w:val="32"/>
          <w:szCs w:val="32"/>
          <w:lang w:eastAsia="zh-CN"/>
        </w:rPr>
        <w:t>六、相关措施建议</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firstLine="641"/>
        <w:textAlignment w:val="auto"/>
        <w:rPr>
          <w:rFonts w:ascii="仿宋_GB2312" w:hAnsi="仿宋_GB2312" w:eastAsia="仿宋_GB2312" w:cs="仿宋_GB2312"/>
          <w:sz w:val="32"/>
          <w:szCs w:val="32"/>
          <w:lang w:val="en-US" w:eastAsia="zh-CN"/>
        </w:rPr>
      </w:pPr>
      <w:r>
        <w:rPr>
          <w:rFonts w:ascii="仿宋_GB2312" w:hAnsi="仿宋_GB2312" w:eastAsia="仿宋_GB2312" w:cs="仿宋_GB2312"/>
          <w:sz w:val="32"/>
          <w:szCs w:val="32"/>
          <w:lang w:val="en-US" w:eastAsia="zh-CN"/>
        </w:rPr>
        <w:t>建议下一年度继续安排将该项目纳入部门预算，预算编制过程中项目绩效目标更加细化和全面。切实加强项目立项审查和监督力度，督促具体实施单位加快实施进度，项目单位按计划实现绩效目标。</w:t>
      </w: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5"/>
        <w:widowControl w:val="0"/>
        <w:numPr>
          <w:ilvl w:val="0"/>
          <w:numId w:val="0"/>
        </w:numPr>
        <w:kinsoku/>
        <w:overflowPunct/>
        <w:bidi w:val="0"/>
        <w:snapToGrid w:val="0"/>
        <w:spacing w:line="550" w:lineRule="exact"/>
        <w:ind w:left="0" w:firstLine="640"/>
        <w:textAlignment w:val="auto"/>
        <w:rPr>
          <w:rFonts w:ascii="仿宋_GB2312" w:hAnsi="仿宋_GB2312" w:eastAsia="仿宋_GB2312" w:cs="仿宋_GB2312"/>
          <w:sz w:val="32"/>
          <w:szCs w:val="32"/>
          <w:lang w:val="en-US" w:eastAsia="zh-CN"/>
        </w:rPr>
      </w:pPr>
    </w:p>
    <w:p>
      <w:pPr>
        <w:pStyle w:val="4"/>
        <w:rPr>
          <w:rFonts w:ascii="仿宋_GB2312" w:hAnsi="仿宋_GB2312" w:eastAsia="仿宋_GB2312" w:cs="仿宋"/>
          <w:color w:val="000000"/>
          <w:sz w:val="32"/>
          <w:szCs w:val="32"/>
          <w:lang w:val="en-US" w:eastAsia="zh-CN"/>
        </w:rPr>
      </w:pPr>
    </w:p>
    <w:p>
      <w:pPr>
        <w:pStyle w:val="25"/>
        <w:spacing w:line="560" w:lineRule="exact"/>
        <w:jc w:val="center"/>
        <w:rPr>
          <w:rFonts w:ascii="方正小标宋_GBK" w:hAnsi="方正小标宋_GBK" w:eastAsia="方正小标宋_GBK" w:cs="方正小标宋_GBK"/>
          <w:color w:val="000000"/>
          <w:sz w:val="44"/>
          <w:szCs w:val="44"/>
        </w:rPr>
      </w:pPr>
    </w:p>
    <w:p>
      <w:pPr>
        <w:pStyle w:val="25"/>
        <w:spacing w:line="560" w:lineRule="exact"/>
        <w:jc w:val="center"/>
        <w:rPr>
          <w:rFonts w:ascii="方正小标宋_GBK" w:hAnsi="方正小标宋_GBK" w:eastAsia="方正小标宋_GBK" w:cs="方正小标宋_GBK"/>
          <w:color w:val="000000"/>
          <w:sz w:val="44"/>
          <w:szCs w:val="44"/>
        </w:rPr>
      </w:pPr>
    </w:p>
    <w:p>
      <w:pPr>
        <w:pStyle w:val="25"/>
        <w:spacing w:line="560" w:lineRule="exact"/>
        <w:jc w:val="center"/>
        <w:rPr>
          <w:rFonts w:ascii="方正小标宋_GBK" w:hAnsi="方正小标宋_GBK" w:eastAsia="方正小标宋_GBK" w:cs="方正小标宋_GBK"/>
          <w:color w:val="000000"/>
          <w:sz w:val="44"/>
          <w:szCs w:val="44"/>
        </w:rPr>
      </w:pPr>
    </w:p>
    <w:p>
      <w:pPr>
        <w:pStyle w:val="25"/>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第五部分  附表</w:t>
      </w:r>
    </w:p>
    <w:p>
      <w:pPr>
        <w:pStyle w:val="25"/>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color w:val="000000"/>
          <w:sz w:val="32"/>
          <w:szCs w:val="32"/>
        </w:rPr>
      </w:pP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一、收入支出决算总表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二、收入决算表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三、支出决算表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四、财政拨款收入支出决算总表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五、财政拨款支出决算明细表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六、一般公共预算财政拨款支出决算表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七、一般公共预算财政拨款支出决算明细表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八、一般公共预算财政拨款基本支出决算表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九、一般公共预算财政拨款项目支出决算表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十、一般公共预算财政拨款“三公”经费支出决算表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十一、政府性基金预算财政拨款收入支出决算表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十二、政府性基金预算财政拨款“三公”经费支出决算表</w:t>
      </w:r>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bookmarkStart w:id="51" w:name="_Toc15396614"/>
      <w:r>
        <w:rPr>
          <w:rFonts w:ascii="仿宋_GB2312" w:hAnsi="仿宋_GB2312" w:eastAsia="仿宋_GB2312" w:cs="仿宋_GB2312"/>
          <w:color w:val="000000"/>
          <w:sz w:val="32"/>
          <w:szCs w:val="32"/>
        </w:rPr>
        <w:t>十三、国有资本经营预算财政拨款收入支出决算表</w:t>
      </w:r>
      <w:bookmarkEnd w:id="51"/>
    </w:p>
    <w:p>
      <w:pPr>
        <w:pStyle w:val="2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rPr>
      </w:pPr>
      <w:r>
        <w:rPr>
          <w:rStyle w:val="11"/>
          <w:rFonts w:ascii="仿宋_GB2312" w:hAnsi="仿宋_GB2312" w:eastAsia="仿宋_GB2312" w:cs="仿宋_GB2312"/>
          <w:b w:val="0"/>
          <w:color w:val="000000"/>
          <w:sz w:val="32"/>
          <w:szCs w:val="32"/>
        </w:rPr>
        <w:t>十四、国有资本经营预算财政拨款支出决算表</w:t>
      </w:r>
    </w:p>
    <w:sectPr>
      <w:footerReference r:id="rId5" w:type="default"/>
      <w:pgSz w:w="11906" w:h="16838"/>
      <w:pgMar w:top="2041" w:right="1587" w:bottom="2041" w:left="1587" w:header="851" w:footer="1304" w:gutter="0"/>
      <w:pgNumType w:fmt="decimal" w:start="1"/>
      <w:formProt w:val="0"/>
      <w:docGrid w:type="lines" w:linePitch="312" w:charSpace="2387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Calibri">
    <w:panose1 w:val="020F0502020204030204"/>
    <w:charset w:val="01"/>
    <w:family w:val="auto"/>
    <w:pitch w:val="default"/>
    <w:sig w:usb0="A00002EF" w:usb1="4000207B" w:usb2="00000000" w:usb3="00000000" w:csb0="2000009F" w:csb1="00000000"/>
  </w:font>
  <w:font w:name="方正小标宋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16EB5B"/>
    <w:multiLevelType w:val="singleLevel"/>
    <w:tmpl w:val="E416EB5B"/>
    <w:lvl w:ilvl="0" w:tentative="0">
      <w:start w:val="3"/>
      <w:numFmt w:val="chineseCounting"/>
      <w:suff w:val="nothing"/>
      <w:lvlText w:val="（%1）"/>
      <w:lvlJc w:val="left"/>
      <w:rPr>
        <w:rFonts w:hint="eastAsia"/>
      </w:rPr>
    </w:lvl>
  </w:abstractNum>
  <w:abstractNum w:abstractNumId="1">
    <w:nsid w:val="43A0ADC9"/>
    <w:multiLevelType w:val="singleLevel"/>
    <w:tmpl w:val="43A0ADC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08"/>
  <w:autoHyphenation/>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90D14"/>
    <w:rsid w:val="02541A1D"/>
    <w:rsid w:val="04154295"/>
    <w:rsid w:val="0A035202"/>
    <w:rsid w:val="0B447828"/>
    <w:rsid w:val="0C480D66"/>
    <w:rsid w:val="0CC66547"/>
    <w:rsid w:val="0FA652A0"/>
    <w:rsid w:val="173D2B87"/>
    <w:rsid w:val="180B1C0E"/>
    <w:rsid w:val="181E7989"/>
    <w:rsid w:val="1C996A87"/>
    <w:rsid w:val="20764BF7"/>
    <w:rsid w:val="20D94677"/>
    <w:rsid w:val="22052D65"/>
    <w:rsid w:val="224A5051"/>
    <w:rsid w:val="230A1B33"/>
    <w:rsid w:val="237D1D7B"/>
    <w:rsid w:val="23B27684"/>
    <w:rsid w:val="24035353"/>
    <w:rsid w:val="25B60D03"/>
    <w:rsid w:val="29CD0C77"/>
    <w:rsid w:val="2A0951AA"/>
    <w:rsid w:val="2A64193A"/>
    <w:rsid w:val="2B425BE3"/>
    <w:rsid w:val="2CD62CE2"/>
    <w:rsid w:val="2EE400DF"/>
    <w:rsid w:val="2F1F30C7"/>
    <w:rsid w:val="30FB3B3B"/>
    <w:rsid w:val="314F3350"/>
    <w:rsid w:val="31544A00"/>
    <w:rsid w:val="33893AE5"/>
    <w:rsid w:val="34E95127"/>
    <w:rsid w:val="359A6BAE"/>
    <w:rsid w:val="3800736B"/>
    <w:rsid w:val="3A4658C6"/>
    <w:rsid w:val="3BD4266B"/>
    <w:rsid w:val="3F0157FE"/>
    <w:rsid w:val="411F434F"/>
    <w:rsid w:val="41DF6BC0"/>
    <w:rsid w:val="45031B83"/>
    <w:rsid w:val="454B28A0"/>
    <w:rsid w:val="456F1CF2"/>
    <w:rsid w:val="4BED25D1"/>
    <w:rsid w:val="4E1F5139"/>
    <w:rsid w:val="4E3A7EEC"/>
    <w:rsid w:val="4F0C6BBD"/>
    <w:rsid w:val="4F4168C1"/>
    <w:rsid w:val="51705341"/>
    <w:rsid w:val="52591365"/>
    <w:rsid w:val="53062FBF"/>
    <w:rsid w:val="54517FD8"/>
    <w:rsid w:val="57193F51"/>
    <w:rsid w:val="57EB7B29"/>
    <w:rsid w:val="59F43251"/>
    <w:rsid w:val="5A4D1DAD"/>
    <w:rsid w:val="5BE8163E"/>
    <w:rsid w:val="5E3F368C"/>
    <w:rsid w:val="5F181F75"/>
    <w:rsid w:val="5FD507B7"/>
    <w:rsid w:val="5FEA3AD2"/>
    <w:rsid w:val="5FFA41D2"/>
    <w:rsid w:val="60FD1ABC"/>
    <w:rsid w:val="61C140DF"/>
    <w:rsid w:val="63890C57"/>
    <w:rsid w:val="64DA0A4C"/>
    <w:rsid w:val="65AE04BA"/>
    <w:rsid w:val="6AA160FB"/>
    <w:rsid w:val="6BD752EF"/>
    <w:rsid w:val="73C13631"/>
    <w:rsid w:val="74C86695"/>
    <w:rsid w:val="78484E32"/>
    <w:rsid w:val="796B1272"/>
    <w:rsid w:val="7AC46B51"/>
    <w:rsid w:val="7BA750BC"/>
    <w:rsid w:val="7D0A5CA8"/>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5"/>
    <w:qFormat/>
    <w:uiPriority w:val="0"/>
    <w:pPr>
      <w:snapToGrid w:val="0"/>
      <w:jc w:val="left"/>
    </w:pPr>
    <w:rPr>
      <w:sz w:val="18"/>
      <w:szCs w:val="18"/>
    </w:rPr>
  </w:style>
  <w:style w:type="paragraph" w:customStyle="1" w:styleId="5">
    <w:name w:val="正文12"/>
    <w:qFormat/>
    <w:uiPriority w:val="0"/>
    <w:pPr>
      <w:widowControl w:val="0"/>
      <w:suppressAutoHyphens w:val="0"/>
      <w:bidi w:val="0"/>
      <w:spacing w:beforeLines="0" w:afterLines="0"/>
      <w:jc w:val="both"/>
    </w:pPr>
    <w:rPr>
      <w:rFonts w:ascii="Times New Roman" w:hAnsi="Times New Roman" w:eastAsia="宋体" w:cs="Times New Roman"/>
      <w:color w:val="auto"/>
      <w:kern w:val="2"/>
      <w:sz w:val="21"/>
      <w:szCs w:val="24"/>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默认段落字体1"/>
    <w:qFormat/>
    <w:uiPriority w:val="0"/>
  </w:style>
  <w:style w:type="character" w:customStyle="1" w:styleId="10">
    <w:name w:val="要点1"/>
    <w:basedOn w:val="8"/>
    <w:qFormat/>
    <w:uiPriority w:val="99"/>
    <w:rPr>
      <w:b/>
    </w:rPr>
  </w:style>
  <w:style w:type="character" w:customStyle="1" w:styleId="11">
    <w:name w:val="标题 1 Char"/>
    <w:basedOn w:val="8"/>
    <w:link w:val="12"/>
    <w:qFormat/>
    <w:uiPriority w:val="9"/>
    <w:rPr>
      <w:rFonts w:ascii="Times New Roman" w:hAnsi="Times New Roman"/>
      <w:b/>
      <w:bCs/>
      <w:kern w:val="2"/>
      <w:sz w:val="44"/>
      <w:szCs w:val="44"/>
    </w:rPr>
  </w:style>
  <w:style w:type="paragraph" w:customStyle="1" w:styleId="12">
    <w:name w:val="标题 11"/>
    <w:basedOn w:val="5"/>
    <w:next w:val="5"/>
    <w:link w:val="11"/>
    <w:qFormat/>
    <w:uiPriority w:val="9"/>
    <w:pPr>
      <w:keepNext/>
      <w:keepLines/>
      <w:spacing w:line="578" w:lineRule="auto"/>
      <w:outlineLvl w:val="0"/>
    </w:pPr>
    <w:rPr>
      <w:b/>
      <w:bCs/>
      <w:kern w:val="2"/>
      <w:sz w:val="44"/>
      <w:szCs w:val="44"/>
    </w:rPr>
  </w:style>
  <w:style w:type="character" w:customStyle="1" w:styleId="13">
    <w:name w:val="标题 2 Char"/>
    <w:basedOn w:val="8"/>
    <w:link w:val="14"/>
    <w:qFormat/>
    <w:uiPriority w:val="9"/>
    <w:rPr>
      <w:rFonts w:asciiTheme="majorHAnsi" w:hAnsiTheme="majorHAnsi" w:eastAsiaTheme="majorEastAsia" w:cstheme="majorBidi"/>
      <w:b/>
      <w:bCs/>
      <w:kern w:val="2"/>
      <w:sz w:val="32"/>
      <w:szCs w:val="32"/>
    </w:rPr>
  </w:style>
  <w:style w:type="paragraph" w:customStyle="1" w:styleId="14">
    <w:name w:val="标题 21"/>
    <w:basedOn w:val="5"/>
    <w:next w:val="5"/>
    <w:link w:val="13"/>
    <w:unhideWhenUsed/>
    <w:qFormat/>
    <w:uiPriority w:val="9"/>
    <w:pPr>
      <w:keepNext/>
      <w:keepLines/>
      <w:spacing w:line="415" w:lineRule="auto"/>
      <w:outlineLvl w:val="1"/>
    </w:pPr>
    <w:rPr>
      <w:rFonts w:asciiTheme="majorHAnsi" w:hAnsiTheme="majorHAnsi" w:eastAsiaTheme="majorEastAsia" w:cstheme="majorBidi"/>
      <w:b/>
      <w:bCs/>
      <w:sz w:val="32"/>
      <w:szCs w:val="32"/>
    </w:rPr>
  </w:style>
  <w:style w:type="character" w:customStyle="1" w:styleId="15">
    <w:name w:val="font31"/>
    <w:basedOn w:val="9"/>
    <w:qFormat/>
    <w:uiPriority w:val="0"/>
    <w:rPr>
      <w:rFonts w:ascii="宋体" w:hAnsi="宋体" w:eastAsia="宋体" w:cs="宋体"/>
      <w:color w:val="000000"/>
      <w:sz w:val="16"/>
      <w:szCs w:val="16"/>
      <w:u w:val="none"/>
    </w:rPr>
  </w:style>
  <w:style w:type="character" w:customStyle="1" w:styleId="16">
    <w:name w:val="font21"/>
    <w:basedOn w:val="9"/>
    <w:qFormat/>
    <w:uiPriority w:val="0"/>
    <w:rPr>
      <w:rFonts w:ascii="宋体" w:hAnsi="宋体" w:eastAsia="宋体" w:cs="宋体"/>
      <w:color w:val="000000"/>
      <w:sz w:val="16"/>
      <w:szCs w:val="16"/>
      <w:u w:val="none"/>
    </w:rPr>
  </w:style>
  <w:style w:type="character" w:customStyle="1" w:styleId="17">
    <w:name w:val="font61"/>
    <w:basedOn w:val="9"/>
    <w:qFormat/>
    <w:uiPriority w:val="0"/>
    <w:rPr>
      <w:rFonts w:ascii="宋体" w:hAnsi="宋体" w:eastAsia="宋体" w:cs="宋体"/>
      <w:color w:val="000000"/>
      <w:sz w:val="16"/>
      <w:szCs w:val="16"/>
      <w:u w:val="none"/>
    </w:rPr>
  </w:style>
  <w:style w:type="paragraph" w:customStyle="1" w:styleId="18">
    <w:name w:val="正文文本12"/>
    <w:basedOn w:val="5"/>
    <w:qFormat/>
    <w:uiPriority w:val="99"/>
    <w:rPr>
      <w:rFonts w:ascii="仿宋_GB2312" w:hAnsi="仿宋_GB2312" w:eastAsia="仿宋_GB2312"/>
      <w:kern w:val="0"/>
      <w:sz w:val="30"/>
    </w:rPr>
  </w:style>
  <w:style w:type="paragraph" w:customStyle="1" w:styleId="19">
    <w:name w:val="页脚1"/>
    <w:basedOn w:val="5"/>
    <w:qFormat/>
    <w:uiPriority w:val="99"/>
    <w:pPr>
      <w:tabs>
        <w:tab w:val="center" w:pos="4153"/>
        <w:tab w:val="right" w:pos="8306"/>
      </w:tabs>
      <w:snapToGrid w:val="0"/>
      <w:jc w:val="left"/>
    </w:pPr>
    <w:rPr>
      <w:rFonts w:ascii="Calibri" w:hAnsi="Calibri"/>
      <w:kern w:val="0"/>
      <w:sz w:val="18"/>
      <w:szCs w:val="18"/>
    </w:rPr>
  </w:style>
  <w:style w:type="paragraph" w:customStyle="1" w:styleId="20">
    <w:name w:val="页眉1"/>
    <w:basedOn w:val="5"/>
    <w:semiHidden/>
    <w:qFormat/>
    <w:uiPriority w:val="99"/>
    <w:pPr>
      <w:pBdr>
        <w:bottom w:val="single" w:color="000000" w:sz="6" w:space="1"/>
      </w:pBdr>
      <w:tabs>
        <w:tab w:val="center" w:pos="4153"/>
        <w:tab w:val="right" w:pos="8306"/>
      </w:tabs>
      <w:snapToGrid w:val="0"/>
      <w:jc w:val="center"/>
    </w:pPr>
    <w:rPr>
      <w:rFonts w:ascii="Calibri" w:hAnsi="Calibri"/>
      <w:kern w:val="0"/>
      <w:sz w:val="18"/>
      <w:szCs w:val="18"/>
    </w:rPr>
  </w:style>
  <w:style w:type="paragraph" w:customStyle="1" w:styleId="21">
    <w:name w:val="目录 11"/>
    <w:basedOn w:val="5"/>
    <w:next w:val="5"/>
    <w:unhideWhenUsed/>
    <w:qFormat/>
    <w:uiPriority w:val="39"/>
    <w:pPr>
      <w:tabs>
        <w:tab w:val="right" w:leader="dot" w:pos="8296"/>
      </w:tabs>
      <w:jc w:val="center"/>
    </w:pPr>
    <w:rPr>
      <w:rFonts w:ascii="仿宋" w:hAnsi="仿宋" w:eastAsia="仿宋"/>
      <w:sz w:val="28"/>
      <w:szCs w:val="28"/>
    </w:rPr>
  </w:style>
  <w:style w:type="paragraph" w:customStyle="1" w:styleId="22">
    <w:name w:val="目录 21"/>
    <w:basedOn w:val="5"/>
    <w:next w:val="5"/>
    <w:unhideWhenUsed/>
    <w:qFormat/>
    <w:uiPriority w:val="39"/>
    <w:pPr>
      <w:tabs>
        <w:tab w:val="right" w:leader="dot" w:pos="8296"/>
      </w:tabs>
      <w:ind w:left="420"/>
    </w:pPr>
  </w:style>
  <w:style w:type="paragraph" w:customStyle="1" w:styleId="23">
    <w:name w:val="Default"/>
    <w:qFormat/>
    <w:uiPriority w:val="99"/>
    <w:pPr>
      <w:widowControl w:val="0"/>
      <w:suppressAutoHyphens w:val="0"/>
      <w:bidi w:val="0"/>
      <w:spacing w:beforeLines="0" w:afterLines="0"/>
      <w:jc w:val="left"/>
    </w:pPr>
    <w:rPr>
      <w:rFonts w:ascii="仿宋" w:hAnsi="仿宋" w:eastAsia="仿宋" w:cs="仿宋"/>
      <w:color w:val="000000"/>
      <w:kern w:val="0"/>
      <w:sz w:val="24"/>
      <w:szCs w:val="24"/>
      <w:lang w:val="en-US" w:eastAsia="zh-CN" w:bidi="ar-SA"/>
    </w:rPr>
  </w:style>
  <w:style w:type="paragraph" w:customStyle="1" w:styleId="24">
    <w:name w:val="列表段落"/>
    <w:basedOn w:val="5"/>
    <w:qFormat/>
    <w:uiPriority w:val="99"/>
    <w:pPr>
      <w:ind w:firstLineChars="200"/>
    </w:pPr>
  </w:style>
  <w:style w:type="paragraph" w:customStyle="1" w:styleId="25">
    <w:name w:val="正文11"/>
    <w:next w:val="26"/>
    <w:qFormat/>
    <w:uiPriority w:val="0"/>
    <w:pPr>
      <w:widowControl w:val="0"/>
      <w:suppressAutoHyphens w:val="0"/>
      <w:bidi w:val="0"/>
      <w:spacing w:beforeLines="0" w:afterLines="0"/>
      <w:jc w:val="both"/>
    </w:pPr>
    <w:rPr>
      <w:rFonts w:ascii="Calibri" w:hAnsi="Calibri" w:eastAsia="宋体" w:cs="Times New Roman"/>
      <w:color w:val="auto"/>
      <w:kern w:val="0"/>
      <w:sz w:val="20"/>
      <w:szCs w:val="20"/>
      <w:lang w:val="en-US" w:eastAsia="zh-CN" w:bidi="hi-IN"/>
    </w:rPr>
  </w:style>
  <w:style w:type="paragraph" w:customStyle="1" w:styleId="26">
    <w:name w:val="正文文本11"/>
    <w:basedOn w:val="25"/>
    <w:qFormat/>
    <w:uiPriority w:val="0"/>
    <w:rPr>
      <w:rFonts w:ascii="仿宋_GB2312" w:hAnsi="仿宋_GB2312" w:eastAsia="仿宋_GB2312" w:cs="仿宋_GB2312"/>
      <w:kern w:val="0"/>
      <w:sz w:val="30"/>
    </w:rPr>
  </w:style>
  <w:style w:type="paragraph" w:customStyle="1" w:styleId="27">
    <w:name w:val="正文1"/>
    <w:next w:val="28"/>
    <w:qFormat/>
    <w:uiPriority w:val="0"/>
    <w:pPr>
      <w:widowControl w:val="0"/>
      <w:suppressAutoHyphens w:val="0"/>
      <w:bidi w:val="0"/>
      <w:spacing w:beforeLines="0" w:afterLines="0"/>
      <w:jc w:val="both"/>
    </w:pPr>
    <w:rPr>
      <w:rFonts w:ascii="Times New Roman" w:hAnsi="Times New Roman" w:eastAsia="宋体" w:cs="Times New Roman"/>
      <w:color w:val="auto"/>
      <w:kern w:val="2"/>
      <w:sz w:val="21"/>
      <w:szCs w:val="24"/>
      <w:lang w:val="en-US" w:eastAsia="zh-CN" w:bidi="ar-SA"/>
    </w:rPr>
  </w:style>
  <w:style w:type="paragraph" w:customStyle="1" w:styleId="28">
    <w:name w:val="正文文本1"/>
    <w:basedOn w:val="27"/>
    <w:qFormat/>
    <w:uiPriority w:val="0"/>
    <w:rPr>
      <w:rFonts w:ascii="仿宋_GB2312" w:hAnsi="仿宋_GB2312" w:eastAsia="仿宋_GB2312" w:cs="仿宋_GB2312"/>
      <w:kern w:val="0"/>
      <w:sz w:val="3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63997352746525"/>
          <c:y val="0.0542690058479532"/>
          <c:w val="0.795830575777631"/>
          <c:h val="0.825497076023392"/>
        </c:manualLayout>
      </c:layout>
      <c:barChart>
        <c:barDir val="col"/>
        <c:grouping val="clustered"/>
        <c:varyColors val="0"/>
        <c:ser>
          <c:idx val="0"/>
          <c:order val="0"/>
          <c:tx>
            <c:strRef>
              <c:f>label 0</c:f>
              <c:strCache>
                <c:ptCount val="1"/>
                <c:pt idx="0">
                  <c:v>行 2</c:v>
                </c:pt>
              </c:strCache>
            </c:strRef>
          </c:tx>
          <c:spPr>
            <a:solidFill>
              <a:srgbClr val="4F81BD"/>
            </a:solidFill>
            <a:ln w="0">
              <a:noFill/>
            </a:ln>
          </c:spPr>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spc="-1" baseline="0">
                        <a:solidFill>
                          <a:srgbClr val="000000"/>
                        </a:solidFill>
                        <a:latin typeface="Calibri" panose="020F0502020204030204"/>
                        <a:ea typeface="+mn-ea"/>
                        <a:cs typeface="+mn-cs"/>
                      </a:defRPr>
                    </a:pPr>
                    <a:r>
                      <a:t>13332.7</a:t>
                    </a:r>
                    <a:r>
                      <a:rPr lang="en-US" altLang="zh-CN"/>
                      <a:t>5</a:t>
                    </a:r>
                    <a:endParaRPr lang="en-US" altLang="zh-CN"/>
                  </a:p>
                </c:rich>
              </c:tx>
              <c:dLblPos val="outEnd"/>
              <c:showLegendKey val="0"/>
              <c:showVal val="1"/>
              <c:showCatName val="0"/>
              <c:showSerName val="0"/>
              <c:showPercent val="0"/>
              <c:showBubbleSize val="1"/>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numRef>
              <c:f>categories</c:f>
              <c:numCache>
                <c:ptCount val="0"/>
              </c:numCache>
            </c:numRef>
          </c:cat>
          <c:val>
            <c:numRef>
              <c:f>0</c:f>
              <c:numCache>
                <c:formatCode>General</c:formatCode>
                <c:ptCount val="2"/>
                <c:pt idx="0">
                  <c:v>13332.76</c:v>
                </c:pt>
                <c:pt idx="1">
                  <c:v>10871.68</c:v>
                </c:pt>
              </c:numCache>
            </c:numRef>
          </c:val>
        </c:ser>
        <c:dLbls>
          <c:showLegendKey val="0"/>
          <c:showVal val="1"/>
          <c:showCatName val="0"/>
          <c:showSerName val="0"/>
          <c:showPercent val="0"/>
          <c:showBubbleSize val="1"/>
        </c:dLbls>
        <c:gapWidth val="150"/>
        <c:overlap val="0"/>
        <c:axId val="15812261"/>
        <c:axId val="8924001"/>
      </c:barChart>
      <c:catAx>
        <c:axId val="15812261"/>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8924001"/>
        <c:crosses val="autoZero"/>
        <c:auto val="1"/>
        <c:lblAlgn val="ctr"/>
        <c:lblOffset val="100"/>
        <c:noMultiLvlLbl val="0"/>
      </c:catAx>
      <c:valAx>
        <c:axId val="8924001"/>
        <c:scaling>
          <c:orientation val="minMax"/>
        </c:scaling>
        <c:delete val="1"/>
        <c:axPos val="l"/>
        <c:majorGridlines>
          <c:spPr>
            <a:ln w="9360" cap="flat" cmpd="sng" algn="ctr">
              <a:solidFill>
                <a:srgbClr val="878787"/>
              </a:solidFill>
              <a:prstDash val="solid"/>
              <a:round/>
            </a:ln>
          </c:spPr>
        </c:majorGridlines>
        <c:numFmt formatCode="General" sourceLinked="0"/>
        <c:majorTickMark val="out"/>
        <c:minorTickMark val="none"/>
        <c:tickLblPos val="none"/>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15812261"/>
        <c:crosses val="autoZero"/>
        <c:crossBetween val="between"/>
      </c:valAx>
      <c:spPr>
        <a:solidFill>
          <a:srgbClr val="FFFFFF"/>
        </a:solid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label 0</c:f>
              <c:strCache>
                <c:ptCount val="1"/>
                <c:pt idx="0">
                  <c:v>列 B</c:v>
                </c:pt>
              </c:strCache>
            </c:strRef>
          </c:tx>
          <c:spPr>
            <a:solidFill>
              <a:srgbClr val="4F81BD"/>
            </a:solidFill>
            <a:ln w="0">
              <a:noFill/>
            </a:ln>
          </c:spPr>
          <c:explosion val="0"/>
          <c:dPt>
            <c:idx val="0"/>
            <c:bubble3D val="0"/>
            <c:spPr>
              <a:solidFill>
                <a:srgbClr val="4F81BD"/>
              </a:solidFill>
              <a:ln w="0">
                <a:noFill/>
              </a:ln>
            </c:spPr>
          </c:dPt>
          <c:dPt>
            <c:idx val="1"/>
            <c:bubble3D val="0"/>
            <c:spPr>
              <a:solidFill>
                <a:srgbClr val="C0504D"/>
              </a:solidFill>
              <a:ln w="0">
                <a:noFill/>
              </a:ln>
            </c:spPr>
          </c:dPt>
          <c:dPt>
            <c:idx val="2"/>
            <c:bubble3D val="0"/>
            <c:spPr>
              <a:solidFill>
                <a:srgbClr val="9BBB59"/>
              </a:solidFill>
              <a:ln w="0">
                <a:noFill/>
              </a:ln>
            </c:spPr>
          </c:dPt>
          <c:dPt>
            <c:idx val="3"/>
            <c:bubble3D val="0"/>
            <c:spPr>
              <a:solidFill>
                <a:srgbClr val="8064A2"/>
              </a:solidFill>
              <a:ln w="0">
                <a:noFill/>
              </a:ln>
            </c:spPr>
          </c:dPt>
          <c:dLbls>
            <c:dLbl>
              <c:idx val="0"/>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4"/>
                <c:pt idx="0">
                  <c:v>2020年收入情况</c:v>
                </c:pt>
                <c:pt idx="1">
                  <c:v>一般公共预算财政拨款收入</c:v>
                </c:pt>
                <c:pt idx="2">
                  <c:v>其他收入</c:v>
                </c:pt>
                <c:pt idx="3">
                  <c:v>合计</c:v>
                </c:pt>
              </c:strCache>
            </c:strRef>
          </c:cat>
          <c:val>
            <c:numRef>
              <c:f>0</c:f>
              <c:numCache>
                <c:formatCode>General</c:formatCode>
                <c:ptCount val="4"/>
                <c:pt idx="1">
                  <c:v>13332.76</c:v>
                </c:pt>
                <c:pt idx="2">
                  <c:v>0</c:v>
                </c:pt>
                <c:pt idx="3">
                  <c:v>13332.76</c:v>
                </c:pt>
              </c:numCache>
            </c:numRef>
          </c:val>
        </c:ser>
        <c:dLbls>
          <c:showLegendKey val="0"/>
          <c:showVal val="0"/>
          <c:showCatName val="0"/>
          <c:showSerName val="0"/>
          <c:showPercent val="0"/>
          <c:showBubbleSize val="1"/>
          <c:showLeaderLines val="1"/>
        </c:dLbls>
        <c:firstSliceAng val="15"/>
      </c:pieChart>
      <c:spPr>
        <a:solidFill>
          <a:srgbClr val="D9D9D9"/>
        </a:solidFill>
        <a:ln w="0">
          <a:noFill/>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2020年支出情况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金额(万元)</c:v>
                </c:pt>
              </c:strCache>
            </c:strRef>
          </c:tx>
          <c:spPr>
            <a:solidFill>
              <a:srgbClr val="4F81BD"/>
            </a:solidFill>
            <a:ln w="0">
              <a:noFill/>
            </a:ln>
          </c:spPr>
          <c:explosion val="25"/>
          <c:dPt>
            <c:idx val="0"/>
            <c:bubble3D val="0"/>
            <c:explosion val="25"/>
            <c:spPr>
              <a:solidFill>
                <a:srgbClr val="4F81BD"/>
              </a:solidFill>
              <a:ln w="0">
                <a:noFill/>
              </a:ln>
            </c:spPr>
          </c:dPt>
          <c:dPt>
            <c:idx val="1"/>
            <c:bubble3D val="0"/>
            <c:explosion val="25"/>
            <c:spPr>
              <a:solidFill>
                <a:srgbClr val="C0504D"/>
              </a:solidFill>
              <a:ln w="0">
                <a:noFill/>
              </a:ln>
            </c:spPr>
          </c:dPt>
          <c:dPt>
            <c:idx val="2"/>
            <c:bubble3D val="0"/>
            <c:explosion val="25"/>
            <c:spPr>
              <a:solidFill>
                <a:srgbClr val="9BBB59"/>
              </a:solidFill>
              <a:ln w="0">
                <a:noFill/>
              </a:ln>
            </c:spPr>
          </c:dPt>
          <c:dLbls>
            <c:dLbl>
              <c:idx val="0"/>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3"/>
                <c:pt idx="0">
                  <c:v>基本支出</c:v>
                </c:pt>
                <c:pt idx="1">
                  <c:v>项目支出</c:v>
                </c:pt>
                <c:pt idx="2">
                  <c:v>合计</c:v>
                </c:pt>
              </c:strCache>
            </c:strRef>
          </c:cat>
          <c:val>
            <c:numRef>
              <c:f>0</c:f>
              <c:numCache>
                <c:formatCode>General</c:formatCode>
                <c:ptCount val="3"/>
                <c:pt idx="0">
                  <c:v>6187.8</c:v>
                </c:pt>
                <c:pt idx="1">
                  <c:v>7144.96</c:v>
                </c:pt>
                <c:pt idx="2">
                  <c:v>13332.76</c:v>
                </c:pt>
              </c:numCache>
            </c:numRef>
          </c:val>
        </c:ser>
        <c:dLbls>
          <c:showLegendKey val="0"/>
          <c:showVal val="0"/>
          <c:showCatName val="0"/>
          <c:showSerName val="0"/>
          <c:showPercent val="0"/>
          <c:showBubbleSize val="1"/>
          <c:showLeaderLines val="1"/>
        </c:dLbls>
        <c:firstSliceAng val="0"/>
      </c:pieChart>
      <c:spPr>
        <a:solidFill>
          <a:srgbClr val="FFFFFF"/>
        </a:solid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财政拨款收、支决算总计变动情况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barChart>
        <c:barDir val="col"/>
        <c:grouping val="clustered"/>
        <c:varyColors val="0"/>
        <c:ser>
          <c:idx val="0"/>
          <c:order val="0"/>
          <c:tx>
            <c:strRef>
              <c:f>label 0</c:f>
              <c:strCache>
                <c:ptCount val="1"/>
                <c:pt idx="0">
                  <c:v>金额(万元)</c:v>
                </c:pt>
              </c:strCache>
            </c:strRef>
          </c:tx>
          <c:spPr>
            <a:solidFill>
              <a:srgbClr val="4F81BD"/>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2019年</c:v>
                </c:pt>
                <c:pt idx="1">
                  <c:v>2020年</c:v>
                </c:pt>
              </c:strCache>
            </c:strRef>
          </c:cat>
          <c:val>
            <c:numRef>
              <c:f>0</c:f>
              <c:numCache>
                <c:formatCode>General</c:formatCode>
                <c:ptCount val="2"/>
                <c:pt idx="0">
                  <c:v>10871.68</c:v>
                </c:pt>
                <c:pt idx="1">
                  <c:v>13332.76</c:v>
                </c:pt>
              </c:numCache>
            </c:numRef>
          </c:val>
        </c:ser>
        <c:dLbls>
          <c:showLegendKey val="0"/>
          <c:showVal val="0"/>
          <c:showCatName val="0"/>
          <c:showSerName val="0"/>
          <c:showPercent val="0"/>
          <c:showBubbleSize val="1"/>
        </c:dLbls>
        <c:gapWidth val="150"/>
        <c:axId val="72203566"/>
        <c:axId val="66934271"/>
      </c:barChart>
      <c:catAx>
        <c:axId val="72203566"/>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66934271"/>
        <c:crosses val="autoZero"/>
        <c:auto val="1"/>
        <c:lblAlgn val="ctr"/>
        <c:lblOffset val="100"/>
        <c:noMultiLvlLbl val="0"/>
      </c:catAx>
      <c:valAx>
        <c:axId val="66934271"/>
        <c:scaling>
          <c:orientation val="minMax"/>
        </c:scaling>
        <c:delete val="0"/>
        <c:axPos val="l"/>
        <c:majorGridlines>
          <c:spPr>
            <a:ln w="9360" cap="flat" cmpd="sng" algn="ctr">
              <a:solidFill>
                <a:srgbClr val="878787"/>
              </a:solidFill>
              <a:prstDash val="solid"/>
              <a:round/>
            </a:ln>
          </c:spPr>
        </c:majorGridlines>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72203566"/>
        <c:crosses val="autoZero"/>
        <c:crossBetween val="between"/>
      </c:valAx>
      <c:spPr>
        <a:noFill/>
        <a:ln w="9360">
          <a:solidFill>
            <a:srgbClr val="878787"/>
          </a:solidFill>
          <a:round/>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一般公共预算财政拨款支出决算变动情况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barChart>
        <c:barDir val="col"/>
        <c:grouping val="standard"/>
        <c:varyColors val="0"/>
        <c:ser>
          <c:idx val="0"/>
          <c:order val="0"/>
          <c:tx>
            <c:strRef>
              <c:f>label 0</c:f>
              <c:strCache>
                <c:ptCount val="1"/>
                <c:pt idx="0">
                  <c:v>金额(万元)</c:v>
                </c:pt>
              </c:strCache>
            </c:strRef>
          </c:tx>
          <c:spPr>
            <a:solidFill>
              <a:srgbClr val="4F81BD"/>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2019年</c:v>
                </c:pt>
                <c:pt idx="1">
                  <c:v>2020年</c:v>
                </c:pt>
              </c:strCache>
            </c:strRef>
          </c:cat>
          <c:val>
            <c:numRef>
              <c:f>0</c:f>
              <c:numCache>
                <c:formatCode>General</c:formatCode>
                <c:ptCount val="2"/>
                <c:pt idx="0">
                  <c:v>10871.68</c:v>
                </c:pt>
                <c:pt idx="1">
                  <c:v>13332.76</c:v>
                </c:pt>
              </c:numCache>
            </c:numRef>
          </c:val>
        </c:ser>
        <c:dLbls>
          <c:showLegendKey val="0"/>
          <c:showVal val="0"/>
          <c:showCatName val="0"/>
          <c:showSerName val="0"/>
          <c:showPercent val="0"/>
          <c:showBubbleSize val="1"/>
        </c:dLbls>
        <c:gapWidth val="150"/>
        <c:axId val="26263056"/>
        <c:axId val="79059795"/>
      </c:barChart>
      <c:catAx>
        <c:axId val="26263056"/>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79059795"/>
        <c:crosses val="autoZero"/>
        <c:auto val="1"/>
        <c:lblAlgn val="ctr"/>
        <c:lblOffset val="100"/>
        <c:noMultiLvlLbl val="0"/>
      </c:catAx>
      <c:valAx>
        <c:axId val="79059795"/>
        <c:scaling>
          <c:orientation val="minMax"/>
        </c:scaling>
        <c:delete val="0"/>
        <c:axPos val="l"/>
        <c:majorGridlines>
          <c:spPr>
            <a:ln w="9360" cap="flat" cmpd="sng" algn="ctr">
              <a:solidFill>
                <a:srgbClr val="878787"/>
              </a:solidFill>
              <a:prstDash val="solid"/>
              <a:round/>
            </a:ln>
          </c:spPr>
        </c:majorGridlines>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26263056"/>
        <c:crosses val="autoZero"/>
        <c:crossBetween val="between"/>
      </c:valAx>
      <c:spPr>
        <a:noFill/>
        <a:ln w="9360">
          <a:solidFill>
            <a:srgbClr val="878787"/>
          </a:solidFill>
          <a:round/>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一般公共预算财政拨款支出决算结构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金额（万元）</c:v>
                </c:pt>
              </c:strCache>
            </c:strRef>
          </c:tx>
          <c:spPr>
            <a:solidFill>
              <a:srgbClr val="4F81BD"/>
            </a:solidFill>
            <a:ln w="0">
              <a:noFill/>
            </a:ln>
          </c:spPr>
          <c:explosion val="25"/>
          <c:dPt>
            <c:idx val="0"/>
            <c:bubble3D val="0"/>
            <c:explosion val="25"/>
            <c:spPr>
              <a:solidFill>
                <a:srgbClr val="4F81BD"/>
              </a:solidFill>
              <a:ln w="0">
                <a:noFill/>
              </a:ln>
            </c:spPr>
          </c:dPt>
          <c:dPt>
            <c:idx val="1"/>
            <c:bubble3D val="0"/>
            <c:explosion val="25"/>
            <c:spPr>
              <a:solidFill>
                <a:srgbClr val="C0504D"/>
              </a:solidFill>
              <a:ln w="0">
                <a:noFill/>
              </a:ln>
            </c:spPr>
          </c:dPt>
          <c:dPt>
            <c:idx val="2"/>
            <c:bubble3D val="0"/>
            <c:explosion val="25"/>
            <c:spPr>
              <a:solidFill>
                <a:srgbClr val="9BBB59"/>
              </a:solidFill>
              <a:ln w="0">
                <a:noFill/>
              </a:ln>
            </c:spPr>
          </c:dPt>
          <c:dPt>
            <c:idx val="3"/>
            <c:bubble3D val="0"/>
            <c:explosion val="25"/>
            <c:spPr>
              <a:solidFill>
                <a:srgbClr val="8064A2"/>
              </a:solidFill>
              <a:ln w="0">
                <a:noFill/>
              </a:ln>
            </c:spPr>
          </c:dPt>
          <c:dPt>
            <c:idx val="4"/>
            <c:bubble3D val="0"/>
            <c:explosion val="25"/>
            <c:spPr>
              <a:solidFill>
                <a:srgbClr val="4BACC6"/>
              </a:solidFill>
              <a:ln w="0">
                <a:noFill/>
              </a:ln>
            </c:spPr>
          </c:dPt>
          <c:dPt>
            <c:idx val="5"/>
            <c:bubble3D val="0"/>
            <c:explosion val="25"/>
            <c:spPr>
              <a:solidFill>
                <a:srgbClr val="F79646"/>
              </a:solidFill>
              <a:ln w="0">
                <a:noFill/>
              </a:ln>
            </c:spPr>
          </c:dPt>
          <c:dPt>
            <c:idx val="6"/>
            <c:bubble3D val="0"/>
            <c:explosion val="25"/>
            <c:spPr>
              <a:solidFill>
                <a:srgbClr val="314004"/>
              </a:solidFill>
              <a:ln w="0">
                <a:noFill/>
              </a:ln>
            </c:spPr>
          </c:dPt>
          <c:dLbls>
            <c:dLbl>
              <c:idx val="0"/>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5"/>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6"/>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7"/>
                <c:pt idx="0">
                  <c:v>一般公共服务（类）支出</c:v>
                </c:pt>
                <c:pt idx="1">
                  <c:v>公共安全支出</c:v>
                </c:pt>
                <c:pt idx="2">
                  <c:v>社会保障和就业（类）支出</c:v>
                </c:pt>
                <c:pt idx="3">
                  <c:v>卫生健康支出</c:v>
                </c:pt>
                <c:pt idx="4">
                  <c:v>住房保障支出</c:v>
                </c:pt>
                <c:pt idx="5">
                  <c:v>灾害防治及应急管理支出</c:v>
                </c:pt>
                <c:pt idx="6">
                  <c:v>合计</c:v>
                </c:pt>
              </c:strCache>
            </c:strRef>
          </c:cat>
          <c:val>
            <c:numRef>
              <c:f>0</c:f>
              <c:numCache>
                <c:formatCode>General</c:formatCode>
                <c:ptCount val="7"/>
                <c:pt idx="0">
                  <c:v>171</c:v>
                </c:pt>
                <c:pt idx="1">
                  <c:v>11159.22</c:v>
                </c:pt>
                <c:pt idx="2">
                  <c:v>1071.02</c:v>
                </c:pt>
                <c:pt idx="3">
                  <c:v>328.69</c:v>
                </c:pt>
                <c:pt idx="4">
                  <c:v>594.83</c:v>
                </c:pt>
                <c:pt idx="5">
                  <c:v>8</c:v>
                </c:pt>
                <c:pt idx="6">
                  <c:v>13332.76</c:v>
                </c:pt>
              </c:numCache>
            </c:numRef>
          </c:val>
        </c:ser>
        <c:dLbls>
          <c:showLegendKey val="0"/>
          <c:showVal val="0"/>
          <c:showCatName val="0"/>
          <c:showSerName val="0"/>
          <c:showPercent val="0"/>
          <c:showBubbleSize val="1"/>
          <c:showLeaderLines val="1"/>
        </c:dLbls>
        <c:firstSliceAng val="15"/>
      </c:pieChart>
      <c:spPr>
        <a:solidFill>
          <a:srgbClr val="D9D9D9"/>
        </a:solidFill>
        <a:ln w="0">
          <a:noFill/>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“三公”经费财政拨款支出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金额（万元）</c:v>
                </c:pt>
              </c:strCache>
            </c:strRef>
          </c:tx>
          <c:spPr>
            <a:solidFill>
              <a:srgbClr val="4F81BD"/>
            </a:solidFill>
            <a:ln w="0">
              <a:noFill/>
            </a:ln>
          </c:spPr>
          <c:explosion val="25"/>
          <c:dPt>
            <c:idx val="0"/>
            <c:bubble3D val="0"/>
            <c:explosion val="25"/>
            <c:spPr>
              <a:solidFill>
                <a:srgbClr val="4F81BD"/>
              </a:solidFill>
              <a:ln w="0">
                <a:noFill/>
              </a:ln>
            </c:spPr>
          </c:dPt>
          <c:dPt>
            <c:idx val="1"/>
            <c:bubble3D val="0"/>
            <c:explosion val="25"/>
            <c:spPr>
              <a:solidFill>
                <a:srgbClr val="C0504D"/>
              </a:solidFill>
              <a:ln w="0">
                <a:noFill/>
              </a:ln>
            </c:spPr>
          </c:dPt>
          <c:dPt>
            <c:idx val="2"/>
            <c:bubble3D val="0"/>
            <c:explosion val="25"/>
            <c:spPr>
              <a:solidFill>
                <a:srgbClr val="9BBB59"/>
              </a:solidFill>
              <a:ln w="0">
                <a:noFill/>
              </a:ln>
            </c:spPr>
          </c:dPt>
          <c:dPt>
            <c:idx val="3"/>
            <c:bubble3D val="0"/>
            <c:explosion val="25"/>
            <c:spPr>
              <a:solidFill>
                <a:srgbClr val="8064A2"/>
              </a:solidFill>
              <a:ln w="0">
                <a:noFill/>
              </a:ln>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0"/>
              <c:showCatName val="1"/>
              <c:showSerName val="0"/>
              <c:showPercent val="1"/>
              <c:showBubbleSize val="1"/>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0"/>
              <c:showCatName val="1"/>
              <c:showSerName val="0"/>
              <c:showPercent val="1"/>
              <c:showBubbleSize val="1"/>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0"/>
              <c:showCatName val="1"/>
              <c:showSerName val="0"/>
              <c:showPercent val="1"/>
              <c:showBubbleSize val="1"/>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0"/>
              <c:showCatName val="1"/>
              <c:showSerName val="0"/>
              <c:showPercent val="1"/>
              <c:showBubbleSize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bestFit"/>
            <c:showLegendKey val="0"/>
            <c:showVal val="0"/>
            <c:showCatName val="1"/>
            <c:showSerName val="0"/>
            <c:showPercent val="1"/>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4"/>
                <c:pt idx="0">
                  <c:v>因公出国（境）费</c:v>
                </c:pt>
                <c:pt idx="1">
                  <c:v>公务用车购置及运行维护费</c:v>
                </c:pt>
                <c:pt idx="2">
                  <c:v>公务接待费</c:v>
                </c:pt>
                <c:pt idx="3">
                  <c:v>合计</c:v>
                </c:pt>
              </c:strCache>
            </c:strRef>
          </c:cat>
          <c:val>
            <c:numRef>
              <c:f>0</c:f>
              <c:numCache>
                <c:formatCode>General</c:formatCode>
                <c:ptCount val="4"/>
                <c:pt idx="0">
                  <c:v>0</c:v>
                </c:pt>
                <c:pt idx="1">
                  <c:v>69.13</c:v>
                </c:pt>
                <c:pt idx="2">
                  <c:v>2.69</c:v>
                </c:pt>
                <c:pt idx="3">
                  <c:v>71.82</c:v>
                </c:pt>
              </c:numCache>
            </c:numRef>
          </c:val>
        </c:ser>
        <c:dLbls>
          <c:showLegendKey val="0"/>
          <c:showVal val="0"/>
          <c:showCatName val="1"/>
          <c:showSerName val="0"/>
          <c:showPercent val="1"/>
          <c:showBubbleSize val="1"/>
          <c:showLeaderLines val="1"/>
        </c:dLbls>
        <c:firstSliceAng val="0"/>
      </c:pieChart>
      <c:spPr>
        <a:solidFill>
          <a:srgbClr val="FFFFFF"/>
        </a:solidFill>
        <a:ln w="0">
          <a:noFill/>
        </a:ln>
      </c:spPr>
    </c:plotArea>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6DB11-FA07-41D7-A8A7-019BEC6E3AD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55</Pages>
  <Words>24321</Words>
  <Characters>26475</Characters>
  <Paragraphs>1072</Paragraphs>
  <TotalTime>2</TotalTime>
  <ScaleCrop>false</ScaleCrop>
  <LinksUpToDate>false</LinksUpToDate>
  <CharactersWithSpaces>26715</CharactersWithSpaces>
  <Application>WPS Office_11.8.2.8361_F1E327BC-269C-435d-A152-05C5408002CA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2021-08-22T12:49:00Z</dcterms:created>
  <dc:creator>曹颖</dc:creator>
  <cp:lastModifiedBy>YJLing</cp:lastModifiedBy>
  <cp:lastPrinted>2021-09-09T09:11:00Z</cp:lastPrinted>
  <dcterms:modified xsi:type="dcterms:W3CDTF">2022-11-23T01:15:20Z</dcterms:modified>
  <dc:title>四川省***</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