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四川省行政复议实务与理论研究课题库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190个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一、体制机制改革深化类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35个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1.行政复议践行习近平法治思想研究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2.四川省行政复议现状调查研究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3.成渝地区双城经济圈行政复议协作机制研究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4.新时代发挥行政复议制度优势研究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新发展格局下行政复议的角色定位与发展方向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6.新修订行政复议法创新制度机制的运用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7.行政复议体制改革配套机制研究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主渠道目标下行政复议面临的现实困境及路径优化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强化行政复议化解行政争议主渠道建设研究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以行政复议主渠道化解行政争议的成本效益分析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88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32"/>
          <w:szCs w:val="32"/>
          <w:lang w:val="en-US" w:eastAsia="zh-CN"/>
        </w:rPr>
        <w:t>11.行政复议主渠道效能发挥的量化评估研究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行政复议主渠道化解群体性行政争议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非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w w:val="96"/>
          <w:sz w:val="32"/>
          <w:szCs w:val="32"/>
        </w:rPr>
        <w:t>诉行政争议解决方式与行政复议主渠道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w w:val="96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w w:val="96"/>
          <w:sz w:val="32"/>
          <w:szCs w:val="32"/>
        </w:rPr>
        <w:t>的协同发展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发挥行政复议推动法治政府建设的抓手作用研究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行政复议推进法治政府建设——以政府信息公开类行政复议案件审查为视角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32"/>
          <w:szCs w:val="32"/>
          <w:lang w:eastAsia="zh-CN"/>
        </w:rPr>
        <w:t>行政复议决定执行纳入法治政府考核指标体系的可行性研究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000000"/>
          <w:spacing w:val="-6"/>
          <w:w w:val="100"/>
          <w:sz w:val="32"/>
          <w:szCs w:val="32"/>
          <w:lang w:eastAsia="zh-CN"/>
        </w:rPr>
        <w:t>过罚相当原则的适用——从行政复议监督依法行政的角度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行政复议在优化营商环境中的作用与实践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涉企行政复议案件审理机制优化研究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行政复议过程中执法为民理念问题研究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弱势群体权益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能动复议的理论与实践研究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行政复议机构的资源配置与复议效能提升研究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行政复议机构独立性与行政复议专业性、公正性研究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行政复议错案容错机制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人民政府派出机构行政复议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开发区管委会行政复议主体资格认定疑难问题研究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28.新行政复议法下行政赔偿问题研究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职能定位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行政复议专家咨询委员会的运行机制优化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行政复议主渠道建设中的公众知晓度与参与度提升策略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新媒体时代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复议舆情应对机制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民族地区行政复议工作质效提升研究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32"/>
          <w:szCs w:val="32"/>
          <w:lang w:eastAsia="zh-CN"/>
        </w:rPr>
        <w:t>行政复议在民族地区基层社会治理中的功能拓展与实践创新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二、行政争议实质化解、调解类（24个）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88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32"/>
          <w:szCs w:val="32"/>
          <w:lang w:val="en-US" w:eastAsia="zh-CN"/>
        </w:rPr>
        <w:t>36.“化解行政争议”目标导向下行政复议的功能定位与价值重塑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32"/>
          <w:szCs w:val="32"/>
          <w:lang w:val="en-US" w:eastAsia="zh-CN"/>
        </w:rPr>
        <w:t>37.行政复议化解行政争议的实效评估指标体系构建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color w:val="000000"/>
          <w:spacing w:val="-6"/>
          <w:w w:val="100"/>
          <w:sz w:val="32"/>
          <w:szCs w:val="32"/>
          <w:lang w:eastAsia="zh-CN"/>
        </w:rPr>
        <w:t>多元主体主渠道目标下协同推进行政争议实质性化解研究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行政复议实质性化解行政争议的判断标准研究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行政复议实质性化解行政争议的功能定位和路径优化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</w:t>
      </w:r>
      <w:r>
        <w:rPr>
          <w:rFonts w:hint="default" w:ascii="仿宋_GB2312" w:hAnsi="仿宋_GB2312" w:eastAsia="仿宋_GB2312" w:cs="仿宋_GB2312"/>
          <w:bCs/>
          <w:color w:val="000000"/>
          <w:spacing w:val="-20"/>
          <w:w w:val="100"/>
          <w:sz w:val="32"/>
          <w:szCs w:val="32"/>
          <w:lang w:val="en-US" w:eastAsia="zh-CN"/>
        </w:rPr>
        <w:t>政争议实质化解的“案结事了”判断标准与评价体系研究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行政复议听证程序在实质解纷中的功能发挥与规则完善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行政复议调解与诉讼调解的衔接机制研究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44.复调对接机制的规范化构建与实效提升研究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45.复调对接中调解协议的履行保障与司法确认衔接研究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行政复议法语境下的行政争议实质性化解研究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行政复议化解行政争议类型化研究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透视行政复议和解的实践困局：归因与破解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行政复议和解制度的规范化研究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行政复议调解制度的规范化建构与实践创新研究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行政复议受理前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预调解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程序规范化研究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行政复议调解协议反悔预防机制构建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行政复议调解协议履行保障机制研究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行政复议调解中的比例原则适用问题研究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大数据驱动下行政复议调解方法研究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56.行政复议调解书的可诉性研究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行政复议调解人员素能提升研究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民族地区行政复议调解制度的特色构建与实践探索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59.行政复议调解制度的域外经验借鉴与本土实践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、程序规则优化类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47个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行政复议便民服务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的创新与实践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行政复议受理窗口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涉经营主体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基层行政复议案件受理点的效能提升与优化路径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针对偏远地区的行政复议便捷申请机制探索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行政复议受理条件问题研究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行政复议申请材料简化与标准化流程研究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容缺受理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</w:rPr>
        <w:t>政复议受理环节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</w:rPr>
        <w:t>形式审查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</w:rPr>
        <w:t>实质审查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</w:rPr>
        <w:t>边界研究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行政复议申请期限的适用困境与完善建议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行政复议申请人程序性权利保障制度研究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71.行政复议申请人滥用权利的认定与规制研究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行政复议前置程序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对当事人救济成本的影响研究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行政复议前置程序的法理重构与实效优化研究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“未</w:t>
      </w:r>
      <w:r>
        <w:rPr>
          <w:rFonts w:hint="eastAsia" w:ascii="仿宋_GB2312" w:hAnsi="仿宋_GB2312" w:eastAsia="仿宋_GB2312" w:cs="仿宋_GB2312"/>
          <w:color w:val="000000"/>
          <w:w w:val="96"/>
          <w:sz w:val="32"/>
          <w:szCs w:val="32"/>
          <w:lang w:eastAsia="zh-CN"/>
        </w:rPr>
        <w:t>履行法定职责”纳入行政复议前置范围相关问题研究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行政复议案件分类受理模式的构建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行政复议案件繁简分流标准与实施路径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行政复议简易程序的适用研究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行政复议简易程序适用率偏低的成因与对策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行政复议案件审限管理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行政复议中的回避制度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行政复议普通程序听取意见研究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行政复议听证程序的规范与完善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行政复议听证笔录法律效力认定规则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行政复议中适当性审查的限度研究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行政复议适当性审查标准研究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行政复议合法性与合理性审查比较研究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行政复议中行政裁量权审查标准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行政复议中规范性文件附带审查标准研究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行政复议规范性文件审查的实践困境与纾解路径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跨区域行政复议案件处理的难点及解决思路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行政复议中止情形清单化管理研究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行政复议中止期间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争议化解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配套措施研究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复议决定书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争议焦点归纳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行政复议决定书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说理性研究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行政复议确认违法决定配套机制的完善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责令履职类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复议决定的执行期限量化标准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行政复议责令重作决定研究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责令重新作出行政行为决定的执行监督机制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99.行政复议责令重作决定的监督功能与履行保障研究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行政复议变更决定的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bCs/>
          <w:color w:val="000000"/>
          <w:spacing w:val="-20"/>
          <w:sz w:val="32"/>
          <w:szCs w:val="32"/>
          <w:lang w:eastAsia="zh-CN"/>
        </w:rPr>
        <w:t>质性化解行政争议视角下行政复议变更决定的体系定位研究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“内容不适当”复议变更决定适用问题研究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bCs/>
          <w:color w:val="000000"/>
          <w:w w:val="96"/>
          <w:sz w:val="32"/>
          <w:szCs w:val="32"/>
          <w:lang w:eastAsia="zh-CN"/>
        </w:rPr>
        <w:t>渠道目标导向下行政复议禁止不利变更的理解与适用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未履行法定职责行政复议案件办理的问题及对策研究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行政复议“程序空转”现象的实证分析与破解路径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行政复议办案质量全流程管控机制研究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、证据审查实务类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13个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行政复议举证责任问题研究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行政复议中证据规则的细化与应用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行政复议调查取证若干问题研究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110.行政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复议机关调查取证范围研究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111.行政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复议机关依职权调查取证的程序规制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行政复议中证明标准研究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电子证据在行政复议中的采信标准研究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大数据监测数据作为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证据的审查标准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行政复议中行政执法全过程记录视频证据的审查要点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行政复议中行政执法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瑕疵证据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补正限度研究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行政复议中专家辅助人意见采信规则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行政复议中行政机关逾期举证责任分配规则重构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视听资料在行政复议中的审查规则研究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、重点领域争议化解类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14个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互联网领域行政复议案件的特点与应对策略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教育领域行政复议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类案分析与优化策略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网约车行政处罚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过罚相当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复议审查标准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领域“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首违不罚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复议认定规则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124.市场监管投诉举报类行政复议案件相关问题研究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48小时条款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”行政复议中“视同工伤”的认定困境与突破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治安处罚自由裁量基准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复议审查标准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政府信息公开行政复议案件审理研究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行政复议视角下自然资源政府信息公开的优化路径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行政协议审查问题研究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.平台经济从业人员权益保障类行政复议案件研究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.民</w:t>
      </w:r>
      <w:r>
        <w:rPr>
          <w:rFonts w:hint="eastAsia" w:ascii="仿宋_GB2312" w:hAnsi="仿宋_GB2312" w:eastAsia="仿宋_GB2312" w:cs="仿宋_GB2312"/>
          <w:bCs/>
          <w:color w:val="000000"/>
          <w:spacing w:val="-20"/>
          <w:sz w:val="32"/>
          <w:szCs w:val="32"/>
          <w:lang w:eastAsia="zh-CN"/>
        </w:rPr>
        <w:t>生领域（医疗、社保、住房等）行政复议案件审理特点研究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.涉外商贸领域行政复议案件审理规则研究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133.知识产权行政处罚案件的行政复议审查标准研究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、监督指导创新类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21个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监督能动性作用下的行政复议制度改革探究——以行政复议意见书为视角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行政复议意见书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刚性约束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”的实证分析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行政复议案件回访制度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行政机关不履行行政复议决定救济机制研究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138.行政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复议变更决定后续跟踪评估机制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行政复议决定的履行激励与约束机制研究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行政复议决定的公开与社会监督机制研究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.行政复议决定履行跟踪评估与刚性约束机制研究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行政复议通报制度在执法监督中的应用研究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143.行政复议与法治督察、合法性审查联动机制研究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行政复议与纪检监察的衔接联动机制研究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行政复议机构内部监督机制的完善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行政复议质效评价指标体系研究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行政复议第三方评估机制的构建与运行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专家、律师与公众参与的协同保障模式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行政复议败诉案件反向审视机制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行政复议典型案例培育转化机制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重大、疑难、复杂的行政复议案件典型案例研究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行政复议案例库建设对引导公众选择的作用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152.行政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复议典型案例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以案释法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传播模式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.行政复议监督与行政审判监督的比较研究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bCs/>
          <w:spacing w:val="-23"/>
          <w:w w:val="97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154.市</w:t>
      </w:r>
      <w:r>
        <w:rPr>
          <w:rFonts w:hint="eastAsia" w:ascii="仿宋_GB2312" w:hAnsi="仿宋_GB2312" w:eastAsia="仿宋_GB2312" w:cs="仿宋_GB2312"/>
          <w:bCs/>
          <w:color w:val="000000"/>
          <w:spacing w:val="-23"/>
          <w:w w:val="97"/>
          <w:kern w:val="2"/>
          <w:sz w:val="32"/>
          <w:szCs w:val="32"/>
          <w:lang w:val="en-US" w:eastAsia="zh-CN" w:bidi="ar-SA"/>
        </w:rPr>
        <w:t>场监管领域投诉举报类案件复议监督“同案不同判”问题研究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、制度衔接创新类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11个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行政复议与行政诉讼的功能互补性研究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基于行政争议解决体系的协同治理理论分析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行政复议与行政诉讼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衔接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行政复议与行政诉讼证据规则衔接研究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行政复议与行政诉讼处理方式协调统一研究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行政争议解决“一站式平台”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行动复议与执法监督、法治督察、合法性审查、行政赔偿联动机制研究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行政复议机构与其他行政机关的协作机制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行政复议与公共法律服务中心衔接机制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163.将符合条件的信访案件导入行政复议渠道的机制研究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行政裁决与行政复议的协同机制研究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165.行政复议与行政公益诉讼的衔接机制研究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、能力建设提升类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行政复议人员专业化、职业化建设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专业化、职业化导向下的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行政复议官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制度研究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行政复议人员业务能力标准与培训体系构建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行政复议咨询专家库建设与专家参与机制完善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行政复议人员配置的合理性研究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行政复议人员职业保障机制研究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行复议人员容错机制探索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涉外行政复议人才储备机制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、数字赋能改革类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（信息化建设类）（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行政复议申请渠道的信息化应用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案件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绿色通道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数字化改造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行政复议案件审理的信息化技术应用研究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177.行政复议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在线调解制度研究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行政复议过程中的信息共享机制建设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行政复议全流程电子卷宗归档规范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180.行政复议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电子送达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大数据时代的行政复议信息化建设研究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182.人</w:t>
      </w:r>
      <w:r>
        <w:rPr>
          <w:rFonts w:hint="eastAsia" w:ascii="仿宋_GB2312" w:hAnsi="仿宋_GB2312" w:eastAsia="仿宋_GB2312" w:cs="仿宋_GB2312"/>
          <w:bCs/>
          <w:color w:val="000000"/>
          <w:spacing w:val="-20"/>
          <w:w w:val="102"/>
          <w:sz w:val="32"/>
          <w:szCs w:val="32"/>
          <w:lang w:val="en-US" w:eastAsia="zh-CN"/>
        </w:rPr>
        <w:t>工智能大模型在行政复议办案中的应用场景与规制研究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183.行政复议数据安全与个人信息保护研究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十、新兴领域挑战类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自动驾驶行政处罚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案件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审查特殊性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185.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字经济领域行政复议案件的法律适用难点与对策研究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人工智能监管引发行政复议案件的特殊性及应对策略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生物医药领域行政复议案件的证据规则与审查要点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低空经济、平台用工等新业态行政复议案件研究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数据产权、算法监管等前沿领域行政复议案件研究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190.生成式人工智能内容监管行政复议案件审查难点研究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/>
    <w:p>
      <w:pPr>
        <w:pStyle w:val="2"/>
      </w:pPr>
    </w:p>
    <w:p/>
    <w:p>
      <w:pPr>
        <w:pStyle w:val="2"/>
        <w:rPr>
          <w:rFonts w:hint="eastAsia" w:ascii="国标宋体" w:hAnsi="国标宋体" w:eastAsia="国标仿宋" w:cs="黑体"/>
          <w:sz w:val="32"/>
          <w:szCs w:val="32"/>
          <w:lang w:val="en-US" w:eastAsia="zh-CN"/>
        </w:rPr>
      </w:pPr>
    </w:p>
    <w:p>
      <w:pPr>
        <w:rPr>
          <w:rFonts w:hint="eastAsia" w:ascii="国标宋体" w:hAnsi="国标宋体" w:eastAsia="国标仿宋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国标宋体" w:hAnsi="国标宋体" w:eastAsia="国标仿宋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8746C"/>
    <w:rsid w:val="17D94477"/>
    <w:rsid w:val="2FD96002"/>
    <w:rsid w:val="56AA5BD2"/>
    <w:rsid w:val="684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2026-03-02T08:56:00Z</dcterms:created>
  <dc:creator>Administrator</dc:creator>
  <cp:lastModifiedBy>Administrator</cp:lastModifiedBy>
  <dcterms:modified xsi:type="dcterms:W3CDTF">2026-03-02T08:57:50Z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