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6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国标宋体" w:hAnsi="国标宋体" w:eastAsia="国标仿宋" w:cs="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国标宋体" w:hAnsi="国标宋体" w:eastAsia="国标仿宋" w:cs="黑体"/>
          <w:sz w:val="32"/>
          <w:szCs w:val="32"/>
          <w:lang w:val="en-US" w:eastAsia="zh-CN"/>
        </w:rPr>
        <w:t>2</w:t>
      </w:r>
    </w:p>
    <w:p w14:paraId="2C8CBD95">
      <w:pPr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征文格式规则</w:t>
      </w:r>
    </w:p>
    <w:p w14:paraId="53A9C77F">
      <w:pPr>
        <w:spacing w:line="240" w:lineRule="auto"/>
        <w:ind w:firstLine="640" w:firstLineChars="200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8BB5040">
      <w:pPr>
        <w:spacing w:line="240" w:lineRule="auto"/>
        <w:ind w:firstLine="0" w:firstLineChars="0"/>
        <w:jc w:val="center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第一编  总体格式规则</w:t>
      </w:r>
    </w:p>
    <w:p w14:paraId="7FC83B77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主标题为宋体小二加粗居中；一级标题为黑体小四不加粗居中；二级标题为楷体五号不加粗，但首行缩进两个字符；三级标题为宋体五号不加粗，但首行缩进两个字符。例：</w:t>
      </w:r>
    </w:p>
    <w:p w14:paraId="25654B80">
      <w:pPr>
        <w:spacing w:line="578" w:lineRule="exact"/>
        <w:jc w:val="center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宋体"/>
          <w:b/>
          <w:bCs/>
          <w:color w:val="000000"/>
          <w:sz w:val="36"/>
          <w:szCs w:val="36"/>
        </w:rPr>
        <w:t>新发展格局下行政复议的角色定位与发展方向</w:t>
      </w:r>
    </w:p>
    <w:p w14:paraId="0429E774">
      <w:pPr>
        <w:spacing w:line="578" w:lineRule="exact"/>
        <w:jc w:val="center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（宋体小二加粗居中）</w:t>
      </w:r>
    </w:p>
    <w:p w14:paraId="45727D85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</w:p>
    <w:p w14:paraId="10292923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黑体"/>
          <w:szCs w:val="21"/>
        </w:rPr>
        <w:t>摘  要</w:t>
      </w:r>
      <w:r>
        <w:rPr>
          <w:rFonts w:hint="eastAsia" w:ascii="国标宋体" w:hAnsi="国标宋体" w:eastAsia="国标仿宋" w:cs="仿宋_GB2312"/>
          <w:sz w:val="32"/>
          <w:szCs w:val="32"/>
        </w:rPr>
        <w:t>（黑体五号不加粗</w:t>
      </w:r>
      <w:r>
        <w:rPr>
          <w:rFonts w:hint="eastAsia" w:ascii="国标宋体" w:hAnsi="国标宋体" w:eastAsia="国标仿宋" w:cs="黑体"/>
          <w:szCs w:val="21"/>
        </w:rPr>
        <w:t>）：</w:t>
      </w:r>
      <w:r>
        <w:rPr>
          <w:rFonts w:hint="eastAsia" w:ascii="国标宋体" w:hAnsi="国标宋体" w:eastAsia="国标仿宋" w:cs="宋体"/>
          <w:szCs w:val="21"/>
        </w:rPr>
        <w:t>摘要内容</w:t>
      </w:r>
      <w:r>
        <w:rPr>
          <w:rFonts w:hint="eastAsia" w:ascii="国标宋体" w:hAnsi="国标宋体" w:eastAsia="国标仿宋" w:cs="仿宋_GB2312"/>
          <w:sz w:val="32"/>
          <w:szCs w:val="32"/>
        </w:rPr>
        <w:t>（宋体五号不加粗）</w:t>
      </w:r>
    </w:p>
    <w:p w14:paraId="222D83AB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黑体"/>
          <w:szCs w:val="21"/>
        </w:rPr>
        <w:t>关键词</w:t>
      </w:r>
      <w:r>
        <w:rPr>
          <w:rFonts w:hint="eastAsia" w:ascii="国标宋体" w:hAnsi="国标宋体" w:eastAsia="国标仿宋" w:cs="仿宋_GB2312"/>
          <w:sz w:val="32"/>
          <w:szCs w:val="32"/>
        </w:rPr>
        <w:t>（黑体五号不加粗）</w:t>
      </w:r>
      <w:r>
        <w:rPr>
          <w:rFonts w:hint="eastAsia" w:ascii="国标宋体" w:hAnsi="国标宋体" w:eastAsia="国标仿宋" w:cs="黑体"/>
          <w:szCs w:val="21"/>
        </w:rPr>
        <w:t>：</w:t>
      </w:r>
      <w:r>
        <w:rPr>
          <w:rFonts w:hint="eastAsia" w:ascii="国标宋体" w:hAnsi="国标宋体" w:eastAsia="国标仿宋" w:cs="宋体"/>
          <w:szCs w:val="21"/>
        </w:rPr>
        <w:t>关键词内容</w:t>
      </w:r>
      <w:r>
        <w:rPr>
          <w:rFonts w:hint="eastAsia" w:ascii="国标宋体" w:hAnsi="国标宋体" w:eastAsia="国标仿宋" w:cs="仿宋_GB2312"/>
          <w:sz w:val="32"/>
          <w:szCs w:val="32"/>
        </w:rPr>
        <w:t>（宋体五号不加粗）</w:t>
      </w:r>
    </w:p>
    <w:p w14:paraId="78F8B0EC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 xml:space="preserve">  </w:t>
      </w:r>
    </w:p>
    <w:p w14:paraId="32A16356">
      <w:pPr>
        <w:pStyle w:val="2"/>
        <w:spacing w:line="578" w:lineRule="exact"/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  <w:t>正文一级标题：</w:t>
      </w:r>
      <w:r>
        <w:rPr>
          <w:rFonts w:hint="eastAsia" w:ascii="国标宋体" w:hAnsi="国标宋体" w:eastAsia="国标仿宋" w:cs="黑体"/>
          <w:sz w:val="24"/>
          <w:szCs w:val="24"/>
        </w:rPr>
        <w:t>一、</w:t>
      </w:r>
      <w:r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  <w:t>（黑体小四不加粗居中）</w:t>
      </w:r>
    </w:p>
    <w:p w14:paraId="1866F649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正文二级标题：</w:t>
      </w:r>
      <w:r>
        <w:rPr>
          <w:rFonts w:hint="eastAsia" w:ascii="国标宋体" w:hAnsi="国标宋体" w:eastAsia="国标仿宋" w:cs="楷体_GB2312"/>
          <w:sz w:val="21"/>
          <w:szCs w:val="21"/>
        </w:rPr>
        <w:t>（一）</w:t>
      </w:r>
      <w:r>
        <w:rPr>
          <w:rFonts w:hint="eastAsia" w:ascii="国标宋体" w:hAnsi="国标宋体" w:eastAsia="国标仿宋" w:cs="仿宋_GB2312"/>
          <w:sz w:val="32"/>
          <w:szCs w:val="32"/>
        </w:rPr>
        <w:t>（楷体五号不加粗，首行缩进两个字符）</w:t>
      </w:r>
    </w:p>
    <w:p w14:paraId="3BCFFFEA">
      <w:pPr>
        <w:pStyle w:val="2"/>
        <w:spacing w:line="578" w:lineRule="exact"/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  <w:t>正文三级标题：</w:t>
      </w:r>
      <w:r>
        <w:rPr>
          <w:rFonts w:hint="eastAsia" w:ascii="国标宋体" w:hAnsi="国标宋体" w:eastAsia="国标仿宋" w:cs="宋体"/>
          <w:sz w:val="21"/>
          <w:szCs w:val="21"/>
        </w:rPr>
        <w:t>1.</w:t>
      </w:r>
      <w:r>
        <w:rPr>
          <w:rFonts w:hint="eastAsia" w:ascii="国标宋体" w:hAnsi="国标宋体" w:eastAsia="国标仿宋" w:cs="仿宋_GB2312"/>
          <w:kern w:val="2"/>
          <w:sz w:val="32"/>
          <w:szCs w:val="32"/>
          <w:lang w:val="en-US" w:eastAsia="zh-CN" w:bidi="ar-SA"/>
        </w:rPr>
        <w:t>（宋体五号不加粗，首行缩进两个字符）</w:t>
      </w:r>
    </w:p>
    <w:p w14:paraId="192AB4F9">
      <w:pPr>
        <w:spacing w:line="578" w:lineRule="exact"/>
        <w:rPr>
          <w:rFonts w:ascii="国标宋体" w:hAnsi="国标宋体" w:eastAsia="国标仿宋"/>
        </w:rPr>
      </w:pPr>
    </w:p>
    <w:p w14:paraId="711B94A3">
      <w:pPr>
        <w:spacing w:line="240" w:lineRule="auto"/>
        <w:ind w:firstLine="0" w:firstLineChars="0"/>
        <w:jc w:val="center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第二编 具体格式规则</w:t>
      </w:r>
    </w:p>
    <w:p w14:paraId="0B021B14">
      <w:pPr>
        <w:spacing w:line="578" w:lineRule="exact"/>
        <w:jc w:val="center"/>
        <w:rPr>
          <w:rFonts w:hint="eastAsia" w:ascii="国标宋体" w:hAnsi="国标宋体" w:eastAsia="国标仿宋" w:cs="仿宋_GB2312"/>
          <w:b/>
          <w:bCs/>
          <w:sz w:val="32"/>
          <w:szCs w:val="32"/>
        </w:rPr>
      </w:pPr>
      <w:r>
        <w:rPr>
          <w:rFonts w:hint="eastAsia" w:ascii="国标宋体" w:hAnsi="国标宋体" w:eastAsia="国标仿宋" w:cs="楷体_GB2312"/>
          <w:b/>
          <w:bCs/>
          <w:sz w:val="32"/>
          <w:szCs w:val="32"/>
        </w:rPr>
        <w:t>一、中英文摘要及作者格式</w:t>
      </w:r>
    </w:p>
    <w:p w14:paraId="3753CB2A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摘要字数在300-400字左右；关键词原则上应当是直接从征文题目、摘要或正文中抽取，数量约3-5个；作者情况应列出姓名、所在单位、职务或职称；通讯地址（包括省、市、邮编），排在题目与摘要之间。例：</w:t>
      </w:r>
    </w:p>
    <w:p w14:paraId="4DA74484">
      <w:pPr>
        <w:widowControl/>
        <w:shd w:val="clear" w:color="auto" w:fill="FFFFFF"/>
        <w:spacing w:line="578" w:lineRule="exact"/>
        <w:jc w:val="center"/>
        <w:rPr>
          <w:rFonts w:ascii="国标宋体" w:hAnsi="国标宋体" w:eastAsia="国标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国标宋体" w:hAnsi="国标宋体" w:eastAsia="国标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行政复议实质性化解行政争议研究——以Z市为例</w:t>
      </w:r>
    </w:p>
    <w:p w14:paraId="50AC6BE4">
      <w:pPr>
        <w:pStyle w:val="2"/>
        <w:spacing w:line="578" w:lineRule="exact"/>
        <w:jc w:val="center"/>
        <w:rPr>
          <w:rFonts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（题目与作者信息之间中间空一行）</w:t>
      </w:r>
    </w:p>
    <w:p w14:paraId="5C53F367">
      <w:pPr>
        <w:spacing w:line="578" w:lineRule="exact"/>
        <w:jc w:val="center"/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国标宋体" w:hAnsi="国标宋体" w:eastAsia="国标仿宋" w:cs="楷体"/>
          <w:sz w:val="21"/>
          <w:szCs w:val="21"/>
        </w:rPr>
        <w:t>XXX</w:t>
      </w:r>
      <w:r>
        <w:rPr>
          <w:rFonts w:hint="eastAsia" w:ascii="国标宋体" w:hAnsi="国标宋体" w:eastAsia="国标仿宋" w:cs="楷体"/>
          <w:sz w:val="32"/>
          <w:szCs w:val="32"/>
        </w:rPr>
        <w:t>（作者姓名，楷体五号不加粗）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  <w:vertAlign w:val="superscript"/>
        </w:rPr>
        <w:t>1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国标宋体" w:hAnsi="国标宋体" w:eastAsia="国标仿宋" w:cs="楷体"/>
          <w:sz w:val="21"/>
          <w:szCs w:val="21"/>
        </w:rPr>
        <w:t>XXX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  <w:vertAlign w:val="superscript"/>
        </w:rPr>
        <w:t>2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国标宋体" w:hAnsi="国标宋体" w:eastAsia="国标仿宋" w:cs="楷体"/>
          <w:sz w:val="21"/>
          <w:szCs w:val="21"/>
        </w:rPr>
        <w:t>XXX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  <w:vertAlign w:val="superscript"/>
        </w:rPr>
        <w:t>3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国标宋体" w:hAnsi="国标宋体" w:eastAsia="国标仿宋" w:cs="楷体"/>
          <w:sz w:val="21"/>
          <w:szCs w:val="21"/>
        </w:rPr>
        <w:t>XXX</w:t>
      </w:r>
      <w:r>
        <w:rPr>
          <w:rFonts w:hint="eastAsia" w:ascii="国标宋体" w:hAnsi="国标宋体" w:eastAsia="国标仿宋" w:cs="宋体"/>
          <w:color w:val="000000"/>
          <w:sz w:val="32"/>
          <w:szCs w:val="32"/>
          <w:shd w:val="clear" w:color="auto" w:fill="FFFFFF"/>
          <w:vertAlign w:val="superscript"/>
        </w:rPr>
        <w:t>4</w:t>
      </w:r>
    </w:p>
    <w:p w14:paraId="642F62E1">
      <w:pPr>
        <w:spacing w:line="578" w:lineRule="exact"/>
        <w:ind w:firstLine="640" w:firstLineChars="200"/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</w:pPr>
      <w:r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  <w:t>1.四川省自贡市荣县司法局，四川 自贡 643100 XXX股股长 ；</w:t>
      </w:r>
    </w:p>
    <w:p w14:paraId="29B199FC">
      <w:pPr>
        <w:spacing w:line="578" w:lineRule="exact"/>
        <w:ind w:firstLine="640" w:firstLineChars="200"/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</w:pPr>
      <w:r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  <w:t>2.四川省自贡市荣县司法局，四川 自贡 643100 XXX股工作人员；</w:t>
      </w:r>
    </w:p>
    <w:p w14:paraId="4CE3764C">
      <w:pPr>
        <w:spacing w:line="578" w:lineRule="exact"/>
        <w:ind w:firstLine="640" w:firstLineChars="200"/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</w:pPr>
      <w:r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  <w:t>3.四川XXX大学法学院，四川 成都 610000 教授；</w:t>
      </w:r>
    </w:p>
    <w:p w14:paraId="30CE5831">
      <w:pPr>
        <w:spacing w:line="578" w:lineRule="exact"/>
        <w:ind w:firstLine="640" w:firstLineChars="200"/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</w:pPr>
      <w:r>
        <w:rPr>
          <w:rFonts w:hint="eastAsia" w:ascii="国标宋体" w:hAnsi="国标宋体" w:eastAsia="国标仿宋" w:cs="宋体"/>
          <w:color w:val="000000"/>
          <w:szCs w:val="21"/>
          <w:shd w:val="clear" w:color="auto" w:fill="FFFFFF"/>
        </w:rPr>
        <w:t>4.四川XX律师事务所，四川 成都 610000 律师</w:t>
      </w:r>
      <w:r>
        <w:rPr>
          <w:rFonts w:hint="eastAsia" w:ascii="国标宋体" w:hAnsi="国标宋体" w:eastAsia="国标仿宋" w:cs="仿宋_GB2312"/>
          <w:spacing w:val="-23"/>
          <w:w w:val="93"/>
          <w:sz w:val="32"/>
          <w:szCs w:val="32"/>
        </w:rPr>
        <w:t>（作者基本情况，宋体五号不加粗）</w:t>
      </w:r>
    </w:p>
    <w:p w14:paraId="2D23013F">
      <w:pPr>
        <w:spacing w:line="578" w:lineRule="exact"/>
        <w:jc w:val="center"/>
        <w:rPr>
          <w:rFonts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（作者信息与摘要、关键词之间中间空一行）</w:t>
      </w:r>
    </w:p>
    <w:p w14:paraId="7694E2D1">
      <w:pPr>
        <w:spacing w:line="578" w:lineRule="exact"/>
        <w:ind w:firstLine="640" w:firstLineChars="200"/>
        <w:rPr>
          <w:rFonts w:ascii="国标宋体" w:hAnsi="国标宋体" w:eastAsia="国标仿宋" w:cs="宋体"/>
          <w:szCs w:val="21"/>
        </w:rPr>
      </w:pPr>
      <w:r>
        <w:rPr>
          <w:rFonts w:ascii="国标宋体" w:hAnsi="国标宋体" w:eastAsia="国标仿宋"/>
          <w:color w:val="000000"/>
          <w:szCs w:val="21"/>
          <w:shd w:val="clear" w:color="auto" w:fill="FFFFFF"/>
        </w:rPr>
        <w:t>摘</w:t>
      </w:r>
      <w:r>
        <w:rPr>
          <w:rFonts w:hint="eastAsia" w:ascii="国标宋体" w:hAnsi="国标宋体" w:eastAsia="国标仿宋"/>
          <w:color w:val="000000"/>
          <w:szCs w:val="21"/>
          <w:shd w:val="clear" w:color="auto" w:fill="FFFFFF"/>
        </w:rPr>
        <w:t xml:space="preserve">  </w:t>
      </w:r>
      <w:r>
        <w:rPr>
          <w:rFonts w:ascii="国标宋体" w:hAnsi="国标宋体" w:eastAsia="国标仿宋"/>
          <w:color w:val="000000"/>
          <w:szCs w:val="21"/>
          <w:shd w:val="clear" w:color="auto" w:fill="FFFFFF"/>
        </w:rPr>
        <w:t>要</w:t>
      </w:r>
      <w:r>
        <w:rPr>
          <w:rFonts w:ascii="国标宋体" w:hAnsi="国标宋体" w:eastAsia="国标仿宋"/>
          <w:color w:val="000000"/>
          <w:szCs w:val="21"/>
        </w:rPr>
        <w:t>：</w:t>
      </w:r>
      <w:r>
        <w:rPr>
          <w:rFonts w:hint="eastAsia" w:ascii="国标宋体" w:hAnsi="国标宋体" w:eastAsia="国标仿宋" w:cs="宋体"/>
          <w:szCs w:val="21"/>
        </w:rPr>
        <w:t>新修订的《中华人民共和国行政复议法》.....</w:t>
      </w:r>
    </w:p>
    <w:p w14:paraId="3FAC170C">
      <w:pPr>
        <w:spacing w:line="578" w:lineRule="exact"/>
        <w:ind w:firstLine="640" w:firstLineChars="200"/>
        <w:rPr>
          <w:rFonts w:ascii="国标宋体" w:hAnsi="国标宋体" w:eastAsia="国标仿宋" w:cs="宋体"/>
          <w:szCs w:val="21"/>
        </w:rPr>
      </w:pPr>
      <w:r>
        <w:rPr>
          <w:rFonts w:ascii="国标宋体" w:hAnsi="国标宋体" w:eastAsia="国标仿宋"/>
          <w:color w:val="000000"/>
          <w:szCs w:val="21"/>
          <w:shd w:val="clear" w:color="auto" w:fill="FFFFFF"/>
        </w:rPr>
        <w:t>关键词</w:t>
      </w:r>
      <w:r>
        <w:rPr>
          <w:rFonts w:ascii="国标宋体" w:hAnsi="国标宋体" w:eastAsia="国标仿宋"/>
          <w:color w:val="000000"/>
          <w:szCs w:val="21"/>
        </w:rPr>
        <w:t>：</w:t>
      </w:r>
      <w:r>
        <w:rPr>
          <w:rFonts w:ascii="国标宋体" w:hAnsi="国标宋体" w:eastAsia="国标仿宋" w:cs="宋体"/>
          <w:szCs w:val="21"/>
        </w:rPr>
        <w:t>行政复议；实质性化解；行政争议；主渠道</w:t>
      </w:r>
    </w:p>
    <w:p w14:paraId="153B1881">
      <w:pPr>
        <w:spacing w:line="578" w:lineRule="exact"/>
        <w:jc w:val="center"/>
        <w:rPr>
          <w:rFonts w:hint="eastAsia" w:ascii="国标宋体" w:hAnsi="国标宋体" w:eastAsia="国标仿宋" w:cs="楷体_GB2312"/>
          <w:b/>
          <w:bCs/>
          <w:sz w:val="32"/>
          <w:szCs w:val="32"/>
        </w:rPr>
      </w:pPr>
      <w:r>
        <w:rPr>
          <w:rFonts w:hint="eastAsia" w:ascii="国标宋体" w:hAnsi="国标宋体" w:eastAsia="国标仿宋" w:cs="楷体_GB2312"/>
          <w:b/>
          <w:bCs/>
          <w:sz w:val="32"/>
          <w:szCs w:val="32"/>
        </w:rPr>
        <w:t>二、注释规则</w:t>
      </w:r>
    </w:p>
    <w:p w14:paraId="22CC9510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引用文献一律采脚注形式，每页重新编号，每行注释提头两个字符（非全篇连续编号）。不设文后参考文献。</w:t>
      </w:r>
    </w:p>
    <w:p w14:paraId="1BFEF0FF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1.原则上，正文中所有的引注圈①应当在标点符号后面；</w:t>
      </w:r>
    </w:p>
    <w:p w14:paraId="734BEF92">
      <w:pPr>
        <w:spacing w:line="578" w:lineRule="exact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例外时，正文中的引注圈①紧跟正文，置于标点之前；原则上，文字表述中间不应当加引注圈①，此时要么对引用的词句短语加引号之后再加引注圈①，要么按照前述规则挪到标点符号前后去。</w:t>
      </w:r>
    </w:p>
    <w:p w14:paraId="56F6EC0B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全文必须严格区分直接引用和间接引用。直接引用的，标明具体信息所在文献的页码，间接、概括性引用的，标明信息所在文献的具体页码或起止页码。起止页码之间用短横线连接。间接引用应在注释文献前标注“参见”（英文为“See”）二字。引用非原始文献，即转引，应先注明原始文献的注释信息，然后以“转引自”加出处。</w:t>
      </w:r>
    </w:p>
    <w:p w14:paraId="6BAF4BB6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对同一个文献多次引用，每次引用都应当将引注信息写完整，但每篇文章对同一文献的重复引用原则上不得超过3次。</w:t>
      </w:r>
    </w:p>
    <w:p w14:paraId="031F6372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2．引源为著作的，注明作者、书名、出版单位、出版年（若年内多次再版的，注明年月）、引文所在页码。外籍作者加注国别，译者。例：</w:t>
      </w:r>
    </w:p>
    <w:p w14:paraId="73C2AC17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应松年 主编：《行政法与行政诉讼法学》（第2版），法律出版社2004年版，第167页。（版次全部用阿拉伯数字；出版社若为我国台湾地区，不加地区前缀，直接表述为“元照出版有限公司”或“三民书局”等。）</w:t>
      </w:r>
    </w:p>
    <w:p w14:paraId="504EEFE6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［美］博登海默：《法理学——法哲学及其方法》，邓正来 译，中国政法大学出版社1999年版，第347页。（［美］为全角括号，不是偏下的括号“[]”）</w:t>
      </w:r>
    </w:p>
    <w:p w14:paraId="1914F2BE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3．引源为论文的或新闻报导的，注明作者、篇名、刊载的报刊、著作名。刊于报纸的，注明年月日、版次。刊于期刊的，注明期次、页码。辑录于著作的，注明所载著作作者（或编者）、书名、出版单位、出版年、页码。例：</w:t>
      </w:r>
    </w:p>
    <w:p w14:paraId="3F3D0421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李立：《基层依法行政为何缺乏动力》，《法制日报》2008年1月14日第8版。</w:t>
      </w:r>
    </w:p>
    <w:p w14:paraId="293CABCD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王敬波：《论我国城管执法体制改革及其法治保障》，载《行政法学研究》2015年第2期，第82页。期刊引注应当准确标明引文信息的具体页码编号或页码范围；期刊名称有括号的，一定要把括号拿到书名号外面去，例如《法律科学》（西北政法大学学报）；《武汉大学学报》（哲学社会科学版）</w:t>
      </w:r>
    </w:p>
    <w:p w14:paraId="3D603287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张泽涛、李登杰：《冲突与平衡——在私法独立与新闻监督之间》，载陈光中、江伟 主编：《诉讼法论丛》（第5卷），法律出版社2000年版，第45页。（注意：多个作者之间用顿号隔开；如要省略作者或译者，则在等字后面加空格，如“李洪雷等 主编”“宋华琳等 译”）</w:t>
      </w:r>
    </w:p>
    <w:p w14:paraId="68BDAA39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朱晓璇：《李达法哲学思想研究》，武汉大学2017年博士学位论文，第48页。（注意：学位论文必须依次标明学校、年份和“硕士”或“博士”学位论文字样，其中不加学校二级学院名称。同时，最后必须注明具体页码。多个单独页码则用顿号隔开，如“第7、9、11页”；连续页码区间则用短横线连接，如“第12-18页”）</w:t>
      </w:r>
    </w:p>
    <w:p w14:paraId="64CCA563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4．引源为网文的，务必追溯到该文的最初出处（一般网络上的新闻报道，都出自报纸期刊）；尽量减少引用互联网内容。要求注明网名、访问时间，最后加句话，且句号在小括号外部。例：</w:t>
      </w:r>
    </w:p>
    <w:p w14:paraId="775BA9FE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《最高人民法院2014年9月12日发布政府信息公开十大案例》，最高人民法院网，http://www.court.gov.cn/zixun-xiangqing-13406.html.（最后访问时间：2015年7月26日）。</w:t>
      </w:r>
    </w:p>
    <w:p w14:paraId="55A6FC95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赵耀彤：《一名基层法官眼里好律师的样子》，载微信公众号“中国法律评论”（最后访问时间：2015年7月26日）。注意：最后访问时间的句号“。”都在括号外</w:t>
      </w:r>
    </w:p>
    <w:p w14:paraId="6A8D477F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5．引用外文的，遵循该语种的通常注释习惯。（英文注释必须为Times New Roman体）</w:t>
      </w:r>
    </w:p>
    <w:p w14:paraId="132893D6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以英文为例，文章名用引号，书名和杂志名用斜体。再次引用同一资料时，仍然需要完整注明作者姓名、文献名和页码。具体格式举例如下：</w:t>
      </w:r>
    </w:p>
    <w:p w14:paraId="574B8E02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（1）专著</w:t>
      </w:r>
    </w:p>
    <w:p w14:paraId="7C5D25F5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Robert O. Keohane and Joseph S. Nye, Power and Interdependence: World Politics in Transition, Little Brown Company, 1997, p.33.</w:t>
      </w:r>
    </w:p>
    <w:p w14:paraId="00F04128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（2）论文</w:t>
      </w:r>
    </w:p>
    <w:p w14:paraId="789622CB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Tim Dunne, “New Thinking on International Society” ,British Journal of Politics and International Relations, Vol.3, No.2, 2001, pp.223-244.</w:t>
      </w:r>
    </w:p>
    <w:p w14:paraId="1A826040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（3）文集中的文章</w:t>
      </w:r>
    </w:p>
    <w:p w14:paraId="34E3858D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Steve Smith, “New Approaches to International Theory” ,in John Baylis and Steve Smith, eds., The Globalization of World Politics, Oxford University Press, 1998, pp.169-170.</w:t>
      </w:r>
    </w:p>
    <w:p w14:paraId="60FE010A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6.引源为判例的，注明审理法院名（收案年度）法院代字+类型代字+案件编号+文书类型。例：</w:t>
      </w:r>
    </w:p>
    <w:p w14:paraId="05A65D84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云南省高级人民法院（2012）云高行终67号行政判决书。</w:t>
      </w:r>
    </w:p>
    <w:p w14:paraId="0F13FCEB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河南省开封市中级人民法院（2012）汴行终22号行政裁定书。（裁判文书年份加中文小括号；文号前面不要加“字第”两个字； 同时，行政处罚决定书、行政许可决定书的年份编号同样用中文小括号。）</w:t>
      </w:r>
    </w:p>
    <w:p w14:paraId="4E7A241C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但是，政府公文编号为六角括号。譬如，《荣成市社会成员信用积分和信用评价管理办法》（荣政发〔2019〕1号）</w:t>
      </w:r>
    </w:p>
    <w:p w14:paraId="2012569A">
      <w:pPr>
        <w:spacing w:line="578" w:lineRule="exact"/>
        <w:jc w:val="center"/>
        <w:rPr>
          <w:rFonts w:hint="eastAsia" w:ascii="国标宋体" w:hAnsi="国标宋体" w:eastAsia="国标仿宋" w:cs="楷体_GB2312"/>
          <w:b/>
          <w:bCs/>
          <w:sz w:val="32"/>
          <w:szCs w:val="32"/>
        </w:rPr>
      </w:pPr>
      <w:r>
        <w:rPr>
          <w:rFonts w:hint="eastAsia" w:ascii="国标宋体" w:hAnsi="国标宋体" w:eastAsia="国标仿宋" w:cs="楷体_GB2312"/>
          <w:b/>
          <w:bCs/>
          <w:sz w:val="32"/>
          <w:szCs w:val="32"/>
        </w:rPr>
        <w:t>三、其他格式规则</w:t>
      </w:r>
    </w:p>
    <w:p w14:paraId="30975BDB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1．文内附有图表的，须有图名和表名。若有多个图表，须分别注明图序号和表序号。表名写在表格上方，图名写在图片下方。表名或图名为黑体，如“表４ 直接依宪说理的模式及评价”。图表须合乎规范，不能有重叠、超出版面等情况；应用WORD制作，利于变动、排版。</w:t>
      </w:r>
    </w:p>
    <w:p w14:paraId="0651D227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2.正文以及脚注中所有的法条编号都为阿拉伯数字，如《中华人民共和国民法典》第123条第3款第2项规定：“......”</w:t>
      </w:r>
    </w:p>
    <w:p w14:paraId="44F055A2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3.全文所有的阿拉伯数字和英文词汇、句子都用Times New Roman体，（在全选调整之后。注意正文中的引号应当为中文引号，即“”，而不是英文引号“ ”）</w:t>
      </w:r>
    </w:p>
    <w:p w14:paraId="1B663146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4.所有引注需要保证准确性，确保参考文献作者、文章名、杂志名、期号、页码等没有偏差；要尽可能删去没有实质性参考的多余文献；要正确区分直接引用和间接引用。直接引用的在正文中必须有引号“”，间接引用必须在脚注前加“参见”。</w:t>
      </w:r>
    </w:p>
    <w:p w14:paraId="074FDC8F">
      <w:pPr>
        <w:spacing w:line="578" w:lineRule="exact"/>
        <w:ind w:firstLine="640" w:firstLineChars="200"/>
        <w:rPr>
          <w:rFonts w:hint="eastAsia" w:ascii="国标宋体" w:hAnsi="国标宋体" w:eastAsia="国标仿宋" w:cs="仿宋_GB2312"/>
          <w:sz w:val="32"/>
          <w:szCs w:val="32"/>
        </w:rPr>
      </w:pPr>
      <w:r>
        <w:rPr>
          <w:rFonts w:hint="eastAsia" w:ascii="国标宋体" w:hAnsi="国标宋体" w:eastAsia="国标仿宋" w:cs="仿宋_GB2312"/>
          <w:sz w:val="32"/>
          <w:szCs w:val="32"/>
        </w:rPr>
        <w:t>5.法律法规在全文中首次出现时应当用全称，再经括号注解后更换简称。譬如《中华人民共和国民法典》（以下简称《民法典》）。</w:t>
      </w:r>
    </w:p>
    <w:p w14:paraId="482D4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unhideWhenUsed/>
    <w:qFormat/>
    <w:uiPriority w:val="99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2025-02-28T03:31:29Z</dcterms:created>
  <dc:creator>Administrator</dc:creator>
  <cp:lastModifiedBy>T@n7^_^ Li</cp:lastModifiedBy>
  <dcterms:modified xsi:type="dcterms:W3CDTF">2025-02-28T03:32:25Z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eyJoZGlkIjoiYjAzYWY3ZmU3Y2Y1MjhmNDA2ZGQ2MzQ5MmMyMTk5NWQiLCJ1c2VySWQiOiI2MDc2MjEzNTYifQ==</vt:lpwstr>
  </property>
  <property fmtid="{D5CDD505-2E9C-101B-9397-08002B2CF9AE}" pid="4" name="ICV">
    <vt:lpwstr>D75B478B6EBC4D9091C037C7BC30E72B_12</vt:lpwstr>
  </property>
</Properties>
</file>